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F6573E" w14:textId="77777777" w:rsidR="00272D48" w:rsidRDefault="00272D48" w:rsidP="00272D48">
      <w:pPr>
        <w:pStyle w:val="Default"/>
        <w:jc w:val="right"/>
        <w:rPr>
          <w:rFonts w:ascii="Segoe UI" w:hAnsi="Segoe UI" w:cs="Segoe UI"/>
          <w:b/>
          <w:bCs/>
          <w:sz w:val="28"/>
          <w:szCs w:val="28"/>
        </w:rPr>
      </w:pPr>
      <w:bookmarkStart w:id="0" w:name="_GoBack"/>
      <w:bookmarkEnd w:id="0"/>
    </w:p>
    <w:p w14:paraId="1363DDFB" w14:textId="77777777" w:rsidR="00D92BFB" w:rsidRPr="00BC4063" w:rsidRDefault="00D92BFB" w:rsidP="00272D48">
      <w:pPr>
        <w:pStyle w:val="Default"/>
        <w:jc w:val="right"/>
        <w:rPr>
          <w:rFonts w:ascii="Segoe UI" w:hAnsi="Segoe UI" w:cs="Segoe UI"/>
          <w:b/>
          <w:bCs/>
          <w:sz w:val="28"/>
          <w:szCs w:val="28"/>
        </w:rPr>
      </w:pPr>
    </w:p>
    <w:p w14:paraId="6B7D964D" w14:textId="77777777" w:rsidR="00175B31" w:rsidRPr="00BC4063" w:rsidRDefault="00175B31" w:rsidP="00272D48">
      <w:pPr>
        <w:pStyle w:val="Default"/>
        <w:jc w:val="right"/>
        <w:rPr>
          <w:rFonts w:ascii="Segoe UI" w:hAnsi="Segoe UI" w:cs="Segoe UI"/>
          <w:b/>
          <w:bCs/>
          <w:sz w:val="28"/>
          <w:szCs w:val="28"/>
        </w:rPr>
      </w:pPr>
    </w:p>
    <w:p w14:paraId="4BFBEB54" w14:textId="77777777" w:rsidR="00175B31" w:rsidRPr="00BC4063" w:rsidRDefault="00175B31" w:rsidP="00272D48">
      <w:pPr>
        <w:pStyle w:val="Default"/>
        <w:jc w:val="right"/>
        <w:rPr>
          <w:rFonts w:ascii="Segoe UI" w:hAnsi="Segoe UI" w:cs="Segoe UI"/>
          <w:b/>
          <w:bCs/>
          <w:sz w:val="28"/>
          <w:szCs w:val="28"/>
        </w:rPr>
      </w:pPr>
    </w:p>
    <w:p w14:paraId="1A7FC9F6" w14:textId="77777777" w:rsidR="00272D48" w:rsidRPr="00BC4063" w:rsidRDefault="00272D48" w:rsidP="00272D48">
      <w:pPr>
        <w:pStyle w:val="Default"/>
        <w:jc w:val="right"/>
        <w:rPr>
          <w:rFonts w:ascii="Segoe UI" w:hAnsi="Segoe UI" w:cs="Segoe UI"/>
          <w:b/>
          <w:bCs/>
          <w:sz w:val="28"/>
          <w:szCs w:val="28"/>
        </w:rPr>
      </w:pPr>
    </w:p>
    <w:p w14:paraId="3373B10B" w14:textId="77777777" w:rsidR="00272D48" w:rsidRPr="00BC4063" w:rsidRDefault="00272D48" w:rsidP="00272D48">
      <w:pPr>
        <w:pStyle w:val="Default"/>
        <w:jc w:val="right"/>
        <w:rPr>
          <w:rFonts w:ascii="Segoe UI" w:hAnsi="Segoe UI" w:cs="Segoe UI"/>
          <w:b/>
          <w:bCs/>
          <w:sz w:val="28"/>
          <w:szCs w:val="28"/>
        </w:rPr>
      </w:pPr>
    </w:p>
    <w:p w14:paraId="785BC231" w14:textId="77777777" w:rsidR="00272D48" w:rsidRPr="00BC4063" w:rsidRDefault="00272D48" w:rsidP="00272D48">
      <w:pPr>
        <w:pStyle w:val="Default"/>
        <w:jc w:val="right"/>
        <w:rPr>
          <w:rFonts w:ascii="Segoe UI" w:hAnsi="Segoe UI" w:cs="Segoe UI"/>
          <w:b/>
          <w:bCs/>
          <w:sz w:val="28"/>
          <w:szCs w:val="28"/>
        </w:rPr>
      </w:pPr>
    </w:p>
    <w:p w14:paraId="7335D1C7" w14:textId="77777777" w:rsidR="00272D48" w:rsidRPr="00BC4063" w:rsidRDefault="00272D48" w:rsidP="00272D48">
      <w:pPr>
        <w:pStyle w:val="Default"/>
        <w:jc w:val="right"/>
        <w:rPr>
          <w:rFonts w:ascii="Segoe UI" w:hAnsi="Segoe UI" w:cs="Segoe UI"/>
          <w:b/>
          <w:bCs/>
          <w:sz w:val="28"/>
          <w:szCs w:val="28"/>
        </w:rPr>
      </w:pPr>
    </w:p>
    <w:p w14:paraId="72BDA26C" w14:textId="77777777" w:rsidR="00175E66" w:rsidRPr="00BC4063" w:rsidRDefault="00175E66" w:rsidP="00272D48">
      <w:pPr>
        <w:pStyle w:val="Default"/>
        <w:jc w:val="right"/>
        <w:rPr>
          <w:rFonts w:ascii="Segoe UI" w:hAnsi="Segoe UI" w:cs="Segoe UI"/>
          <w:b/>
          <w:bCs/>
          <w:sz w:val="28"/>
          <w:szCs w:val="28"/>
        </w:rPr>
      </w:pPr>
    </w:p>
    <w:p w14:paraId="700CEF0F" w14:textId="77777777" w:rsidR="00175E66" w:rsidRPr="00BC4063" w:rsidRDefault="00175E66" w:rsidP="00272D48">
      <w:pPr>
        <w:pStyle w:val="Default"/>
        <w:jc w:val="right"/>
        <w:rPr>
          <w:rFonts w:ascii="Segoe UI" w:hAnsi="Segoe UI" w:cs="Segoe UI"/>
          <w:b/>
          <w:bCs/>
          <w:sz w:val="28"/>
          <w:szCs w:val="28"/>
        </w:rPr>
      </w:pPr>
    </w:p>
    <w:p w14:paraId="3B3C0CF5" w14:textId="77777777" w:rsidR="00272D48" w:rsidRPr="00BC4063" w:rsidRDefault="00272D48" w:rsidP="00272D48">
      <w:pPr>
        <w:pStyle w:val="Default"/>
        <w:jc w:val="right"/>
        <w:rPr>
          <w:rFonts w:ascii="Segoe UI" w:hAnsi="Segoe UI" w:cs="Segoe UI"/>
          <w:b/>
          <w:bCs/>
          <w:sz w:val="28"/>
          <w:szCs w:val="28"/>
        </w:rPr>
      </w:pPr>
    </w:p>
    <w:p w14:paraId="5AAA3A1C" w14:textId="77777777" w:rsidR="00D92BFB" w:rsidRDefault="00454AA2" w:rsidP="000D4BBA">
      <w:pPr>
        <w:pStyle w:val="Default"/>
        <w:jc w:val="right"/>
        <w:rPr>
          <w:rFonts w:ascii="Segoe UI" w:hAnsi="Segoe UI" w:cs="Segoe UI"/>
          <w:bCs/>
          <w:sz w:val="46"/>
          <w:szCs w:val="46"/>
        </w:rPr>
      </w:pPr>
      <w:r>
        <w:rPr>
          <w:rFonts w:ascii="Segoe UI" w:hAnsi="Segoe UI" w:cs="Segoe UI"/>
          <w:bCs/>
          <w:sz w:val="46"/>
          <w:szCs w:val="46"/>
        </w:rPr>
        <w:t>R</w:t>
      </w:r>
      <w:r w:rsidR="00026762">
        <w:rPr>
          <w:rFonts w:ascii="Segoe UI" w:hAnsi="Segoe UI" w:cs="Segoe UI"/>
          <w:bCs/>
          <w:sz w:val="46"/>
          <w:szCs w:val="46"/>
        </w:rPr>
        <w:t>ilevanza</w:t>
      </w:r>
      <w:r>
        <w:rPr>
          <w:rFonts w:ascii="Segoe UI" w:hAnsi="Segoe UI" w:cs="Segoe UI"/>
          <w:bCs/>
          <w:sz w:val="46"/>
          <w:szCs w:val="46"/>
        </w:rPr>
        <w:t xml:space="preserve"> (e materialità)</w:t>
      </w:r>
    </w:p>
    <w:p w14:paraId="15FAB128" w14:textId="1DCD44BE" w:rsidR="00026762" w:rsidRPr="00D92BFB" w:rsidRDefault="00026762" w:rsidP="000D4BBA">
      <w:pPr>
        <w:pStyle w:val="Default"/>
        <w:jc w:val="right"/>
        <w:rPr>
          <w:rFonts w:ascii="Segoe UI" w:hAnsi="Segoe UI" w:cs="Segoe UI"/>
          <w:bCs/>
          <w:sz w:val="46"/>
          <w:szCs w:val="46"/>
        </w:rPr>
      </w:pPr>
      <w:r>
        <w:rPr>
          <w:rFonts w:ascii="Segoe UI" w:hAnsi="Segoe UI" w:cs="Segoe UI"/>
          <w:bCs/>
          <w:sz w:val="46"/>
          <w:szCs w:val="46"/>
        </w:rPr>
        <w:t xml:space="preserve">nella </w:t>
      </w:r>
      <w:r w:rsidR="002C7938" w:rsidRPr="002C7938">
        <w:rPr>
          <w:rFonts w:ascii="Segoe UI" w:hAnsi="Segoe UI" w:cs="Segoe UI"/>
          <w:bCs/>
          <w:i/>
          <w:sz w:val="46"/>
          <w:szCs w:val="46"/>
        </w:rPr>
        <w:t>disclosure</w:t>
      </w:r>
      <w:r w:rsidR="00D92BFB">
        <w:rPr>
          <w:rFonts w:ascii="Segoe UI" w:hAnsi="Segoe UI" w:cs="Segoe UI"/>
          <w:bCs/>
          <w:sz w:val="46"/>
          <w:szCs w:val="46"/>
        </w:rPr>
        <w:t xml:space="preserve"> non finanziaria</w:t>
      </w:r>
    </w:p>
    <w:p w14:paraId="087C0595" w14:textId="77777777" w:rsidR="002C7938" w:rsidRDefault="002C7938" w:rsidP="00F56564">
      <w:pPr>
        <w:pStyle w:val="Default"/>
        <w:rPr>
          <w:rFonts w:ascii="Segoe UI" w:hAnsi="Segoe UI" w:cs="Segoe UI"/>
          <w:bCs/>
          <w:sz w:val="28"/>
          <w:szCs w:val="28"/>
        </w:rPr>
      </w:pPr>
    </w:p>
    <w:p w14:paraId="23D36942" w14:textId="77777777" w:rsidR="002C7938" w:rsidRDefault="002C7938" w:rsidP="00F56564">
      <w:pPr>
        <w:pStyle w:val="Default"/>
        <w:rPr>
          <w:rFonts w:ascii="Segoe UI" w:hAnsi="Segoe UI" w:cs="Segoe UI"/>
          <w:bCs/>
          <w:sz w:val="28"/>
          <w:szCs w:val="28"/>
        </w:rPr>
      </w:pPr>
    </w:p>
    <w:p w14:paraId="0079D329" w14:textId="77777777" w:rsidR="002C7938" w:rsidRDefault="002C7938" w:rsidP="00F56564">
      <w:pPr>
        <w:pStyle w:val="Default"/>
        <w:rPr>
          <w:rFonts w:ascii="Segoe UI" w:hAnsi="Segoe UI" w:cs="Segoe UI"/>
          <w:bCs/>
          <w:sz w:val="28"/>
          <w:szCs w:val="28"/>
        </w:rPr>
      </w:pPr>
    </w:p>
    <w:p w14:paraId="007801FA" w14:textId="2B5090F1" w:rsidR="00026762" w:rsidRPr="00462ECC" w:rsidRDefault="002C7938" w:rsidP="000D4BBA">
      <w:pPr>
        <w:pStyle w:val="Default"/>
        <w:jc w:val="both"/>
        <w:rPr>
          <w:rFonts w:ascii="Segoe UI" w:hAnsi="Segoe UI" w:cs="Segoe UI"/>
          <w:bCs/>
          <w:sz w:val="26"/>
          <w:szCs w:val="26"/>
        </w:rPr>
      </w:pPr>
      <w:r w:rsidRPr="00462ECC">
        <w:rPr>
          <w:rFonts w:ascii="Segoe UI" w:hAnsi="Segoe UI" w:cs="Segoe UI"/>
          <w:bCs/>
          <w:sz w:val="26"/>
          <w:szCs w:val="26"/>
        </w:rPr>
        <w:t>Definizioni</w:t>
      </w:r>
      <w:r w:rsidR="00574453" w:rsidRPr="00462ECC">
        <w:rPr>
          <w:rFonts w:ascii="Segoe UI" w:hAnsi="Segoe UI" w:cs="Segoe UI"/>
          <w:bCs/>
          <w:sz w:val="26"/>
          <w:szCs w:val="26"/>
        </w:rPr>
        <w:t xml:space="preserve"> </w:t>
      </w:r>
      <w:r w:rsidRPr="00462ECC">
        <w:rPr>
          <w:rFonts w:ascii="Segoe UI" w:hAnsi="Segoe UI" w:cs="Segoe UI"/>
          <w:bCs/>
          <w:sz w:val="26"/>
          <w:szCs w:val="26"/>
        </w:rPr>
        <w:t>e c</w:t>
      </w:r>
      <w:r w:rsidR="00026762" w:rsidRPr="00462ECC">
        <w:rPr>
          <w:rFonts w:ascii="Segoe UI" w:hAnsi="Segoe UI" w:cs="Segoe UI"/>
          <w:bCs/>
          <w:sz w:val="26"/>
          <w:szCs w:val="26"/>
        </w:rPr>
        <w:t xml:space="preserve">riticità </w:t>
      </w:r>
      <w:r w:rsidR="00A84D53" w:rsidRPr="00462ECC">
        <w:rPr>
          <w:rFonts w:ascii="Segoe UI" w:hAnsi="Segoe UI" w:cs="Segoe UI"/>
          <w:bCs/>
          <w:sz w:val="26"/>
          <w:szCs w:val="26"/>
        </w:rPr>
        <w:t xml:space="preserve">anche </w:t>
      </w:r>
      <w:r w:rsidR="00026762" w:rsidRPr="00462ECC">
        <w:rPr>
          <w:rFonts w:ascii="Segoe UI" w:hAnsi="Segoe UI" w:cs="Segoe UI"/>
          <w:bCs/>
          <w:sz w:val="26"/>
          <w:szCs w:val="26"/>
        </w:rPr>
        <w:t xml:space="preserve">ai fini della </w:t>
      </w:r>
      <w:r w:rsidR="00026762" w:rsidRPr="00462ECC">
        <w:rPr>
          <w:rFonts w:ascii="Segoe UI" w:hAnsi="Segoe UI" w:cs="Segoe UI"/>
          <w:bCs/>
          <w:i/>
          <w:sz w:val="26"/>
          <w:szCs w:val="26"/>
        </w:rPr>
        <w:t>compliance</w:t>
      </w:r>
      <w:r w:rsidR="00026762" w:rsidRPr="00462ECC">
        <w:rPr>
          <w:rFonts w:ascii="Segoe UI" w:hAnsi="Segoe UI" w:cs="Segoe UI"/>
          <w:bCs/>
          <w:sz w:val="26"/>
          <w:szCs w:val="26"/>
        </w:rPr>
        <w:t xml:space="preserve"> alle disposizioni</w:t>
      </w:r>
      <w:r w:rsidR="00515DA8" w:rsidRPr="00462ECC">
        <w:rPr>
          <w:rFonts w:ascii="Segoe UI" w:hAnsi="Segoe UI" w:cs="Segoe UI"/>
          <w:bCs/>
          <w:sz w:val="26"/>
          <w:szCs w:val="26"/>
        </w:rPr>
        <w:t xml:space="preserve"> </w:t>
      </w:r>
      <w:r w:rsidR="008F3982" w:rsidRPr="00462ECC">
        <w:rPr>
          <w:rFonts w:ascii="Segoe UI" w:hAnsi="Segoe UI" w:cs="Segoe UI"/>
          <w:bCs/>
          <w:sz w:val="26"/>
          <w:szCs w:val="26"/>
        </w:rPr>
        <w:t>del</w:t>
      </w:r>
      <w:r w:rsidR="00515DA8" w:rsidRPr="00462ECC">
        <w:rPr>
          <w:rFonts w:ascii="Segoe UI" w:hAnsi="Segoe UI" w:cs="Segoe UI"/>
          <w:bCs/>
          <w:sz w:val="26"/>
          <w:szCs w:val="26"/>
        </w:rPr>
        <w:t xml:space="preserve"> </w:t>
      </w:r>
      <w:r w:rsidR="00462ECC" w:rsidRPr="00462ECC">
        <w:rPr>
          <w:rFonts w:ascii="Segoe UI" w:hAnsi="Segoe UI" w:cs="Segoe UI"/>
          <w:bCs/>
          <w:sz w:val="26"/>
          <w:szCs w:val="26"/>
        </w:rPr>
        <w:t xml:space="preserve">          </w:t>
      </w:r>
      <w:r w:rsidR="00026762" w:rsidRPr="00462ECC">
        <w:rPr>
          <w:rFonts w:ascii="Segoe UI" w:hAnsi="Segoe UI" w:cs="Segoe UI"/>
          <w:bCs/>
          <w:sz w:val="26"/>
          <w:szCs w:val="26"/>
        </w:rPr>
        <w:t>d</w:t>
      </w:r>
      <w:r w:rsidR="00F56564" w:rsidRPr="00462ECC">
        <w:rPr>
          <w:rFonts w:ascii="Segoe UI" w:hAnsi="Segoe UI" w:cs="Segoe UI"/>
          <w:bCs/>
          <w:sz w:val="26"/>
          <w:szCs w:val="26"/>
        </w:rPr>
        <w:t>ecreto legislativo 30 dicembre 2016, n. 254</w:t>
      </w:r>
      <w:r w:rsidR="00A84D53" w:rsidRPr="00462ECC">
        <w:rPr>
          <w:rFonts w:ascii="Segoe UI" w:hAnsi="Segoe UI" w:cs="Segoe UI"/>
          <w:bCs/>
          <w:sz w:val="26"/>
          <w:szCs w:val="26"/>
        </w:rPr>
        <w:t>,</w:t>
      </w:r>
      <w:r w:rsidR="000D4BBA" w:rsidRPr="00462ECC">
        <w:rPr>
          <w:rFonts w:ascii="Segoe UI" w:hAnsi="Segoe UI" w:cs="Segoe UI"/>
          <w:bCs/>
          <w:sz w:val="26"/>
          <w:szCs w:val="26"/>
        </w:rPr>
        <w:t xml:space="preserve"> </w:t>
      </w:r>
      <w:r w:rsidR="00DF5B47" w:rsidRPr="00462ECC">
        <w:rPr>
          <w:rFonts w:ascii="Segoe UI" w:hAnsi="Segoe UI" w:cs="Segoe UI"/>
          <w:bCs/>
          <w:sz w:val="26"/>
          <w:szCs w:val="26"/>
        </w:rPr>
        <w:t>s</w:t>
      </w:r>
      <w:r w:rsidRPr="00462ECC">
        <w:rPr>
          <w:rFonts w:ascii="Segoe UI" w:hAnsi="Segoe UI" w:cs="Segoe UI"/>
          <w:bCs/>
          <w:sz w:val="26"/>
          <w:szCs w:val="26"/>
        </w:rPr>
        <w:t>ulla rendicontazione non finanziaria</w:t>
      </w:r>
    </w:p>
    <w:p w14:paraId="201D8B48" w14:textId="77777777" w:rsidR="002C7938" w:rsidRDefault="002C7938" w:rsidP="00B03C57">
      <w:pPr>
        <w:pStyle w:val="Default"/>
        <w:rPr>
          <w:rFonts w:ascii="Segoe UI" w:hAnsi="Segoe UI" w:cs="Segoe UI"/>
          <w:bCs/>
          <w:sz w:val="28"/>
          <w:szCs w:val="28"/>
        </w:rPr>
      </w:pPr>
    </w:p>
    <w:p w14:paraId="28750EB1" w14:textId="77777777" w:rsidR="002C7938" w:rsidRDefault="002C7938" w:rsidP="00B03C57">
      <w:pPr>
        <w:pStyle w:val="Default"/>
        <w:rPr>
          <w:rFonts w:ascii="Segoe UI" w:hAnsi="Segoe UI" w:cs="Segoe UI"/>
          <w:bCs/>
          <w:sz w:val="28"/>
          <w:szCs w:val="28"/>
        </w:rPr>
      </w:pPr>
    </w:p>
    <w:p w14:paraId="3B94AB61" w14:textId="77777777" w:rsidR="002C7938" w:rsidRDefault="002C7938" w:rsidP="00B03C57">
      <w:pPr>
        <w:pStyle w:val="Default"/>
        <w:rPr>
          <w:rFonts w:ascii="Segoe UI" w:hAnsi="Segoe UI" w:cs="Segoe UI"/>
          <w:bCs/>
          <w:sz w:val="28"/>
          <w:szCs w:val="28"/>
        </w:rPr>
      </w:pPr>
    </w:p>
    <w:p w14:paraId="33A71CD6" w14:textId="77777777" w:rsidR="008F3982" w:rsidRDefault="008F3982" w:rsidP="00B03C57">
      <w:pPr>
        <w:pStyle w:val="Default"/>
        <w:rPr>
          <w:rFonts w:ascii="Segoe UI" w:hAnsi="Segoe UI" w:cs="Segoe UI"/>
          <w:bCs/>
          <w:sz w:val="28"/>
          <w:szCs w:val="28"/>
        </w:rPr>
      </w:pPr>
    </w:p>
    <w:p w14:paraId="517F830D" w14:textId="77777777" w:rsidR="002C7938" w:rsidRDefault="002C7938" w:rsidP="00B03C57">
      <w:pPr>
        <w:pStyle w:val="Default"/>
        <w:rPr>
          <w:rFonts w:ascii="Segoe UI" w:hAnsi="Segoe UI" w:cs="Segoe UI"/>
          <w:bCs/>
          <w:sz w:val="28"/>
          <w:szCs w:val="28"/>
        </w:rPr>
      </w:pPr>
    </w:p>
    <w:p w14:paraId="6E72D816" w14:textId="77777777" w:rsidR="00FD2998" w:rsidRPr="00BC4063" w:rsidRDefault="00FD2998" w:rsidP="00B03C57">
      <w:pPr>
        <w:pStyle w:val="Default"/>
        <w:rPr>
          <w:rFonts w:ascii="Segoe UI" w:hAnsi="Segoe UI" w:cs="Segoe UI"/>
          <w:bCs/>
          <w:sz w:val="28"/>
          <w:szCs w:val="28"/>
        </w:rPr>
      </w:pPr>
    </w:p>
    <w:p w14:paraId="417E40FF" w14:textId="77777777" w:rsidR="00777138" w:rsidRDefault="00777138" w:rsidP="00272D48">
      <w:pPr>
        <w:pStyle w:val="Default"/>
        <w:jc w:val="right"/>
        <w:rPr>
          <w:rFonts w:ascii="Segoe UI" w:hAnsi="Segoe UI" w:cs="Segoe UI"/>
          <w:bCs/>
          <w:sz w:val="28"/>
          <w:szCs w:val="28"/>
        </w:rPr>
      </w:pPr>
    </w:p>
    <w:p w14:paraId="23905918" w14:textId="00EE587C" w:rsidR="00777138" w:rsidRDefault="00777138" w:rsidP="00272D48">
      <w:pPr>
        <w:pStyle w:val="Default"/>
        <w:jc w:val="right"/>
        <w:rPr>
          <w:rFonts w:ascii="Segoe UI" w:hAnsi="Segoe UI" w:cs="Segoe UI"/>
          <w:bCs/>
          <w:sz w:val="28"/>
          <w:szCs w:val="28"/>
        </w:rPr>
      </w:pPr>
    </w:p>
    <w:p w14:paraId="52C545D7" w14:textId="4AC2B313" w:rsidR="0015297E" w:rsidRDefault="0015297E" w:rsidP="00272D48">
      <w:pPr>
        <w:pStyle w:val="Default"/>
        <w:jc w:val="right"/>
        <w:rPr>
          <w:rFonts w:ascii="Segoe UI" w:hAnsi="Segoe UI" w:cs="Segoe UI"/>
          <w:bCs/>
          <w:sz w:val="28"/>
          <w:szCs w:val="28"/>
        </w:rPr>
      </w:pPr>
    </w:p>
    <w:p w14:paraId="2A5CB925" w14:textId="0F3BC689" w:rsidR="000B7A02" w:rsidRDefault="000B7A02" w:rsidP="00272D48">
      <w:pPr>
        <w:pStyle w:val="Default"/>
        <w:jc w:val="right"/>
        <w:rPr>
          <w:rFonts w:ascii="Segoe UI" w:hAnsi="Segoe UI" w:cs="Segoe UI"/>
          <w:bCs/>
          <w:sz w:val="28"/>
          <w:szCs w:val="28"/>
        </w:rPr>
      </w:pPr>
    </w:p>
    <w:p w14:paraId="5CF6AEB2" w14:textId="2DFD15F1" w:rsidR="0015297E" w:rsidRDefault="0015297E" w:rsidP="00272D48">
      <w:pPr>
        <w:pStyle w:val="Default"/>
        <w:jc w:val="right"/>
        <w:rPr>
          <w:rFonts w:ascii="Segoe UI" w:hAnsi="Segoe UI" w:cs="Segoe UI"/>
          <w:bCs/>
          <w:sz w:val="28"/>
          <w:szCs w:val="28"/>
        </w:rPr>
      </w:pPr>
    </w:p>
    <w:p w14:paraId="613F9CCF" w14:textId="77777777" w:rsidR="00987D17" w:rsidRDefault="00987D17" w:rsidP="00272D48">
      <w:pPr>
        <w:pStyle w:val="Default"/>
        <w:jc w:val="right"/>
        <w:rPr>
          <w:rFonts w:ascii="Segoe UI" w:hAnsi="Segoe UI" w:cs="Segoe UI"/>
          <w:bCs/>
          <w:sz w:val="28"/>
          <w:szCs w:val="28"/>
        </w:rPr>
      </w:pPr>
    </w:p>
    <w:p w14:paraId="26E001A3" w14:textId="77777777" w:rsidR="00A0323D" w:rsidRDefault="00A0323D" w:rsidP="00272D48">
      <w:pPr>
        <w:pStyle w:val="Default"/>
        <w:jc w:val="right"/>
        <w:rPr>
          <w:rFonts w:ascii="Segoe UI" w:hAnsi="Segoe UI" w:cs="Segoe UI"/>
          <w:bCs/>
          <w:sz w:val="28"/>
          <w:szCs w:val="28"/>
        </w:rPr>
      </w:pPr>
    </w:p>
    <w:p w14:paraId="73B6BB1E" w14:textId="2B95FDD2" w:rsidR="00777138" w:rsidRPr="0062207D" w:rsidRDefault="000241CA" w:rsidP="00777138">
      <w:pPr>
        <w:pStyle w:val="Default"/>
        <w:jc w:val="center"/>
        <w:rPr>
          <w:rFonts w:ascii="Segoe UI" w:hAnsi="Segoe UI" w:cs="Segoe UI"/>
          <w:bCs/>
          <w:sz w:val="22"/>
          <w:szCs w:val="20"/>
        </w:rPr>
      </w:pPr>
      <w:r>
        <w:rPr>
          <w:rFonts w:ascii="Segoe UI" w:hAnsi="Segoe UI" w:cs="Segoe UI"/>
          <w:bCs/>
          <w:sz w:val="22"/>
          <w:szCs w:val="20"/>
        </w:rPr>
        <w:t xml:space="preserve">7 </w:t>
      </w:r>
      <w:r w:rsidR="00755CF6">
        <w:rPr>
          <w:rFonts w:ascii="Segoe UI" w:hAnsi="Segoe UI" w:cs="Segoe UI"/>
          <w:bCs/>
          <w:sz w:val="22"/>
          <w:szCs w:val="20"/>
        </w:rPr>
        <w:t>m</w:t>
      </w:r>
      <w:r w:rsidR="00D46CF5">
        <w:rPr>
          <w:rFonts w:ascii="Segoe UI" w:hAnsi="Segoe UI" w:cs="Segoe UI"/>
          <w:bCs/>
          <w:sz w:val="22"/>
          <w:szCs w:val="20"/>
        </w:rPr>
        <w:t>arzo</w:t>
      </w:r>
      <w:r w:rsidR="007B5C78">
        <w:rPr>
          <w:rFonts w:ascii="Segoe UI" w:hAnsi="Segoe UI" w:cs="Segoe UI"/>
          <w:bCs/>
          <w:sz w:val="22"/>
          <w:szCs w:val="20"/>
        </w:rPr>
        <w:t xml:space="preserve"> </w:t>
      </w:r>
      <w:r w:rsidR="00777138" w:rsidRPr="0062207D">
        <w:rPr>
          <w:rFonts w:ascii="Segoe UI" w:hAnsi="Segoe UI" w:cs="Segoe UI"/>
          <w:bCs/>
          <w:sz w:val="22"/>
          <w:szCs w:val="20"/>
        </w:rPr>
        <w:t>201</w:t>
      </w:r>
      <w:r w:rsidR="007B5C78">
        <w:rPr>
          <w:rFonts w:ascii="Segoe UI" w:hAnsi="Segoe UI" w:cs="Segoe UI"/>
          <w:bCs/>
          <w:sz w:val="22"/>
          <w:szCs w:val="20"/>
        </w:rPr>
        <w:t>8</w:t>
      </w:r>
    </w:p>
    <w:p w14:paraId="44356017" w14:textId="77777777" w:rsidR="00175B31" w:rsidRPr="00BC4063" w:rsidRDefault="00175B31" w:rsidP="00175972">
      <w:pPr>
        <w:pStyle w:val="Default"/>
        <w:jc w:val="center"/>
        <w:rPr>
          <w:rFonts w:ascii="Segoe UI" w:hAnsi="Segoe UI" w:cs="Segoe UI"/>
          <w:bCs/>
          <w:sz w:val="28"/>
          <w:szCs w:val="28"/>
        </w:rPr>
      </w:pPr>
    </w:p>
    <w:p w14:paraId="4EB4254D" w14:textId="77777777" w:rsidR="00175B31" w:rsidRPr="00BC4063" w:rsidRDefault="00175B31" w:rsidP="00272D48">
      <w:pPr>
        <w:pStyle w:val="Default"/>
        <w:jc w:val="right"/>
        <w:rPr>
          <w:rFonts w:ascii="Segoe UI" w:hAnsi="Segoe UI" w:cs="Segoe UI"/>
          <w:bCs/>
          <w:sz w:val="28"/>
          <w:szCs w:val="28"/>
        </w:rPr>
        <w:sectPr w:rsidR="00175B31" w:rsidRPr="00BC4063" w:rsidSect="00D777E1">
          <w:headerReference w:type="default" r:id="rId8"/>
          <w:footerReference w:type="default" r:id="rId9"/>
          <w:headerReference w:type="first" r:id="rId10"/>
          <w:footerReference w:type="first" r:id="rId11"/>
          <w:pgSz w:w="11906" w:h="16838" w:code="9"/>
          <w:pgMar w:top="1985" w:right="1134" w:bottom="1134" w:left="1134" w:header="709" w:footer="709" w:gutter="0"/>
          <w:pgNumType w:start="1"/>
          <w:cols w:space="708"/>
          <w:docGrid w:linePitch="360"/>
        </w:sectPr>
      </w:pPr>
    </w:p>
    <w:p w14:paraId="7007D7BB" w14:textId="77777777" w:rsidR="00175B31" w:rsidRPr="00BC4063" w:rsidRDefault="00175B31" w:rsidP="00272D48">
      <w:pPr>
        <w:pStyle w:val="Default"/>
        <w:jc w:val="right"/>
        <w:rPr>
          <w:rFonts w:ascii="Segoe UI" w:hAnsi="Segoe UI" w:cs="Segoe UI"/>
          <w:bCs/>
          <w:sz w:val="28"/>
          <w:szCs w:val="28"/>
        </w:rPr>
      </w:pPr>
    </w:p>
    <w:p w14:paraId="77EC1C30" w14:textId="77777777" w:rsidR="005D2FA2" w:rsidRDefault="005D2FA2" w:rsidP="00272D48">
      <w:pPr>
        <w:pStyle w:val="Default"/>
        <w:jc w:val="right"/>
        <w:rPr>
          <w:rFonts w:ascii="Segoe UI" w:hAnsi="Segoe UI" w:cs="Segoe UI"/>
          <w:bCs/>
          <w:sz w:val="28"/>
          <w:szCs w:val="28"/>
        </w:rPr>
      </w:pPr>
    </w:p>
    <w:p w14:paraId="23D04488" w14:textId="77777777" w:rsidR="00897C1B" w:rsidRDefault="00897C1B" w:rsidP="00272D48">
      <w:pPr>
        <w:pStyle w:val="Default"/>
        <w:jc w:val="right"/>
        <w:rPr>
          <w:rFonts w:ascii="Segoe UI" w:hAnsi="Segoe UI" w:cs="Segoe UI"/>
          <w:bCs/>
          <w:sz w:val="28"/>
          <w:szCs w:val="28"/>
        </w:rPr>
      </w:pPr>
    </w:p>
    <w:p w14:paraId="07E1EBCD" w14:textId="77777777" w:rsidR="00897C1B" w:rsidRDefault="00897C1B" w:rsidP="00272D48">
      <w:pPr>
        <w:pStyle w:val="Default"/>
        <w:jc w:val="right"/>
        <w:rPr>
          <w:rFonts w:ascii="Segoe UI" w:hAnsi="Segoe UI" w:cs="Segoe UI"/>
          <w:bCs/>
          <w:sz w:val="28"/>
          <w:szCs w:val="28"/>
        </w:rPr>
      </w:pPr>
    </w:p>
    <w:p w14:paraId="011FDB83" w14:textId="77777777" w:rsidR="00897C1B" w:rsidRDefault="00897C1B" w:rsidP="00272D48">
      <w:pPr>
        <w:pStyle w:val="Default"/>
        <w:jc w:val="right"/>
        <w:rPr>
          <w:rFonts w:ascii="Segoe UI" w:hAnsi="Segoe UI" w:cs="Segoe UI"/>
          <w:bCs/>
          <w:sz w:val="28"/>
          <w:szCs w:val="28"/>
        </w:rPr>
      </w:pPr>
    </w:p>
    <w:p w14:paraId="3235CBA8" w14:textId="77777777" w:rsidR="00897C1B" w:rsidRDefault="00897C1B" w:rsidP="00272D48">
      <w:pPr>
        <w:pStyle w:val="Default"/>
        <w:jc w:val="right"/>
        <w:rPr>
          <w:rFonts w:ascii="Segoe UI" w:hAnsi="Segoe UI" w:cs="Segoe UI"/>
          <w:bCs/>
          <w:sz w:val="28"/>
          <w:szCs w:val="28"/>
        </w:rPr>
      </w:pPr>
    </w:p>
    <w:p w14:paraId="346E1427" w14:textId="77777777" w:rsidR="00897C1B" w:rsidRDefault="00897C1B" w:rsidP="00272D48">
      <w:pPr>
        <w:pStyle w:val="Default"/>
        <w:jc w:val="right"/>
        <w:rPr>
          <w:rFonts w:ascii="Segoe UI" w:hAnsi="Segoe UI" w:cs="Segoe UI"/>
          <w:bCs/>
          <w:sz w:val="28"/>
          <w:szCs w:val="28"/>
        </w:rPr>
      </w:pPr>
    </w:p>
    <w:p w14:paraId="7E07DD6D" w14:textId="77777777" w:rsidR="00897C1B" w:rsidRDefault="00897C1B" w:rsidP="00272D48">
      <w:pPr>
        <w:pStyle w:val="Default"/>
        <w:jc w:val="right"/>
        <w:rPr>
          <w:rFonts w:ascii="Segoe UI" w:hAnsi="Segoe UI" w:cs="Segoe UI"/>
          <w:bCs/>
          <w:sz w:val="28"/>
          <w:szCs w:val="28"/>
        </w:rPr>
      </w:pPr>
    </w:p>
    <w:p w14:paraId="54D2C21F" w14:textId="77777777" w:rsidR="00897C1B" w:rsidRDefault="00897C1B" w:rsidP="00272D48">
      <w:pPr>
        <w:pStyle w:val="Default"/>
        <w:jc w:val="right"/>
        <w:rPr>
          <w:rFonts w:ascii="Segoe UI" w:hAnsi="Segoe UI" w:cs="Segoe UI"/>
          <w:bCs/>
          <w:sz w:val="28"/>
          <w:szCs w:val="28"/>
        </w:rPr>
      </w:pPr>
    </w:p>
    <w:p w14:paraId="3E34E15E" w14:textId="77777777" w:rsidR="00897C1B" w:rsidRDefault="00897C1B" w:rsidP="00272D48">
      <w:pPr>
        <w:pStyle w:val="Default"/>
        <w:jc w:val="right"/>
        <w:rPr>
          <w:rFonts w:ascii="Segoe UI" w:hAnsi="Segoe UI" w:cs="Segoe UI"/>
          <w:bCs/>
          <w:sz w:val="28"/>
          <w:szCs w:val="28"/>
        </w:rPr>
      </w:pPr>
    </w:p>
    <w:p w14:paraId="0DB6B682" w14:textId="77777777" w:rsidR="00897C1B" w:rsidRPr="00BC4063" w:rsidRDefault="00897C1B" w:rsidP="00272D48">
      <w:pPr>
        <w:pStyle w:val="Default"/>
        <w:jc w:val="right"/>
        <w:rPr>
          <w:rFonts w:ascii="Segoe UI" w:hAnsi="Segoe UI" w:cs="Segoe UI"/>
          <w:bCs/>
          <w:sz w:val="28"/>
          <w:szCs w:val="28"/>
        </w:rPr>
      </w:pPr>
    </w:p>
    <w:p w14:paraId="380255FF" w14:textId="77777777" w:rsidR="00175E66" w:rsidRPr="00BC4063" w:rsidRDefault="00175E66" w:rsidP="00272D48">
      <w:pPr>
        <w:pStyle w:val="Default"/>
        <w:jc w:val="right"/>
        <w:rPr>
          <w:rFonts w:ascii="Segoe UI" w:hAnsi="Segoe UI" w:cs="Segoe UI"/>
          <w:bCs/>
          <w:sz w:val="28"/>
          <w:szCs w:val="28"/>
        </w:rPr>
      </w:pPr>
    </w:p>
    <w:tbl>
      <w:tblPr>
        <w:tblW w:w="9639" w:type="dxa"/>
        <w:jc w:val="center"/>
        <w:tblLayout w:type="fixed"/>
        <w:tblLook w:val="04A0" w:firstRow="1" w:lastRow="0" w:firstColumn="1" w:lastColumn="0" w:noHBand="0" w:noVBand="1"/>
      </w:tblPr>
      <w:tblGrid>
        <w:gridCol w:w="3969"/>
        <w:gridCol w:w="5670"/>
      </w:tblGrid>
      <w:tr w:rsidR="00B476B8" w:rsidRPr="00874202" w14:paraId="15C7E550" w14:textId="77777777" w:rsidTr="00BB6484">
        <w:trPr>
          <w:cantSplit/>
          <w:jc w:val="center"/>
        </w:trPr>
        <w:tc>
          <w:tcPr>
            <w:tcW w:w="3969" w:type="dxa"/>
          </w:tcPr>
          <w:p w14:paraId="71CCFE60" w14:textId="77777777" w:rsidR="00776CEF" w:rsidRPr="00874202" w:rsidRDefault="00776CEF" w:rsidP="00776CEF">
            <w:pPr>
              <w:pStyle w:val="Default"/>
              <w:rPr>
                <w:rFonts w:ascii="Segoe UI" w:hAnsi="Segoe UI" w:cs="Segoe UI"/>
                <w:bCs/>
                <w:smallCaps/>
              </w:rPr>
            </w:pPr>
            <w:r w:rsidRPr="00874202">
              <w:rPr>
                <w:rFonts w:ascii="Segoe UI" w:hAnsi="Segoe UI" w:cs="Segoe UI"/>
                <w:bCs/>
                <w:smallCaps/>
              </w:rPr>
              <w:t xml:space="preserve">Consigliere </w:t>
            </w:r>
            <w:r>
              <w:rPr>
                <w:rFonts w:ascii="Segoe UI" w:hAnsi="Segoe UI" w:cs="Segoe UI"/>
                <w:bCs/>
                <w:smallCaps/>
              </w:rPr>
              <w:t>d</w:t>
            </w:r>
            <w:r w:rsidRPr="00874202">
              <w:rPr>
                <w:rFonts w:ascii="Segoe UI" w:hAnsi="Segoe UI" w:cs="Segoe UI"/>
                <w:bCs/>
                <w:smallCaps/>
              </w:rPr>
              <w:t>elegato</w:t>
            </w:r>
          </w:p>
          <w:p w14:paraId="6047AF25" w14:textId="15313C6D" w:rsidR="00776CEF" w:rsidRDefault="00776CEF" w:rsidP="00776CEF">
            <w:pPr>
              <w:tabs>
                <w:tab w:val="left" w:pos="1915"/>
                <w:tab w:val="left" w:pos="3575"/>
              </w:tabs>
              <w:spacing w:after="0" w:line="240" w:lineRule="auto"/>
              <w:rPr>
                <w:rFonts w:ascii="Segoe UI" w:eastAsia="Times New Roman" w:hAnsi="Segoe UI" w:cs="Segoe UI"/>
                <w:color w:val="000000"/>
                <w:sz w:val="24"/>
                <w:szCs w:val="24"/>
                <w:lang w:eastAsia="it-IT"/>
              </w:rPr>
            </w:pPr>
            <w:r>
              <w:rPr>
                <w:rFonts w:ascii="Segoe UI" w:eastAsia="Times New Roman" w:hAnsi="Segoe UI" w:cs="Segoe UI"/>
                <w:color w:val="000000"/>
                <w:sz w:val="24"/>
                <w:szCs w:val="24"/>
                <w:lang w:eastAsia="it-IT"/>
              </w:rPr>
              <w:t>Raffaele Marcello</w:t>
            </w:r>
          </w:p>
          <w:p w14:paraId="1CE7ECFA" w14:textId="087B0253"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7214D2E9" w14:textId="23EC2DA8"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36A046FF" w14:textId="3DD06A9F"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7F972243" w14:textId="640A4FA3"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7A9DFE3F" w14:textId="1A2FB585"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335361E5" w14:textId="20DF58F9"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33650693" w14:textId="45B9FF22"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0B7D8B01" w14:textId="6A4A5C0F"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41BA9C37" w14:textId="2F07D1FB"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5A0F6884" w14:textId="1C298418"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7FBD5505" w14:textId="1D73ABE3"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7995DBBC" w14:textId="051BA4F3"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1093B641" w14:textId="0DC38307"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20866BDA" w14:textId="5FE44889"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53BF8E67" w14:textId="76C6EF10" w:rsidR="004434DE" w:rsidRDefault="004434DE" w:rsidP="00776CEF">
            <w:pPr>
              <w:tabs>
                <w:tab w:val="left" w:pos="1915"/>
                <w:tab w:val="left" w:pos="3575"/>
              </w:tabs>
              <w:spacing w:after="0" w:line="240" w:lineRule="auto"/>
              <w:rPr>
                <w:rFonts w:ascii="Segoe UI" w:eastAsia="Times New Roman" w:hAnsi="Segoe UI" w:cs="Segoe UI"/>
                <w:color w:val="000000"/>
                <w:sz w:val="24"/>
                <w:szCs w:val="24"/>
                <w:lang w:eastAsia="it-IT"/>
              </w:rPr>
            </w:pPr>
          </w:p>
          <w:p w14:paraId="0CFE5E5F" w14:textId="77777777" w:rsidR="004434DE" w:rsidRPr="00A84D53" w:rsidRDefault="004434DE" w:rsidP="004434DE">
            <w:pPr>
              <w:pStyle w:val="Default"/>
              <w:rPr>
                <w:rFonts w:ascii="Segoe UI" w:hAnsi="Segoe UI" w:cs="Segoe UI"/>
                <w:bCs/>
                <w:i/>
                <w:smallCaps/>
                <w:sz w:val="20"/>
                <w:szCs w:val="20"/>
              </w:rPr>
            </w:pPr>
            <w:r w:rsidRPr="00A84D53">
              <w:rPr>
                <w:rFonts w:ascii="Segoe UI" w:hAnsi="Segoe UI" w:cs="Segoe UI"/>
                <w:bCs/>
                <w:i/>
                <w:smallCaps/>
                <w:sz w:val="20"/>
                <w:szCs w:val="20"/>
              </w:rPr>
              <w:t>Ricercatori</w:t>
            </w:r>
          </w:p>
          <w:p w14:paraId="15770ECC" w14:textId="77777777" w:rsidR="004434DE" w:rsidRPr="00A84D53" w:rsidRDefault="004434DE" w:rsidP="004434DE">
            <w:pPr>
              <w:pStyle w:val="Default"/>
              <w:rPr>
                <w:rFonts w:ascii="Segoe UI" w:hAnsi="Segoe UI" w:cs="Segoe UI"/>
                <w:bCs/>
                <w:i/>
                <w:sz w:val="20"/>
                <w:szCs w:val="20"/>
              </w:rPr>
            </w:pPr>
            <w:r w:rsidRPr="00A84D53">
              <w:rPr>
                <w:rFonts w:ascii="Segoe UI" w:hAnsi="Segoe UI" w:cs="Segoe UI"/>
                <w:bCs/>
                <w:i/>
                <w:sz w:val="20"/>
                <w:szCs w:val="20"/>
              </w:rPr>
              <w:t>Lorenzo Magrassi</w:t>
            </w:r>
          </w:p>
          <w:p w14:paraId="137F6900" w14:textId="77777777" w:rsidR="004434DE" w:rsidRPr="00A84D53" w:rsidRDefault="004434DE" w:rsidP="004434DE">
            <w:pPr>
              <w:pStyle w:val="Default"/>
              <w:rPr>
                <w:rFonts w:ascii="Segoe UI" w:hAnsi="Segoe UI" w:cs="Segoe UI"/>
                <w:bCs/>
                <w:i/>
                <w:sz w:val="20"/>
                <w:szCs w:val="20"/>
              </w:rPr>
            </w:pPr>
            <w:r w:rsidRPr="00A84D53">
              <w:rPr>
                <w:rFonts w:ascii="Segoe UI" w:hAnsi="Segoe UI" w:cs="Segoe UI"/>
                <w:bCs/>
                <w:i/>
                <w:sz w:val="20"/>
                <w:szCs w:val="20"/>
              </w:rPr>
              <w:t>Elisa Raoli</w:t>
            </w:r>
          </w:p>
          <w:p w14:paraId="13A63E28" w14:textId="03B7E106" w:rsidR="00821989" w:rsidRPr="00874202" w:rsidRDefault="00821989" w:rsidP="00F56564">
            <w:pPr>
              <w:spacing w:after="0" w:line="240" w:lineRule="auto"/>
              <w:rPr>
                <w:rFonts w:ascii="Segoe UI" w:hAnsi="Segoe UI" w:cs="Segoe UI"/>
                <w:bCs/>
                <w:sz w:val="24"/>
                <w:szCs w:val="24"/>
              </w:rPr>
            </w:pPr>
          </w:p>
        </w:tc>
        <w:tc>
          <w:tcPr>
            <w:tcW w:w="5670" w:type="dxa"/>
          </w:tcPr>
          <w:p w14:paraId="40405ADA" w14:textId="53EAA263" w:rsidR="00776CEF" w:rsidRPr="00776CEF" w:rsidRDefault="00776CEF" w:rsidP="00776CEF">
            <w:pPr>
              <w:pStyle w:val="Default"/>
              <w:rPr>
                <w:rFonts w:ascii="Segoe UI" w:hAnsi="Segoe UI" w:cs="Segoe UI"/>
                <w:bCs/>
                <w:smallCaps/>
              </w:rPr>
            </w:pPr>
            <w:r w:rsidRPr="00776CEF">
              <w:rPr>
                <w:rFonts w:ascii="Segoe UI" w:hAnsi="Segoe UI" w:cs="Segoe UI"/>
                <w:bCs/>
                <w:smallCaps/>
              </w:rPr>
              <w:t>Area di delega</w:t>
            </w:r>
          </w:p>
          <w:p w14:paraId="37D472F3" w14:textId="0DA25782" w:rsidR="006D1502" w:rsidRDefault="00776CEF" w:rsidP="00776CEF">
            <w:pPr>
              <w:pStyle w:val="Default"/>
              <w:rPr>
                <w:rFonts w:ascii="Segoe UI" w:hAnsi="Segoe UI" w:cs="Segoe UI"/>
                <w:bCs/>
              </w:rPr>
            </w:pPr>
            <w:r w:rsidRPr="00874202">
              <w:rPr>
                <w:rFonts w:ascii="Segoe UI" w:hAnsi="Segoe UI" w:cs="Segoe UI"/>
                <w:bCs/>
              </w:rPr>
              <w:t>“</w:t>
            </w:r>
            <w:r>
              <w:rPr>
                <w:rFonts w:ascii="Segoe UI" w:hAnsi="Segoe UI" w:cs="Segoe UI"/>
                <w:bCs/>
              </w:rPr>
              <w:t>Sistema di amministrazione e controllo</w:t>
            </w:r>
            <w:r w:rsidRPr="00874202">
              <w:rPr>
                <w:rFonts w:ascii="Segoe UI" w:hAnsi="Segoe UI" w:cs="Segoe UI"/>
                <w:bCs/>
              </w:rPr>
              <w:t>”</w:t>
            </w:r>
          </w:p>
          <w:p w14:paraId="7E3D1F9A" w14:textId="77777777" w:rsidR="00776CEF" w:rsidRDefault="00776CEF" w:rsidP="006D1502">
            <w:pPr>
              <w:pStyle w:val="Default"/>
              <w:rPr>
                <w:rFonts w:ascii="Segoe UI" w:hAnsi="Segoe UI" w:cs="Segoe UI"/>
                <w:bCs/>
              </w:rPr>
            </w:pPr>
          </w:p>
          <w:p w14:paraId="09F24877" w14:textId="77777777" w:rsidR="00776CEF" w:rsidRDefault="00776CEF" w:rsidP="006D1502">
            <w:pPr>
              <w:pStyle w:val="Default"/>
              <w:rPr>
                <w:rFonts w:ascii="Segoe UI" w:hAnsi="Segoe UI" w:cs="Segoe UI"/>
                <w:bCs/>
              </w:rPr>
            </w:pPr>
          </w:p>
          <w:p w14:paraId="2ED2B7E7" w14:textId="77777777" w:rsidR="00776CEF" w:rsidRDefault="00776CEF" w:rsidP="006D1502">
            <w:pPr>
              <w:pStyle w:val="Default"/>
              <w:rPr>
                <w:rFonts w:ascii="Segoe UI" w:hAnsi="Segoe UI" w:cs="Segoe UI"/>
                <w:bCs/>
              </w:rPr>
            </w:pPr>
          </w:p>
          <w:p w14:paraId="2803CC67" w14:textId="77777777" w:rsidR="00776CEF" w:rsidRDefault="00776CEF" w:rsidP="006D1502">
            <w:pPr>
              <w:pStyle w:val="Default"/>
              <w:rPr>
                <w:rFonts w:ascii="Segoe UI" w:hAnsi="Segoe UI" w:cs="Segoe UI"/>
                <w:bCs/>
              </w:rPr>
            </w:pPr>
          </w:p>
          <w:p w14:paraId="3508FBAC" w14:textId="77777777" w:rsidR="00897C1B" w:rsidRDefault="00897C1B" w:rsidP="006D1502">
            <w:pPr>
              <w:pStyle w:val="Default"/>
              <w:rPr>
                <w:rFonts w:ascii="Segoe UI" w:hAnsi="Segoe UI" w:cs="Segoe UI"/>
                <w:bCs/>
              </w:rPr>
            </w:pPr>
          </w:p>
          <w:p w14:paraId="34ABC223" w14:textId="77777777" w:rsidR="00897C1B" w:rsidRDefault="00897C1B" w:rsidP="006D1502">
            <w:pPr>
              <w:pStyle w:val="Default"/>
              <w:rPr>
                <w:rFonts w:ascii="Segoe UI" w:hAnsi="Segoe UI" w:cs="Segoe UI"/>
                <w:bCs/>
              </w:rPr>
            </w:pPr>
          </w:p>
          <w:p w14:paraId="3C438B96" w14:textId="77777777" w:rsidR="00897C1B" w:rsidRDefault="00897C1B" w:rsidP="006D1502">
            <w:pPr>
              <w:pStyle w:val="Default"/>
              <w:rPr>
                <w:rFonts w:ascii="Segoe UI" w:hAnsi="Segoe UI" w:cs="Segoe UI"/>
                <w:bCs/>
              </w:rPr>
            </w:pPr>
          </w:p>
          <w:p w14:paraId="1872FC89" w14:textId="77777777" w:rsidR="00897C1B" w:rsidRDefault="00897C1B" w:rsidP="006D1502">
            <w:pPr>
              <w:pStyle w:val="Default"/>
              <w:rPr>
                <w:rFonts w:ascii="Segoe UI" w:hAnsi="Segoe UI" w:cs="Segoe UI"/>
                <w:bCs/>
              </w:rPr>
            </w:pPr>
          </w:p>
          <w:p w14:paraId="0E4EE585" w14:textId="77777777" w:rsidR="00897C1B" w:rsidRDefault="00897C1B" w:rsidP="006D1502">
            <w:pPr>
              <w:pStyle w:val="Default"/>
              <w:rPr>
                <w:rFonts w:ascii="Segoe UI" w:hAnsi="Segoe UI" w:cs="Segoe UI"/>
                <w:bCs/>
              </w:rPr>
            </w:pPr>
          </w:p>
          <w:p w14:paraId="03C7D951" w14:textId="77777777" w:rsidR="00897C1B" w:rsidRDefault="00897C1B" w:rsidP="006D1502">
            <w:pPr>
              <w:pStyle w:val="Default"/>
              <w:rPr>
                <w:rFonts w:ascii="Segoe UI" w:hAnsi="Segoe UI" w:cs="Segoe UI"/>
                <w:bCs/>
              </w:rPr>
            </w:pPr>
          </w:p>
          <w:p w14:paraId="24E89C2B" w14:textId="77777777" w:rsidR="00897C1B" w:rsidRDefault="00897C1B" w:rsidP="006D1502">
            <w:pPr>
              <w:pStyle w:val="Default"/>
              <w:rPr>
                <w:rFonts w:ascii="Segoe UI" w:hAnsi="Segoe UI" w:cs="Segoe UI"/>
                <w:bCs/>
              </w:rPr>
            </w:pPr>
          </w:p>
          <w:p w14:paraId="0ABBE9C0" w14:textId="77777777" w:rsidR="00897C1B" w:rsidRDefault="00897C1B" w:rsidP="006D1502">
            <w:pPr>
              <w:pStyle w:val="Default"/>
              <w:rPr>
                <w:rFonts w:ascii="Segoe UI" w:hAnsi="Segoe UI" w:cs="Segoe UI"/>
                <w:bCs/>
              </w:rPr>
            </w:pPr>
          </w:p>
          <w:p w14:paraId="66033334" w14:textId="77777777" w:rsidR="00897C1B" w:rsidRDefault="00897C1B" w:rsidP="006D1502">
            <w:pPr>
              <w:pStyle w:val="Default"/>
              <w:rPr>
                <w:rFonts w:ascii="Segoe UI" w:hAnsi="Segoe UI" w:cs="Segoe UI"/>
                <w:bCs/>
              </w:rPr>
            </w:pPr>
          </w:p>
          <w:p w14:paraId="34C54B68" w14:textId="77777777" w:rsidR="00776CEF" w:rsidRDefault="00776CEF" w:rsidP="006D1502">
            <w:pPr>
              <w:pStyle w:val="Default"/>
              <w:rPr>
                <w:rFonts w:ascii="Segoe UI" w:hAnsi="Segoe UI" w:cs="Segoe UI"/>
                <w:bCs/>
              </w:rPr>
            </w:pPr>
          </w:p>
          <w:p w14:paraId="0FEAB345" w14:textId="77777777" w:rsidR="00776CEF" w:rsidRDefault="00776CEF" w:rsidP="006D1502">
            <w:pPr>
              <w:pStyle w:val="Default"/>
              <w:rPr>
                <w:rFonts w:ascii="Segoe UI" w:hAnsi="Segoe UI" w:cs="Segoe UI"/>
                <w:bCs/>
              </w:rPr>
            </w:pPr>
          </w:p>
          <w:p w14:paraId="3584529F" w14:textId="77777777" w:rsidR="00897C1B" w:rsidRDefault="00897C1B" w:rsidP="006D1502">
            <w:pPr>
              <w:pStyle w:val="Default"/>
              <w:rPr>
                <w:rFonts w:ascii="Segoe UI" w:hAnsi="Segoe UI" w:cs="Segoe UI"/>
                <w:bCs/>
              </w:rPr>
            </w:pPr>
          </w:p>
          <w:p w14:paraId="30627CD9" w14:textId="77777777" w:rsidR="00897C1B" w:rsidRDefault="00897C1B" w:rsidP="006D1502">
            <w:pPr>
              <w:pStyle w:val="Default"/>
              <w:rPr>
                <w:rFonts w:ascii="Segoe UI" w:hAnsi="Segoe UI" w:cs="Segoe UI"/>
                <w:bCs/>
              </w:rPr>
            </w:pPr>
          </w:p>
          <w:p w14:paraId="39EC136B" w14:textId="77777777" w:rsidR="00776CEF" w:rsidRPr="00874202" w:rsidRDefault="00776CEF" w:rsidP="006D1502">
            <w:pPr>
              <w:pStyle w:val="Default"/>
              <w:rPr>
                <w:rFonts w:ascii="Segoe UI" w:hAnsi="Segoe UI" w:cs="Segoe UI"/>
                <w:bCs/>
              </w:rPr>
            </w:pPr>
          </w:p>
          <w:p w14:paraId="6324CC8B" w14:textId="77777777" w:rsidR="00821989" w:rsidRPr="00874202" w:rsidRDefault="00821989" w:rsidP="004434DE">
            <w:pPr>
              <w:pStyle w:val="Default"/>
              <w:rPr>
                <w:rFonts w:ascii="Segoe UI" w:hAnsi="Segoe UI" w:cs="Segoe UI"/>
                <w:bCs/>
              </w:rPr>
            </w:pPr>
          </w:p>
        </w:tc>
      </w:tr>
    </w:tbl>
    <w:p w14:paraId="30B4E85C" w14:textId="77777777" w:rsidR="00175B31" w:rsidRPr="00BC4063" w:rsidRDefault="00175B31" w:rsidP="00FB6DB5">
      <w:pPr>
        <w:rPr>
          <w:rFonts w:ascii="Segoe UI" w:hAnsi="Segoe UI" w:cs="Segoe UI"/>
          <w:b/>
          <w:bCs/>
          <w:sz w:val="36"/>
          <w:szCs w:val="36"/>
        </w:rPr>
        <w:sectPr w:rsidR="00175B31" w:rsidRPr="00BC4063" w:rsidSect="002B1FC6">
          <w:headerReference w:type="default" r:id="rId12"/>
          <w:footerReference w:type="default" r:id="rId13"/>
          <w:headerReference w:type="first" r:id="rId14"/>
          <w:pgSz w:w="11906" w:h="16838" w:code="9"/>
          <w:pgMar w:top="1985" w:right="1134" w:bottom="1134" w:left="1134" w:header="709" w:footer="709" w:gutter="0"/>
          <w:pgNumType w:start="1"/>
          <w:cols w:space="708"/>
          <w:docGrid w:linePitch="360"/>
        </w:sectPr>
      </w:pPr>
    </w:p>
    <w:p w14:paraId="428CF7C0" w14:textId="77777777" w:rsidR="00F23B76" w:rsidRDefault="00F23B76" w:rsidP="00460954">
      <w:pPr>
        <w:tabs>
          <w:tab w:val="left" w:pos="709"/>
        </w:tabs>
        <w:spacing w:before="120" w:after="240" w:line="240" w:lineRule="auto"/>
        <w:jc w:val="both"/>
        <w:rPr>
          <w:rFonts w:ascii="Segoe UI" w:eastAsia="Times New Roman" w:hAnsi="Segoe UI" w:cs="Segoe UI"/>
          <w:bCs/>
          <w:szCs w:val="20"/>
          <w:lang w:eastAsia="it-IT"/>
        </w:rPr>
      </w:pPr>
    </w:p>
    <w:p w14:paraId="0631230A" w14:textId="77777777" w:rsidR="00F23B76" w:rsidRDefault="00F23B76" w:rsidP="00460954">
      <w:pPr>
        <w:tabs>
          <w:tab w:val="left" w:pos="709"/>
        </w:tabs>
        <w:spacing w:before="120" w:after="240" w:line="240" w:lineRule="auto"/>
        <w:jc w:val="both"/>
        <w:rPr>
          <w:rFonts w:ascii="Segoe UI" w:eastAsia="Times New Roman" w:hAnsi="Segoe UI" w:cs="Segoe UI"/>
          <w:bCs/>
          <w:szCs w:val="20"/>
          <w:lang w:eastAsia="it-IT"/>
        </w:rPr>
        <w:sectPr w:rsidR="00F23B76" w:rsidSect="008F5432">
          <w:footerReference w:type="default" r:id="rId15"/>
          <w:type w:val="continuous"/>
          <w:pgSz w:w="11906" w:h="16838" w:code="9"/>
          <w:pgMar w:top="1985" w:right="1134" w:bottom="1134" w:left="1134" w:header="709" w:footer="709" w:gutter="0"/>
          <w:cols w:space="708"/>
          <w:docGrid w:linePitch="360"/>
        </w:sectPr>
      </w:pPr>
    </w:p>
    <w:p w14:paraId="2742D10A" w14:textId="77777777" w:rsidR="00460954" w:rsidRDefault="002559BF" w:rsidP="00DA0852">
      <w:pPr>
        <w:tabs>
          <w:tab w:val="left" w:pos="709"/>
        </w:tabs>
        <w:spacing w:before="60" w:after="60" w:line="240" w:lineRule="auto"/>
        <w:jc w:val="both"/>
        <w:rPr>
          <w:rFonts w:ascii="Segoe UI" w:eastAsia="Times New Roman" w:hAnsi="Segoe UI" w:cs="Segoe UI"/>
          <w:bCs/>
          <w:szCs w:val="20"/>
          <w:lang w:eastAsia="it-IT"/>
        </w:rPr>
      </w:pPr>
      <w:r w:rsidRPr="0062207D">
        <w:rPr>
          <w:rFonts w:ascii="Segoe UI" w:eastAsia="Times New Roman" w:hAnsi="Segoe UI" w:cs="Segoe UI"/>
          <w:bCs/>
          <w:szCs w:val="20"/>
          <w:lang w:eastAsia="it-IT"/>
        </w:rPr>
        <w:lastRenderedPageBreak/>
        <w:t>Indice</w:t>
      </w:r>
    </w:p>
    <w:p w14:paraId="613F03F1" w14:textId="72555C59" w:rsidR="00DA0852" w:rsidRPr="00AC6D95" w:rsidRDefault="00DA0852" w:rsidP="005835C1">
      <w:pPr>
        <w:tabs>
          <w:tab w:val="left" w:pos="709"/>
        </w:tabs>
        <w:spacing w:before="40" w:after="40" w:line="240" w:lineRule="auto"/>
        <w:jc w:val="both"/>
        <w:rPr>
          <w:rFonts w:ascii="Segoe UI" w:eastAsia="Times New Roman" w:hAnsi="Segoe UI" w:cs="Segoe UI"/>
          <w:bCs/>
          <w:sz w:val="19"/>
          <w:szCs w:val="19"/>
          <w:lang w:eastAsia="it-IT"/>
        </w:rPr>
      </w:pPr>
    </w:p>
    <w:p w14:paraId="7EAC351E" w14:textId="32BB36F4" w:rsidR="0001090A" w:rsidRPr="00AC6D95" w:rsidRDefault="002C7938" w:rsidP="006D58CC">
      <w:pPr>
        <w:pStyle w:val="Sommario1"/>
        <w:rPr>
          <w:rFonts w:ascii="Segoe UI" w:eastAsiaTheme="minorEastAsia" w:hAnsi="Segoe UI" w:cs="Segoe UI"/>
          <w:noProof/>
          <w:sz w:val="19"/>
          <w:szCs w:val="19"/>
          <w:lang w:eastAsia="it-IT"/>
        </w:rPr>
      </w:pPr>
      <w:r w:rsidRPr="00AC6D95">
        <w:rPr>
          <w:rFonts w:ascii="Segoe UI" w:eastAsia="Times New Roman" w:hAnsi="Segoe UI" w:cs="Segoe UI"/>
          <w:bCs/>
          <w:sz w:val="19"/>
          <w:szCs w:val="19"/>
          <w:lang w:eastAsia="it-IT"/>
        </w:rPr>
        <w:fldChar w:fldCharType="begin"/>
      </w:r>
      <w:r w:rsidRPr="00AC6D95">
        <w:rPr>
          <w:rFonts w:ascii="Segoe UI" w:eastAsia="Times New Roman" w:hAnsi="Segoe UI" w:cs="Segoe UI"/>
          <w:bCs/>
          <w:sz w:val="19"/>
          <w:szCs w:val="19"/>
          <w:lang w:eastAsia="it-IT"/>
        </w:rPr>
        <w:instrText xml:space="preserve"> TOC \o "1-3" \h \z \u </w:instrText>
      </w:r>
      <w:r w:rsidRPr="00AC6D95">
        <w:rPr>
          <w:rFonts w:ascii="Segoe UI" w:eastAsia="Times New Roman" w:hAnsi="Segoe UI" w:cs="Segoe UI"/>
          <w:bCs/>
          <w:sz w:val="19"/>
          <w:szCs w:val="19"/>
          <w:lang w:eastAsia="it-IT"/>
        </w:rPr>
        <w:fldChar w:fldCharType="separate"/>
      </w:r>
      <w:hyperlink w:anchor="_Toc507973939" w:history="1">
        <w:r w:rsidR="0001090A" w:rsidRPr="00AC6D95">
          <w:rPr>
            <w:rStyle w:val="Collegamentoipertestuale"/>
            <w:rFonts w:ascii="Segoe UI" w:eastAsiaTheme="minorHAnsi" w:hAnsi="Segoe UI" w:cs="Segoe UI"/>
            <w:noProof/>
            <w:sz w:val="19"/>
            <w:szCs w:val="19"/>
          </w:rPr>
          <w:t>Introduzione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_Toc507973939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1</w:t>
        </w:r>
        <w:r w:rsidR="0001090A" w:rsidRPr="00AC6D95">
          <w:rPr>
            <w:rFonts w:ascii="Segoe UI" w:hAnsi="Segoe UI" w:cs="Segoe UI"/>
            <w:noProof/>
            <w:webHidden/>
            <w:sz w:val="19"/>
            <w:szCs w:val="19"/>
          </w:rPr>
          <w:fldChar w:fldCharType="end"/>
        </w:r>
      </w:hyperlink>
    </w:p>
    <w:p w14:paraId="2F7ECC8A" w14:textId="0A3BFCEC" w:rsidR="0001090A" w:rsidRPr="00AC6D95" w:rsidRDefault="0047350D" w:rsidP="006D58CC">
      <w:pPr>
        <w:pStyle w:val="Sommario1"/>
        <w:rPr>
          <w:rFonts w:ascii="Segoe UI" w:eastAsiaTheme="minorEastAsia" w:hAnsi="Segoe UI" w:cs="Segoe UI"/>
          <w:noProof/>
          <w:sz w:val="19"/>
          <w:szCs w:val="19"/>
          <w:lang w:eastAsia="it-IT"/>
        </w:rPr>
      </w:pPr>
      <w:hyperlink w:anchor="_Toc507973940" w:history="1">
        <w:r w:rsidR="0001090A" w:rsidRPr="00AC6D95">
          <w:rPr>
            <w:rStyle w:val="Collegamentoipertestuale"/>
            <w:rFonts w:ascii="Segoe UI" w:eastAsiaTheme="minorHAnsi" w:hAnsi="Segoe UI" w:cs="Segoe UI"/>
            <w:noProof/>
            <w:sz w:val="19"/>
            <w:szCs w:val="19"/>
          </w:rPr>
          <w:t>1</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noProof/>
            <w:sz w:val="19"/>
            <w:szCs w:val="19"/>
          </w:rPr>
          <w:t>Il d.lgs. n. 254/2016 in estrema sintesi</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_Toc507973940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3</w:t>
        </w:r>
        <w:r w:rsidR="0001090A" w:rsidRPr="00AC6D95">
          <w:rPr>
            <w:rFonts w:ascii="Segoe UI" w:hAnsi="Segoe UI" w:cs="Segoe UI"/>
            <w:noProof/>
            <w:webHidden/>
            <w:sz w:val="19"/>
            <w:szCs w:val="19"/>
          </w:rPr>
          <w:fldChar w:fldCharType="end"/>
        </w:r>
      </w:hyperlink>
    </w:p>
    <w:p w14:paraId="64AD6A4F" w14:textId="77777777" w:rsidR="005835C1" w:rsidRPr="00AC6D95" w:rsidRDefault="005835C1" w:rsidP="006D58CC">
      <w:pPr>
        <w:pStyle w:val="Sommario1"/>
        <w:rPr>
          <w:rStyle w:val="Collegamentoipertestuale"/>
          <w:rFonts w:ascii="Segoe UI" w:hAnsi="Segoe UI" w:cs="Segoe UI"/>
          <w:noProof/>
          <w:sz w:val="19"/>
          <w:szCs w:val="19"/>
        </w:rPr>
      </w:pPr>
    </w:p>
    <w:p w14:paraId="2E79A1BA" w14:textId="04CFA0AB" w:rsidR="0001090A" w:rsidRPr="00AC6D95" w:rsidRDefault="0047350D" w:rsidP="006D58CC">
      <w:pPr>
        <w:pStyle w:val="Sommario1"/>
        <w:spacing w:after="0"/>
        <w:rPr>
          <w:rFonts w:ascii="Segoe UI" w:eastAsiaTheme="minorEastAsia" w:hAnsi="Segoe UI" w:cs="Segoe UI"/>
          <w:noProof/>
          <w:sz w:val="19"/>
          <w:szCs w:val="19"/>
          <w:lang w:eastAsia="it-IT"/>
        </w:rPr>
      </w:pPr>
      <w:hyperlink w:anchor="_Toc507973941" w:history="1">
        <w:r w:rsidR="0001090A" w:rsidRPr="00AC6D95">
          <w:rPr>
            <w:rStyle w:val="Collegamentoipertestuale"/>
            <w:rFonts w:ascii="Segoe UI" w:eastAsiaTheme="minorHAnsi" w:hAnsi="Segoe UI" w:cs="Segoe UI"/>
            <w:noProof/>
            <w:sz w:val="19"/>
            <w:szCs w:val="19"/>
          </w:rPr>
          <w:t>PARTE I</w:t>
        </w:r>
      </w:hyperlink>
    </w:p>
    <w:p w14:paraId="0B3E1D03" w14:textId="72E5A16B" w:rsidR="0001090A" w:rsidRPr="00AC6D95" w:rsidRDefault="0047350D" w:rsidP="006D58CC">
      <w:pPr>
        <w:pStyle w:val="Sommario1"/>
        <w:tabs>
          <w:tab w:val="clear" w:pos="284"/>
          <w:tab w:val="left" w:pos="0"/>
        </w:tabs>
        <w:spacing w:before="0"/>
        <w:ind w:left="0" w:firstLine="0"/>
        <w:rPr>
          <w:rFonts w:ascii="Segoe UI" w:eastAsiaTheme="minorEastAsia" w:hAnsi="Segoe UI" w:cs="Segoe UI"/>
          <w:noProof/>
          <w:sz w:val="19"/>
          <w:szCs w:val="19"/>
          <w:lang w:eastAsia="it-IT"/>
        </w:rPr>
      </w:pPr>
      <w:hyperlink w:anchor="_Toc507973942" w:history="1">
        <w:r w:rsidR="0001090A" w:rsidRPr="00AC6D95">
          <w:rPr>
            <w:rStyle w:val="Collegamentoipertestuale"/>
            <w:rFonts w:ascii="Segoe UI" w:eastAsiaTheme="minorHAnsi" w:hAnsi="Segoe UI" w:cs="Segoe UI"/>
            <w:noProof/>
            <w:sz w:val="19"/>
            <w:szCs w:val="19"/>
          </w:rPr>
          <w:t xml:space="preserve">Rilevanza e materialità nella normativa di </w:t>
        </w:r>
        <w:r w:rsidR="0001090A" w:rsidRPr="00AC6D95">
          <w:rPr>
            <w:rStyle w:val="Collegamentoipertestuale"/>
            <w:rFonts w:ascii="Segoe UI" w:eastAsiaTheme="minorHAnsi" w:hAnsi="Segoe UI" w:cs="Segoe UI"/>
            <w:i/>
            <w:noProof/>
            <w:sz w:val="19"/>
            <w:szCs w:val="19"/>
          </w:rPr>
          <w:t>disclosure</w:t>
        </w:r>
        <w:r w:rsidR="0001090A" w:rsidRPr="00AC6D95">
          <w:rPr>
            <w:rStyle w:val="Collegamentoipertestuale"/>
            <w:rFonts w:ascii="Segoe UI" w:eastAsiaTheme="minorHAnsi" w:hAnsi="Segoe UI" w:cs="Segoe UI"/>
            <w:noProof/>
            <w:sz w:val="19"/>
            <w:szCs w:val="19"/>
          </w:rPr>
          <w:t xml:space="preserve"> e in </w:t>
        </w:r>
        <w:r w:rsidR="0001090A" w:rsidRPr="00AC6D95">
          <w:rPr>
            <w:rStyle w:val="Collegamentoipertestuale"/>
            <w:rFonts w:ascii="Segoe UI" w:eastAsiaTheme="minorHAnsi" w:hAnsi="Segoe UI" w:cs="Segoe UI"/>
            <w:i/>
            <w:noProof/>
            <w:sz w:val="19"/>
            <w:szCs w:val="19"/>
          </w:rPr>
          <w:t>standard</w:t>
        </w:r>
        <w:r w:rsidR="0001090A" w:rsidRPr="00AC6D95">
          <w:rPr>
            <w:rStyle w:val="Collegamentoipertestuale"/>
            <w:rFonts w:ascii="Segoe UI" w:eastAsiaTheme="minorHAnsi" w:hAnsi="Segoe UI" w:cs="Segoe UI"/>
            <w:noProof/>
            <w:sz w:val="19"/>
            <w:szCs w:val="19"/>
          </w:rPr>
          <w:t xml:space="preserve"> di rendicontazione non finanziaria e ambiguità nei riferimenti interpretativi</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_Toc507973942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8</w:t>
        </w:r>
        <w:r w:rsidR="0001090A" w:rsidRPr="00AC6D95">
          <w:rPr>
            <w:rFonts w:ascii="Segoe UI" w:hAnsi="Segoe UI" w:cs="Segoe UI"/>
            <w:noProof/>
            <w:webHidden/>
            <w:sz w:val="19"/>
            <w:szCs w:val="19"/>
          </w:rPr>
          <w:fldChar w:fldCharType="end"/>
        </w:r>
      </w:hyperlink>
    </w:p>
    <w:p w14:paraId="68EBB7A8" w14:textId="1E8DD5EF" w:rsidR="0001090A" w:rsidRPr="00AC6D95" w:rsidRDefault="0047350D" w:rsidP="006D58CC">
      <w:pPr>
        <w:pStyle w:val="Sommario1"/>
        <w:rPr>
          <w:rFonts w:ascii="Segoe UI" w:eastAsiaTheme="minorEastAsia" w:hAnsi="Segoe UI" w:cs="Segoe UI"/>
          <w:noProof/>
          <w:sz w:val="19"/>
          <w:szCs w:val="19"/>
          <w:lang w:eastAsia="it-IT"/>
        </w:rPr>
      </w:pPr>
      <w:hyperlink w:anchor="_Toc507973943" w:history="1">
        <w:r w:rsidR="0001090A" w:rsidRPr="00AC6D95">
          <w:rPr>
            <w:rStyle w:val="Collegamentoipertestuale"/>
            <w:rFonts w:ascii="Segoe UI" w:eastAsiaTheme="minorHAnsi" w:hAnsi="Segoe UI" w:cs="Segoe UI"/>
            <w:noProof/>
            <w:sz w:val="19"/>
            <w:szCs w:val="19"/>
          </w:rPr>
          <w:t>2</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noProof/>
            <w:sz w:val="19"/>
            <w:szCs w:val="19"/>
          </w:rPr>
          <w:t>Varietà terminologica ed eterogeneità delle accezioni nelle diverse versioni dei provvedimenti normativi europei</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_Toc507973943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11</w:t>
        </w:r>
        <w:r w:rsidR="0001090A" w:rsidRPr="00AC6D95">
          <w:rPr>
            <w:rFonts w:ascii="Segoe UI" w:hAnsi="Segoe UI" w:cs="Segoe UI"/>
            <w:noProof/>
            <w:webHidden/>
            <w:sz w:val="19"/>
            <w:szCs w:val="19"/>
          </w:rPr>
          <w:fldChar w:fldCharType="end"/>
        </w:r>
      </w:hyperlink>
    </w:p>
    <w:p w14:paraId="35F19162" w14:textId="501573D0"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44" w:history="1">
        <w:r w:rsidR="0001090A" w:rsidRPr="00AC6D95">
          <w:rPr>
            <w:rStyle w:val="Collegamentoipertestuale"/>
            <w:rFonts w:ascii="Segoe UI" w:eastAsiaTheme="minorHAnsi" w:hAnsi="Segoe UI" w:cs="Segoe UI"/>
            <w:bCs/>
            <w:noProof/>
            <w:sz w:val="19"/>
            <w:szCs w:val="19"/>
          </w:rPr>
          <w:t>2.1</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rPr>
          <w:t>Rendicontazione finanziaria: direttiva 2013/34/UE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_Toc507973944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12</w:t>
        </w:r>
        <w:r w:rsidR="0001090A" w:rsidRPr="00AC6D95">
          <w:rPr>
            <w:rFonts w:ascii="Segoe UI" w:hAnsi="Segoe UI" w:cs="Segoe UI"/>
            <w:noProof/>
            <w:webHidden/>
            <w:sz w:val="19"/>
            <w:szCs w:val="19"/>
          </w:rPr>
          <w:fldChar w:fldCharType="end"/>
        </w:r>
      </w:hyperlink>
    </w:p>
    <w:p w14:paraId="0F631EEB" w14:textId="08AD050A"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45" w:history="1">
        <w:r w:rsidR="0001090A" w:rsidRPr="00AC6D95">
          <w:rPr>
            <w:rStyle w:val="Collegamentoipertestuale"/>
            <w:rFonts w:ascii="Segoe UI" w:eastAsiaTheme="minorHAnsi" w:hAnsi="Segoe UI" w:cs="Segoe UI"/>
            <w:bCs/>
            <w:noProof/>
            <w:sz w:val="19"/>
            <w:szCs w:val="19"/>
          </w:rPr>
          <w:t>2.2</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rPr>
          <w:t>Rendicontazione non finanziaria: direttiva 2014/95/UE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_Toc507973945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14</w:t>
        </w:r>
        <w:r w:rsidR="0001090A" w:rsidRPr="00AC6D95">
          <w:rPr>
            <w:rFonts w:ascii="Segoe UI" w:hAnsi="Segoe UI" w:cs="Segoe UI"/>
            <w:noProof/>
            <w:webHidden/>
            <w:sz w:val="19"/>
            <w:szCs w:val="19"/>
          </w:rPr>
          <w:fldChar w:fldCharType="end"/>
        </w:r>
      </w:hyperlink>
    </w:p>
    <w:p w14:paraId="68A5C754" w14:textId="5260F753"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46" w:history="1">
        <w:r w:rsidR="0001090A" w:rsidRPr="00AC6D95">
          <w:rPr>
            <w:rStyle w:val="Collegamentoipertestuale"/>
            <w:rFonts w:ascii="Segoe UI" w:eastAsiaTheme="minorHAnsi" w:hAnsi="Segoe UI" w:cs="Segoe UI"/>
            <w:bCs/>
            <w:noProof/>
            <w:sz w:val="19"/>
            <w:szCs w:val="19"/>
          </w:rPr>
          <w:t>2.3</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rPr>
          <w:t>Rendicontazione non finanziaria: Comunicazione della Commissione europea del 5 luglio 2017</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_Toc507973946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16</w:t>
        </w:r>
        <w:r w:rsidR="0001090A" w:rsidRPr="00AC6D95">
          <w:rPr>
            <w:rFonts w:ascii="Segoe UI" w:hAnsi="Segoe UI" w:cs="Segoe UI"/>
            <w:noProof/>
            <w:webHidden/>
            <w:sz w:val="19"/>
            <w:szCs w:val="19"/>
          </w:rPr>
          <w:fldChar w:fldCharType="end"/>
        </w:r>
      </w:hyperlink>
    </w:p>
    <w:p w14:paraId="3ADCD6EE" w14:textId="44F130B3" w:rsidR="0001090A" w:rsidRPr="00AC6D95" w:rsidRDefault="0047350D" w:rsidP="006D58CC">
      <w:pPr>
        <w:pStyle w:val="Sommario1"/>
        <w:rPr>
          <w:rFonts w:ascii="Segoe UI" w:eastAsiaTheme="minorEastAsia" w:hAnsi="Segoe UI" w:cs="Segoe UI"/>
          <w:noProof/>
          <w:sz w:val="19"/>
          <w:szCs w:val="19"/>
          <w:lang w:eastAsia="it-IT"/>
        </w:rPr>
      </w:pPr>
      <w:hyperlink w:anchor="_Toc507973947" w:history="1">
        <w:r w:rsidR="0001090A" w:rsidRPr="00AC6D95">
          <w:rPr>
            <w:rStyle w:val="Collegamentoipertestuale"/>
            <w:rFonts w:ascii="Segoe UI" w:eastAsiaTheme="minorHAnsi" w:hAnsi="Segoe UI" w:cs="Segoe UI"/>
            <w:noProof/>
            <w:sz w:val="19"/>
            <w:szCs w:val="19"/>
          </w:rPr>
          <w:t>3</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noProof/>
            <w:sz w:val="19"/>
            <w:szCs w:val="19"/>
          </w:rPr>
          <w:t xml:space="preserve">Varietà terminologica ed eterogeneità delle accezioni nelle traduzioni degli </w:t>
        </w:r>
        <w:r w:rsidR="0001090A" w:rsidRPr="00AC6D95">
          <w:rPr>
            <w:rStyle w:val="Collegamentoipertestuale"/>
            <w:rFonts w:ascii="Segoe UI" w:eastAsiaTheme="minorHAnsi" w:hAnsi="Segoe UI" w:cs="Segoe UI"/>
            <w:i/>
            <w:noProof/>
            <w:sz w:val="19"/>
            <w:szCs w:val="19"/>
          </w:rPr>
          <w:t>standard</w:t>
        </w:r>
        <w:r w:rsidR="0001090A" w:rsidRPr="00AC6D95">
          <w:rPr>
            <w:rStyle w:val="Collegamentoipertestuale"/>
            <w:rFonts w:ascii="Segoe UI" w:eastAsiaTheme="minorHAnsi" w:hAnsi="Segoe UI" w:cs="Segoe UI"/>
            <w:noProof/>
            <w:sz w:val="19"/>
            <w:szCs w:val="19"/>
          </w:rPr>
          <w:t xml:space="preserve"> di rendicontazione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_Toc507973947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26</w:t>
        </w:r>
        <w:r w:rsidR="0001090A" w:rsidRPr="00AC6D95">
          <w:rPr>
            <w:rFonts w:ascii="Segoe UI" w:hAnsi="Segoe UI" w:cs="Segoe UI"/>
            <w:noProof/>
            <w:webHidden/>
            <w:sz w:val="19"/>
            <w:szCs w:val="19"/>
          </w:rPr>
          <w:fldChar w:fldCharType="end"/>
        </w:r>
      </w:hyperlink>
    </w:p>
    <w:p w14:paraId="452E3423" w14:textId="5E3EBEB3"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48" w:history="1">
        <w:r w:rsidR="0001090A" w:rsidRPr="00AC6D95">
          <w:rPr>
            <w:rStyle w:val="Collegamentoipertestuale"/>
            <w:rFonts w:ascii="Segoe UI" w:eastAsiaTheme="minorHAnsi" w:hAnsi="Segoe UI" w:cs="Segoe UI"/>
            <w:bCs/>
            <w:noProof/>
            <w:sz w:val="19"/>
            <w:szCs w:val="19"/>
            <w:lang w:val="en-US"/>
          </w:rPr>
          <w:t>3.1</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lang w:val="en-US"/>
          </w:rPr>
          <w:t>Sustainability Reporting Guidelines della Global Reporting Initiative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_Toc507973948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26</w:t>
        </w:r>
        <w:r w:rsidR="0001090A" w:rsidRPr="00AC6D95">
          <w:rPr>
            <w:rFonts w:ascii="Segoe UI" w:hAnsi="Segoe UI" w:cs="Segoe UI"/>
            <w:noProof/>
            <w:webHidden/>
            <w:sz w:val="19"/>
            <w:szCs w:val="19"/>
          </w:rPr>
          <w:fldChar w:fldCharType="end"/>
        </w:r>
      </w:hyperlink>
    </w:p>
    <w:p w14:paraId="18930E17" w14:textId="6F91C15A"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49" w:history="1">
        <w:r w:rsidR="0001090A" w:rsidRPr="00AC6D95">
          <w:rPr>
            <w:rStyle w:val="Collegamentoipertestuale"/>
            <w:rFonts w:ascii="Segoe UI" w:eastAsiaTheme="minorHAnsi" w:hAnsi="Segoe UI" w:cs="Segoe UI"/>
            <w:bCs/>
            <w:noProof/>
            <w:sz w:val="19"/>
            <w:szCs w:val="19"/>
            <w:lang w:val="en-US"/>
          </w:rPr>
          <w:t>3.2</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lang w:val="en-US"/>
          </w:rPr>
          <w:t>International Integrated Reporting Framework dell’International Integrated Reporting Council</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_Toc507973949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29</w:t>
        </w:r>
        <w:r w:rsidR="0001090A" w:rsidRPr="00AC6D95">
          <w:rPr>
            <w:rFonts w:ascii="Segoe UI" w:hAnsi="Segoe UI" w:cs="Segoe UI"/>
            <w:noProof/>
            <w:webHidden/>
            <w:sz w:val="19"/>
            <w:szCs w:val="19"/>
          </w:rPr>
          <w:fldChar w:fldCharType="end"/>
        </w:r>
      </w:hyperlink>
    </w:p>
    <w:p w14:paraId="5C9046FE" w14:textId="1543A864" w:rsidR="0001090A" w:rsidRPr="00AC6D95" w:rsidRDefault="0047350D" w:rsidP="006D58CC">
      <w:pPr>
        <w:pStyle w:val="Sommario1"/>
        <w:rPr>
          <w:rFonts w:ascii="Segoe UI" w:eastAsiaTheme="minorEastAsia" w:hAnsi="Segoe UI" w:cs="Segoe UI"/>
          <w:noProof/>
          <w:sz w:val="19"/>
          <w:szCs w:val="19"/>
          <w:lang w:eastAsia="it-IT"/>
        </w:rPr>
      </w:pPr>
      <w:hyperlink w:anchor="_Toc507973950" w:history="1">
        <w:r w:rsidR="0001090A" w:rsidRPr="00AC6D95">
          <w:rPr>
            <w:rStyle w:val="Collegamentoipertestuale"/>
            <w:rFonts w:ascii="Segoe UI" w:eastAsiaTheme="minorHAnsi" w:hAnsi="Segoe UI" w:cs="Segoe UI"/>
            <w:noProof/>
            <w:sz w:val="19"/>
            <w:szCs w:val="19"/>
          </w:rPr>
          <w:t>4</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noProof/>
            <w:sz w:val="19"/>
            <w:szCs w:val="19"/>
          </w:rPr>
          <w:t>Disallineamento o approssimazioni nei riferimenti dei provvedimenti normativi e interpretativi</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_Toc507973950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35</w:t>
        </w:r>
        <w:r w:rsidR="0001090A" w:rsidRPr="00AC6D95">
          <w:rPr>
            <w:rFonts w:ascii="Segoe UI" w:hAnsi="Segoe UI" w:cs="Segoe UI"/>
            <w:noProof/>
            <w:webHidden/>
            <w:sz w:val="19"/>
            <w:szCs w:val="19"/>
          </w:rPr>
          <w:fldChar w:fldCharType="end"/>
        </w:r>
      </w:hyperlink>
    </w:p>
    <w:p w14:paraId="260078C8" w14:textId="1082E72C"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51" w:history="1">
        <w:r w:rsidR="0001090A" w:rsidRPr="00AC6D95">
          <w:rPr>
            <w:rStyle w:val="Collegamentoipertestuale"/>
            <w:rFonts w:ascii="Segoe UI" w:eastAsiaTheme="minorHAnsi" w:hAnsi="Segoe UI" w:cs="Segoe UI"/>
            <w:bCs/>
            <w:noProof/>
            <w:sz w:val="19"/>
            <w:szCs w:val="19"/>
          </w:rPr>
          <w:t>4.1</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rPr>
          <w:t>Livello normativo europeo e livello legislativo nazionale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_Toc507973951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35</w:t>
        </w:r>
        <w:r w:rsidR="0001090A" w:rsidRPr="00AC6D95">
          <w:rPr>
            <w:rFonts w:ascii="Segoe UI" w:hAnsi="Segoe UI" w:cs="Segoe UI"/>
            <w:noProof/>
            <w:webHidden/>
            <w:sz w:val="19"/>
            <w:szCs w:val="19"/>
          </w:rPr>
          <w:fldChar w:fldCharType="end"/>
        </w:r>
      </w:hyperlink>
    </w:p>
    <w:p w14:paraId="7B2669D1" w14:textId="4172CB9A"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52" w:history="1">
        <w:r w:rsidR="0001090A" w:rsidRPr="00AC6D95">
          <w:rPr>
            <w:rStyle w:val="Collegamentoipertestuale"/>
            <w:rFonts w:ascii="Segoe UI" w:eastAsiaTheme="minorHAnsi" w:hAnsi="Segoe UI" w:cs="Segoe UI"/>
            <w:bCs/>
            <w:noProof/>
            <w:sz w:val="19"/>
            <w:szCs w:val="19"/>
          </w:rPr>
          <w:t>4.2</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rPr>
          <w:t>Livello legislativo nazionale e livello regolamentare nazionale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_Toc507973952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37</w:t>
        </w:r>
        <w:r w:rsidR="0001090A" w:rsidRPr="00AC6D95">
          <w:rPr>
            <w:rFonts w:ascii="Segoe UI" w:hAnsi="Segoe UI" w:cs="Segoe UI"/>
            <w:noProof/>
            <w:webHidden/>
            <w:sz w:val="19"/>
            <w:szCs w:val="19"/>
          </w:rPr>
          <w:fldChar w:fldCharType="end"/>
        </w:r>
      </w:hyperlink>
    </w:p>
    <w:p w14:paraId="0BB67CFA" w14:textId="6377D76C"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53" w:history="1">
        <w:r w:rsidR="0001090A" w:rsidRPr="00AC6D95">
          <w:rPr>
            <w:rStyle w:val="Collegamentoipertestuale"/>
            <w:rFonts w:ascii="Segoe UI" w:eastAsiaTheme="minorHAnsi" w:hAnsi="Segoe UI" w:cs="Segoe UI"/>
            <w:bCs/>
            <w:noProof/>
            <w:sz w:val="19"/>
            <w:szCs w:val="19"/>
          </w:rPr>
          <w:t>4.3</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rPr>
          <w:t>Livello normativo nazionale e livello interpretativo europeo</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_Toc507973953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40</w:t>
        </w:r>
        <w:r w:rsidR="0001090A" w:rsidRPr="00AC6D95">
          <w:rPr>
            <w:rFonts w:ascii="Segoe UI" w:hAnsi="Segoe UI" w:cs="Segoe UI"/>
            <w:noProof/>
            <w:webHidden/>
            <w:sz w:val="19"/>
            <w:szCs w:val="19"/>
          </w:rPr>
          <w:fldChar w:fldCharType="end"/>
        </w:r>
      </w:hyperlink>
    </w:p>
    <w:p w14:paraId="2879F0BC" w14:textId="77777777" w:rsidR="006A6437" w:rsidRPr="00AC6D95" w:rsidRDefault="006A6437" w:rsidP="006D58CC">
      <w:pPr>
        <w:pStyle w:val="Sommario1"/>
        <w:rPr>
          <w:rStyle w:val="Collegamentoipertestuale"/>
          <w:rFonts w:ascii="Segoe UI" w:hAnsi="Segoe UI" w:cs="Segoe UI"/>
          <w:noProof/>
          <w:sz w:val="19"/>
          <w:szCs w:val="19"/>
        </w:rPr>
      </w:pPr>
    </w:p>
    <w:p w14:paraId="72E534A5" w14:textId="086F2FCE" w:rsidR="0001090A" w:rsidRPr="00AC6D95" w:rsidRDefault="0047350D" w:rsidP="006D58CC">
      <w:pPr>
        <w:pStyle w:val="Sommario1"/>
        <w:spacing w:after="0"/>
        <w:rPr>
          <w:rFonts w:ascii="Segoe UI" w:eastAsiaTheme="minorEastAsia" w:hAnsi="Segoe UI" w:cs="Segoe UI"/>
          <w:noProof/>
          <w:sz w:val="19"/>
          <w:szCs w:val="19"/>
          <w:lang w:eastAsia="it-IT"/>
        </w:rPr>
      </w:pPr>
      <w:hyperlink w:anchor="_Toc507973954" w:history="1">
        <w:r w:rsidR="0001090A" w:rsidRPr="00AC6D95">
          <w:rPr>
            <w:rStyle w:val="Collegamentoipertestuale"/>
            <w:rFonts w:ascii="Segoe UI" w:eastAsiaTheme="minorHAnsi" w:hAnsi="Segoe UI" w:cs="Segoe UI"/>
            <w:noProof/>
            <w:sz w:val="19"/>
            <w:szCs w:val="19"/>
          </w:rPr>
          <w:t>PARTE II</w:t>
        </w:r>
      </w:hyperlink>
    </w:p>
    <w:p w14:paraId="5E219620" w14:textId="44FA8291" w:rsidR="0001090A" w:rsidRPr="00AC6D95" w:rsidRDefault="0047350D" w:rsidP="006D58CC">
      <w:pPr>
        <w:pStyle w:val="Sommario1"/>
        <w:tabs>
          <w:tab w:val="clear" w:pos="284"/>
          <w:tab w:val="left" w:pos="0"/>
        </w:tabs>
        <w:spacing w:before="0"/>
        <w:ind w:left="0" w:firstLine="0"/>
        <w:rPr>
          <w:rFonts w:ascii="Segoe UI" w:eastAsiaTheme="minorEastAsia" w:hAnsi="Segoe UI" w:cs="Segoe UI"/>
          <w:noProof/>
          <w:sz w:val="19"/>
          <w:szCs w:val="19"/>
          <w:lang w:eastAsia="it-IT"/>
        </w:rPr>
      </w:pPr>
      <w:hyperlink w:anchor="_Toc507973955" w:history="1">
        <w:r w:rsidR="0001090A" w:rsidRPr="00AC6D95">
          <w:rPr>
            <w:rStyle w:val="Collegamentoipertestuale"/>
            <w:rFonts w:ascii="Segoe UI" w:eastAsiaTheme="minorHAnsi" w:hAnsi="Segoe UI" w:cs="Segoe UI"/>
            <w:noProof/>
            <w:sz w:val="19"/>
            <w:szCs w:val="19"/>
          </w:rPr>
          <w:t>Approfondimenti sul concetto di rilevanza e sulle metodologie per la sua applicazione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_Toc507973955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41</w:t>
        </w:r>
        <w:r w:rsidR="0001090A" w:rsidRPr="00AC6D95">
          <w:rPr>
            <w:rFonts w:ascii="Segoe UI" w:hAnsi="Segoe UI" w:cs="Segoe UI"/>
            <w:noProof/>
            <w:webHidden/>
            <w:sz w:val="19"/>
            <w:szCs w:val="19"/>
          </w:rPr>
          <w:fldChar w:fldCharType="end"/>
        </w:r>
      </w:hyperlink>
    </w:p>
    <w:p w14:paraId="498930F3" w14:textId="3227260E" w:rsidR="0001090A" w:rsidRPr="00AC6D95" w:rsidRDefault="0047350D" w:rsidP="006D58CC">
      <w:pPr>
        <w:pStyle w:val="Sommario1"/>
        <w:rPr>
          <w:rFonts w:ascii="Segoe UI" w:eastAsiaTheme="minorEastAsia" w:hAnsi="Segoe UI" w:cs="Segoe UI"/>
          <w:noProof/>
          <w:sz w:val="19"/>
          <w:szCs w:val="19"/>
          <w:lang w:eastAsia="it-IT"/>
        </w:rPr>
      </w:pPr>
      <w:hyperlink w:anchor="_Toc507973956" w:history="1">
        <w:r w:rsidR="0001090A" w:rsidRPr="00AC6D95">
          <w:rPr>
            <w:rStyle w:val="Collegamentoipertestuale"/>
            <w:rFonts w:ascii="Segoe UI" w:eastAsiaTheme="minorHAnsi" w:hAnsi="Segoe UI" w:cs="Segoe UI"/>
            <w:noProof/>
            <w:sz w:val="19"/>
            <w:szCs w:val="19"/>
          </w:rPr>
          <w:t>5</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i/>
            <w:noProof/>
            <w:sz w:val="19"/>
            <w:szCs w:val="19"/>
          </w:rPr>
          <w:t>Relevance</w:t>
        </w:r>
        <w:r w:rsidR="0001090A" w:rsidRPr="00AC6D95">
          <w:rPr>
            <w:rStyle w:val="Collegamentoipertestuale"/>
            <w:rFonts w:ascii="Segoe UI" w:eastAsiaTheme="minorHAnsi" w:hAnsi="Segoe UI" w:cs="Segoe UI"/>
            <w:noProof/>
            <w:sz w:val="19"/>
            <w:szCs w:val="19"/>
          </w:rPr>
          <w:t xml:space="preserve"> e </w:t>
        </w:r>
        <w:r w:rsidR="0001090A" w:rsidRPr="00AC6D95">
          <w:rPr>
            <w:rStyle w:val="Collegamentoipertestuale"/>
            <w:rFonts w:ascii="Segoe UI" w:eastAsiaTheme="minorHAnsi" w:hAnsi="Segoe UI" w:cs="Segoe UI"/>
            <w:i/>
            <w:noProof/>
            <w:sz w:val="19"/>
            <w:szCs w:val="19"/>
          </w:rPr>
          <w:t>materiality</w:t>
        </w:r>
        <w:r w:rsidR="0001090A" w:rsidRPr="00AC6D95">
          <w:rPr>
            <w:rStyle w:val="Collegamentoipertestuale"/>
            <w:rFonts w:ascii="Segoe UI" w:eastAsiaTheme="minorHAnsi" w:hAnsi="Segoe UI" w:cs="Segoe UI"/>
            <w:noProof/>
            <w:sz w:val="19"/>
            <w:szCs w:val="19"/>
          </w:rPr>
          <w:t xml:space="preserve"> nella </w:t>
        </w:r>
        <w:r w:rsidR="0001090A" w:rsidRPr="00AC6D95">
          <w:rPr>
            <w:rStyle w:val="Collegamentoipertestuale"/>
            <w:rFonts w:ascii="Segoe UI" w:eastAsiaTheme="minorHAnsi" w:hAnsi="Segoe UI" w:cs="Segoe UI"/>
            <w:i/>
            <w:noProof/>
            <w:sz w:val="19"/>
            <w:szCs w:val="19"/>
          </w:rPr>
          <w:t>financial disclosure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_Toc507973956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41</w:t>
        </w:r>
        <w:r w:rsidR="0001090A" w:rsidRPr="00AC6D95">
          <w:rPr>
            <w:rFonts w:ascii="Segoe UI" w:hAnsi="Segoe UI" w:cs="Segoe UI"/>
            <w:noProof/>
            <w:webHidden/>
            <w:sz w:val="19"/>
            <w:szCs w:val="19"/>
          </w:rPr>
          <w:fldChar w:fldCharType="end"/>
        </w:r>
      </w:hyperlink>
    </w:p>
    <w:p w14:paraId="2F27C6A0" w14:textId="498E932F"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57" w:history="1">
        <w:r w:rsidR="0001090A" w:rsidRPr="00AC6D95">
          <w:rPr>
            <w:rStyle w:val="Collegamentoipertestuale"/>
            <w:rFonts w:ascii="Segoe UI" w:eastAsiaTheme="minorHAnsi" w:hAnsi="Segoe UI" w:cs="Segoe UI"/>
            <w:bCs/>
            <w:noProof/>
            <w:sz w:val="19"/>
            <w:szCs w:val="19"/>
            <w:lang w:val="en-US"/>
          </w:rPr>
          <w:t>5.1</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lang w:val="en-US"/>
          </w:rPr>
          <w:t>Approccio dell’International Accounting Standards Board</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_Toc507973957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43</w:t>
        </w:r>
        <w:r w:rsidR="0001090A" w:rsidRPr="00AC6D95">
          <w:rPr>
            <w:rFonts w:ascii="Segoe UI" w:hAnsi="Segoe UI" w:cs="Segoe UI"/>
            <w:noProof/>
            <w:webHidden/>
            <w:sz w:val="19"/>
            <w:szCs w:val="19"/>
          </w:rPr>
          <w:fldChar w:fldCharType="end"/>
        </w:r>
      </w:hyperlink>
    </w:p>
    <w:p w14:paraId="23FBB4A1" w14:textId="14CE6C4A" w:rsidR="0001090A" w:rsidRPr="00AC6D95" w:rsidRDefault="0047350D" w:rsidP="006D58CC">
      <w:pPr>
        <w:pStyle w:val="Sommario1"/>
        <w:rPr>
          <w:rFonts w:ascii="Segoe UI" w:eastAsiaTheme="minorEastAsia" w:hAnsi="Segoe UI" w:cs="Segoe UI"/>
          <w:noProof/>
          <w:sz w:val="19"/>
          <w:szCs w:val="19"/>
          <w:lang w:eastAsia="it-IT"/>
        </w:rPr>
      </w:pPr>
      <w:hyperlink w:anchor="_Toc507973958" w:history="1">
        <w:r w:rsidR="0001090A" w:rsidRPr="00AC6D95">
          <w:rPr>
            <w:rStyle w:val="Collegamentoipertestuale"/>
            <w:rFonts w:ascii="Segoe UI" w:eastAsiaTheme="minorHAnsi" w:hAnsi="Segoe UI" w:cs="Segoe UI"/>
            <w:noProof/>
            <w:sz w:val="19"/>
            <w:szCs w:val="19"/>
          </w:rPr>
          <w:t>6</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i/>
            <w:noProof/>
            <w:sz w:val="19"/>
            <w:szCs w:val="19"/>
          </w:rPr>
          <w:t>Relevance</w:t>
        </w:r>
        <w:r w:rsidR="0001090A" w:rsidRPr="00AC6D95">
          <w:rPr>
            <w:rStyle w:val="Collegamentoipertestuale"/>
            <w:rFonts w:ascii="Segoe UI" w:eastAsiaTheme="minorHAnsi" w:hAnsi="Segoe UI" w:cs="Segoe UI"/>
            <w:noProof/>
            <w:sz w:val="19"/>
            <w:szCs w:val="19"/>
          </w:rPr>
          <w:t xml:space="preserve"> e </w:t>
        </w:r>
        <w:r w:rsidR="0001090A" w:rsidRPr="00AC6D95">
          <w:rPr>
            <w:rStyle w:val="Collegamentoipertestuale"/>
            <w:rFonts w:ascii="Segoe UI" w:eastAsiaTheme="minorHAnsi" w:hAnsi="Segoe UI" w:cs="Segoe UI"/>
            <w:i/>
            <w:noProof/>
            <w:sz w:val="19"/>
            <w:szCs w:val="19"/>
          </w:rPr>
          <w:t>materiality</w:t>
        </w:r>
        <w:r w:rsidR="0001090A" w:rsidRPr="00AC6D95">
          <w:rPr>
            <w:rStyle w:val="Collegamentoipertestuale"/>
            <w:rFonts w:ascii="Segoe UI" w:eastAsiaTheme="minorHAnsi" w:hAnsi="Segoe UI" w:cs="Segoe UI"/>
            <w:noProof/>
            <w:sz w:val="19"/>
            <w:szCs w:val="19"/>
          </w:rPr>
          <w:t xml:space="preserve"> nella </w:t>
        </w:r>
        <w:r w:rsidR="0001090A" w:rsidRPr="00AC6D95">
          <w:rPr>
            <w:rStyle w:val="Collegamentoipertestuale"/>
            <w:rFonts w:ascii="Segoe UI" w:eastAsiaTheme="minorHAnsi" w:hAnsi="Segoe UI" w:cs="Segoe UI"/>
            <w:i/>
            <w:noProof/>
            <w:sz w:val="19"/>
            <w:szCs w:val="19"/>
          </w:rPr>
          <w:t>non-financial disclosure</w:t>
        </w:r>
        <w:r w:rsidR="0001090A" w:rsidRPr="00AC6D95">
          <w:rPr>
            <w:rStyle w:val="Collegamentoipertestuale"/>
            <w:rFonts w:ascii="Segoe UI" w:eastAsiaTheme="minorHAnsi" w:hAnsi="Segoe UI" w:cs="Segoe UI"/>
            <w:noProof/>
            <w:sz w:val="19"/>
            <w:szCs w:val="19"/>
          </w:rPr>
          <w:t>: varietà degli approcci per la loro applicazione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_Toc507973958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46</w:t>
        </w:r>
        <w:r w:rsidR="0001090A" w:rsidRPr="00AC6D95">
          <w:rPr>
            <w:rFonts w:ascii="Segoe UI" w:hAnsi="Segoe UI" w:cs="Segoe UI"/>
            <w:noProof/>
            <w:webHidden/>
            <w:sz w:val="19"/>
            <w:szCs w:val="19"/>
          </w:rPr>
          <w:fldChar w:fldCharType="end"/>
        </w:r>
      </w:hyperlink>
    </w:p>
    <w:p w14:paraId="0A4D496D" w14:textId="495ED68B"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59" w:history="1">
        <w:r w:rsidR="0001090A" w:rsidRPr="00AC6D95">
          <w:rPr>
            <w:rStyle w:val="Collegamentoipertestuale"/>
            <w:rFonts w:ascii="Segoe UI" w:eastAsiaTheme="minorHAnsi" w:hAnsi="Segoe UI" w:cs="Segoe UI"/>
            <w:bCs/>
            <w:noProof/>
            <w:sz w:val="19"/>
            <w:szCs w:val="19"/>
          </w:rPr>
          <w:t>6.1</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rPr>
          <w:t>Approccio della Global Reporting Initiative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_Toc507973959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51</w:t>
        </w:r>
        <w:r w:rsidR="0001090A" w:rsidRPr="00AC6D95">
          <w:rPr>
            <w:rFonts w:ascii="Segoe UI" w:hAnsi="Segoe UI" w:cs="Segoe UI"/>
            <w:noProof/>
            <w:webHidden/>
            <w:sz w:val="19"/>
            <w:szCs w:val="19"/>
          </w:rPr>
          <w:fldChar w:fldCharType="end"/>
        </w:r>
      </w:hyperlink>
    </w:p>
    <w:p w14:paraId="52069245" w14:textId="4089A64F"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60" w:history="1">
        <w:r w:rsidR="0001090A" w:rsidRPr="00AC6D95">
          <w:rPr>
            <w:rStyle w:val="Collegamentoipertestuale"/>
            <w:rFonts w:ascii="Segoe UI" w:eastAsiaTheme="minorHAnsi" w:hAnsi="Segoe UI" w:cs="Segoe UI"/>
            <w:bCs/>
            <w:noProof/>
            <w:sz w:val="19"/>
            <w:szCs w:val="19"/>
            <w:lang w:val="en-US"/>
          </w:rPr>
          <w:t>6.2</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lang w:val="en-US"/>
          </w:rPr>
          <w:t>Approccio dell’International Integrated Reporting Council</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_Toc507973960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60</w:t>
        </w:r>
        <w:r w:rsidR="0001090A" w:rsidRPr="00AC6D95">
          <w:rPr>
            <w:rFonts w:ascii="Segoe UI" w:hAnsi="Segoe UI" w:cs="Segoe UI"/>
            <w:noProof/>
            <w:webHidden/>
            <w:sz w:val="19"/>
            <w:szCs w:val="19"/>
          </w:rPr>
          <w:fldChar w:fldCharType="end"/>
        </w:r>
      </w:hyperlink>
    </w:p>
    <w:p w14:paraId="61263955" w14:textId="43E339E8"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61" w:history="1">
        <w:r w:rsidR="0001090A" w:rsidRPr="00AC6D95">
          <w:rPr>
            <w:rStyle w:val="Collegamentoipertestuale"/>
            <w:rFonts w:ascii="Segoe UI" w:eastAsiaTheme="minorHAnsi" w:hAnsi="Segoe UI" w:cs="Segoe UI"/>
            <w:bCs/>
            <w:noProof/>
            <w:sz w:val="19"/>
            <w:szCs w:val="19"/>
          </w:rPr>
          <w:t>6.3</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rPr>
          <w:t>Approccio di Accountancy Europe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_Toc507973961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67</w:t>
        </w:r>
        <w:r w:rsidR="0001090A" w:rsidRPr="00AC6D95">
          <w:rPr>
            <w:rFonts w:ascii="Segoe UI" w:hAnsi="Segoe UI" w:cs="Segoe UI"/>
            <w:noProof/>
            <w:webHidden/>
            <w:sz w:val="19"/>
            <w:szCs w:val="19"/>
          </w:rPr>
          <w:fldChar w:fldCharType="end"/>
        </w:r>
      </w:hyperlink>
    </w:p>
    <w:p w14:paraId="12724AAC" w14:textId="22EF96B2"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62" w:history="1">
        <w:r w:rsidR="0001090A" w:rsidRPr="00AC6D95">
          <w:rPr>
            <w:rStyle w:val="Collegamentoipertestuale"/>
            <w:rFonts w:ascii="Segoe UI" w:eastAsiaTheme="minorHAnsi" w:hAnsi="Segoe UI" w:cs="Segoe UI"/>
            <w:bCs/>
            <w:noProof/>
            <w:sz w:val="19"/>
            <w:szCs w:val="19"/>
          </w:rPr>
          <w:t>6.4</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rPr>
          <w:t>Approccio della Commissione europea</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_Toc507973962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69</w:t>
        </w:r>
        <w:r w:rsidR="0001090A" w:rsidRPr="00AC6D95">
          <w:rPr>
            <w:rFonts w:ascii="Segoe UI" w:hAnsi="Segoe UI" w:cs="Segoe UI"/>
            <w:noProof/>
            <w:webHidden/>
            <w:sz w:val="19"/>
            <w:szCs w:val="19"/>
          </w:rPr>
          <w:fldChar w:fldCharType="end"/>
        </w:r>
      </w:hyperlink>
    </w:p>
    <w:p w14:paraId="45A76553" w14:textId="0A585E4E" w:rsidR="0001090A" w:rsidRPr="00AC6D95" w:rsidRDefault="0047350D" w:rsidP="006D58CC">
      <w:pPr>
        <w:pStyle w:val="Sommario1"/>
        <w:rPr>
          <w:rFonts w:ascii="Segoe UI" w:eastAsiaTheme="minorEastAsia" w:hAnsi="Segoe UI" w:cs="Segoe UI"/>
          <w:noProof/>
          <w:sz w:val="19"/>
          <w:szCs w:val="19"/>
          <w:lang w:eastAsia="it-IT"/>
        </w:rPr>
      </w:pPr>
      <w:hyperlink w:anchor="_Toc507973963" w:history="1">
        <w:r w:rsidR="0001090A" w:rsidRPr="00AC6D95">
          <w:rPr>
            <w:rStyle w:val="Collegamentoipertestuale"/>
            <w:rFonts w:ascii="Segoe UI" w:eastAsiaTheme="minorHAnsi" w:hAnsi="Segoe UI" w:cs="Segoe UI"/>
            <w:noProof/>
            <w:sz w:val="19"/>
            <w:szCs w:val="19"/>
          </w:rPr>
          <w:t>7</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noProof/>
            <w:sz w:val="19"/>
            <w:szCs w:val="19"/>
          </w:rPr>
          <w:t xml:space="preserve">Problematiche operative nell’applicazione di rilevanza e materialità nella </w:t>
        </w:r>
        <w:r w:rsidR="0001090A" w:rsidRPr="00AC6D95">
          <w:rPr>
            <w:rStyle w:val="Collegamentoipertestuale"/>
            <w:rFonts w:ascii="Segoe UI" w:eastAsiaTheme="minorHAnsi" w:hAnsi="Segoe UI" w:cs="Segoe UI"/>
            <w:i/>
            <w:noProof/>
            <w:sz w:val="19"/>
            <w:szCs w:val="19"/>
          </w:rPr>
          <w:t>disclosure</w:t>
        </w:r>
        <w:r w:rsidR="0001090A" w:rsidRPr="00AC6D95">
          <w:rPr>
            <w:rStyle w:val="Collegamentoipertestuale"/>
            <w:rFonts w:ascii="Segoe UI" w:eastAsiaTheme="minorHAnsi" w:hAnsi="Segoe UI" w:cs="Segoe UI"/>
            <w:noProof/>
            <w:sz w:val="19"/>
            <w:szCs w:val="19"/>
          </w:rPr>
          <w:t xml:space="preserve"> non finanziaria</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_Toc507973963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71</w:t>
        </w:r>
        <w:r w:rsidR="0001090A" w:rsidRPr="00AC6D95">
          <w:rPr>
            <w:rFonts w:ascii="Segoe UI" w:hAnsi="Segoe UI" w:cs="Segoe UI"/>
            <w:noProof/>
            <w:webHidden/>
            <w:sz w:val="19"/>
            <w:szCs w:val="19"/>
          </w:rPr>
          <w:fldChar w:fldCharType="end"/>
        </w:r>
      </w:hyperlink>
    </w:p>
    <w:p w14:paraId="41E70DE0" w14:textId="1219EFE0"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64" w:history="1">
        <w:r w:rsidR="0001090A" w:rsidRPr="00AC6D95">
          <w:rPr>
            <w:rStyle w:val="Collegamentoipertestuale"/>
            <w:rFonts w:ascii="Segoe UI" w:eastAsiaTheme="minorHAnsi" w:hAnsi="Segoe UI" w:cs="Segoe UI"/>
            <w:bCs/>
            <w:noProof/>
            <w:sz w:val="19"/>
            <w:szCs w:val="19"/>
          </w:rPr>
          <w:t>7.1</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rPr>
          <w:t>Problematiche conseguenti a una definizione del principio di rilevanza non condivisa ed univoca</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_Toc507973964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71</w:t>
        </w:r>
        <w:r w:rsidR="0001090A" w:rsidRPr="00AC6D95">
          <w:rPr>
            <w:rFonts w:ascii="Segoe UI" w:hAnsi="Segoe UI" w:cs="Segoe UI"/>
            <w:noProof/>
            <w:webHidden/>
            <w:sz w:val="19"/>
            <w:szCs w:val="19"/>
          </w:rPr>
          <w:fldChar w:fldCharType="end"/>
        </w:r>
      </w:hyperlink>
    </w:p>
    <w:p w14:paraId="580C135B" w14:textId="045CE976" w:rsidR="0001090A" w:rsidRPr="00AC6D95" w:rsidRDefault="0047350D" w:rsidP="005835C1">
      <w:pPr>
        <w:pStyle w:val="Sommario2"/>
        <w:spacing w:before="40" w:after="40"/>
        <w:rPr>
          <w:rFonts w:ascii="Segoe UI" w:eastAsiaTheme="minorEastAsia" w:hAnsi="Segoe UI" w:cs="Segoe UI"/>
          <w:noProof/>
          <w:sz w:val="19"/>
          <w:szCs w:val="19"/>
          <w:lang w:eastAsia="it-IT"/>
        </w:rPr>
      </w:pPr>
      <w:hyperlink w:anchor="_Toc507973965" w:history="1">
        <w:r w:rsidR="0001090A" w:rsidRPr="00AC6D95">
          <w:rPr>
            <w:rStyle w:val="Collegamentoipertestuale"/>
            <w:rFonts w:ascii="Segoe UI" w:eastAsiaTheme="minorHAnsi" w:hAnsi="Segoe UI" w:cs="Segoe UI"/>
            <w:bCs/>
            <w:noProof/>
            <w:sz w:val="19"/>
            <w:szCs w:val="19"/>
          </w:rPr>
          <w:t>7.2</w:t>
        </w:r>
        <w:r w:rsidR="0001090A" w:rsidRPr="00AC6D95">
          <w:rPr>
            <w:rFonts w:ascii="Segoe UI" w:eastAsiaTheme="minorEastAsia" w:hAnsi="Segoe UI" w:cs="Segoe UI"/>
            <w:noProof/>
            <w:sz w:val="19"/>
            <w:szCs w:val="19"/>
            <w:lang w:eastAsia="it-IT"/>
          </w:rPr>
          <w:tab/>
        </w:r>
        <w:r w:rsidR="0001090A" w:rsidRPr="00AC6D95">
          <w:rPr>
            <w:rStyle w:val="Collegamentoipertestuale"/>
            <w:rFonts w:ascii="Segoe UI" w:eastAsiaTheme="minorHAnsi" w:hAnsi="Segoe UI" w:cs="Segoe UI"/>
            <w:bCs/>
            <w:noProof/>
            <w:sz w:val="19"/>
            <w:szCs w:val="19"/>
          </w:rPr>
          <w:t xml:space="preserve">Problematiche conseguenti alla possibilità dell’adozione di </w:t>
        </w:r>
        <w:r w:rsidR="0001090A" w:rsidRPr="00AC6D95">
          <w:rPr>
            <w:rStyle w:val="Collegamentoipertestuale"/>
            <w:rFonts w:ascii="Segoe UI" w:eastAsiaTheme="minorHAnsi" w:hAnsi="Segoe UI" w:cs="Segoe UI"/>
            <w:bCs/>
            <w:i/>
            <w:noProof/>
            <w:sz w:val="19"/>
            <w:szCs w:val="19"/>
          </w:rPr>
          <w:t>standard</w:t>
        </w:r>
        <w:r w:rsidR="0001090A" w:rsidRPr="00AC6D95">
          <w:rPr>
            <w:rStyle w:val="Collegamentoipertestuale"/>
            <w:rFonts w:ascii="Segoe UI" w:eastAsiaTheme="minorHAnsi" w:hAnsi="Segoe UI" w:cs="Segoe UI"/>
            <w:bCs/>
            <w:noProof/>
            <w:sz w:val="19"/>
            <w:szCs w:val="19"/>
          </w:rPr>
          <w:t xml:space="preserve"> di rendicontazione diversi</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_Toc507973965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75</w:t>
        </w:r>
        <w:r w:rsidR="0001090A" w:rsidRPr="00AC6D95">
          <w:rPr>
            <w:rFonts w:ascii="Segoe UI" w:hAnsi="Segoe UI" w:cs="Segoe UI"/>
            <w:noProof/>
            <w:webHidden/>
            <w:sz w:val="19"/>
            <w:szCs w:val="19"/>
          </w:rPr>
          <w:fldChar w:fldCharType="end"/>
        </w:r>
      </w:hyperlink>
    </w:p>
    <w:p w14:paraId="5040A18D" w14:textId="77777777" w:rsidR="006D58CC" w:rsidRPr="00AC6D95" w:rsidRDefault="006D58CC" w:rsidP="006D58CC">
      <w:pPr>
        <w:pStyle w:val="Sommario1"/>
        <w:rPr>
          <w:rStyle w:val="Collegamentoipertestuale"/>
          <w:rFonts w:ascii="Segoe UI" w:hAnsi="Segoe UI" w:cs="Segoe UI"/>
          <w:noProof/>
          <w:sz w:val="19"/>
          <w:szCs w:val="19"/>
        </w:rPr>
      </w:pPr>
    </w:p>
    <w:p w14:paraId="624F60C0" w14:textId="51576748" w:rsidR="0001090A" w:rsidRPr="00AC6D95" w:rsidRDefault="0047350D" w:rsidP="006D58CC">
      <w:pPr>
        <w:pStyle w:val="Sommario1"/>
        <w:rPr>
          <w:rFonts w:ascii="Segoe UI" w:eastAsiaTheme="minorEastAsia" w:hAnsi="Segoe UI" w:cs="Segoe UI"/>
          <w:noProof/>
          <w:sz w:val="19"/>
          <w:szCs w:val="19"/>
          <w:lang w:eastAsia="it-IT"/>
        </w:rPr>
      </w:pPr>
      <w:hyperlink w:anchor="_Toc507973966" w:history="1">
        <w:r w:rsidR="0001090A" w:rsidRPr="00AC6D95">
          <w:rPr>
            <w:rStyle w:val="Collegamentoipertestuale"/>
            <w:rFonts w:ascii="Segoe UI" w:eastAsiaTheme="minorHAnsi" w:hAnsi="Segoe UI" w:cs="Segoe UI"/>
            <w:noProof/>
            <w:sz w:val="19"/>
            <w:szCs w:val="19"/>
          </w:rPr>
          <w:t>Conclusioni</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_Toc507973966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81</w:t>
        </w:r>
        <w:r w:rsidR="0001090A" w:rsidRPr="00AC6D95">
          <w:rPr>
            <w:rFonts w:ascii="Segoe UI" w:hAnsi="Segoe UI" w:cs="Segoe UI"/>
            <w:noProof/>
            <w:webHidden/>
            <w:sz w:val="19"/>
            <w:szCs w:val="19"/>
          </w:rPr>
          <w:fldChar w:fldCharType="end"/>
        </w:r>
      </w:hyperlink>
    </w:p>
    <w:p w14:paraId="4F8465DE" w14:textId="77777777" w:rsidR="006D58CC" w:rsidRPr="00AC6D95" w:rsidRDefault="006D58CC" w:rsidP="006D58CC">
      <w:pPr>
        <w:pStyle w:val="Sommario1"/>
        <w:rPr>
          <w:rStyle w:val="Collegamentoipertestuale"/>
          <w:rFonts w:ascii="Segoe UI" w:hAnsi="Segoe UI" w:cs="Segoe UI"/>
          <w:noProof/>
          <w:sz w:val="19"/>
          <w:szCs w:val="19"/>
        </w:rPr>
      </w:pPr>
    </w:p>
    <w:p w14:paraId="1A3F85A9" w14:textId="4F9A76ED" w:rsidR="0001090A" w:rsidRPr="00AC6D95" w:rsidRDefault="0047350D" w:rsidP="006D58CC">
      <w:pPr>
        <w:pStyle w:val="Sommario1"/>
        <w:rPr>
          <w:rFonts w:ascii="Segoe UI" w:eastAsiaTheme="minorEastAsia" w:hAnsi="Segoe UI" w:cs="Segoe UI"/>
          <w:noProof/>
          <w:sz w:val="19"/>
          <w:szCs w:val="19"/>
          <w:lang w:eastAsia="it-IT"/>
        </w:rPr>
      </w:pPr>
      <w:hyperlink w:anchor="_Toc507973967" w:history="1">
        <w:r w:rsidR="0001090A" w:rsidRPr="00AC6D95">
          <w:rPr>
            <w:rStyle w:val="Collegamentoipertestuale"/>
            <w:rFonts w:ascii="Segoe UI" w:hAnsi="Segoe UI" w:cs="Segoe UI"/>
            <w:smallCaps/>
            <w:noProof/>
            <w:sz w:val="19"/>
            <w:szCs w:val="19"/>
          </w:rPr>
          <w:t>Appendice</w:t>
        </w:r>
      </w:hyperlink>
    </w:p>
    <w:p w14:paraId="11F76B0E" w14:textId="3352968D" w:rsidR="0001090A" w:rsidRPr="00AC6D95" w:rsidRDefault="0047350D" w:rsidP="00BD1845">
      <w:pPr>
        <w:pStyle w:val="Sommario1"/>
        <w:spacing w:before="40"/>
        <w:rPr>
          <w:rFonts w:ascii="Segoe UI" w:eastAsiaTheme="minorEastAsia" w:hAnsi="Segoe UI" w:cs="Segoe UI"/>
          <w:noProof/>
          <w:sz w:val="19"/>
          <w:szCs w:val="19"/>
          <w:lang w:eastAsia="it-IT"/>
        </w:rPr>
      </w:pPr>
      <w:hyperlink w:anchor="_Toc507973968" w:history="1">
        <w:r w:rsidR="0001090A" w:rsidRPr="00AC6D95">
          <w:rPr>
            <w:rStyle w:val="Collegamentoipertestuale"/>
            <w:rFonts w:ascii="Segoe UI" w:hAnsi="Segoe UI" w:cs="Segoe UI"/>
            <w:noProof/>
            <w:sz w:val="19"/>
            <w:szCs w:val="19"/>
          </w:rPr>
          <w:t>Riferimenti normativi</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_Toc507973968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83</w:t>
        </w:r>
        <w:r w:rsidR="0001090A" w:rsidRPr="00AC6D95">
          <w:rPr>
            <w:rFonts w:ascii="Segoe UI" w:hAnsi="Segoe UI" w:cs="Segoe UI"/>
            <w:noProof/>
            <w:webHidden/>
            <w:sz w:val="19"/>
            <w:szCs w:val="19"/>
          </w:rPr>
          <w:fldChar w:fldCharType="end"/>
        </w:r>
      </w:hyperlink>
    </w:p>
    <w:p w14:paraId="5BD2B693" w14:textId="2D9E8ABF" w:rsidR="0001090A" w:rsidRPr="00AC6D95" w:rsidRDefault="0047350D" w:rsidP="00BD1845">
      <w:pPr>
        <w:pStyle w:val="Sommario1"/>
        <w:spacing w:before="40"/>
        <w:rPr>
          <w:rFonts w:ascii="Segoe UI" w:eastAsiaTheme="minorEastAsia" w:hAnsi="Segoe UI" w:cs="Segoe UI"/>
          <w:noProof/>
          <w:sz w:val="19"/>
          <w:szCs w:val="19"/>
          <w:lang w:eastAsia="it-IT"/>
        </w:rPr>
      </w:pPr>
      <w:hyperlink w:anchor="_Toc507973969" w:history="1">
        <w:r w:rsidR="0001090A" w:rsidRPr="00AC6D95">
          <w:rPr>
            <w:rStyle w:val="Collegamentoipertestuale"/>
            <w:rFonts w:ascii="Segoe UI" w:hAnsi="Segoe UI" w:cs="Segoe UI"/>
            <w:noProof/>
            <w:sz w:val="19"/>
            <w:szCs w:val="19"/>
          </w:rPr>
          <w:t>Principali documenti tecnici di settore e della professione contabile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_Toc507973969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84</w:t>
        </w:r>
        <w:r w:rsidR="0001090A" w:rsidRPr="00AC6D95">
          <w:rPr>
            <w:rFonts w:ascii="Segoe UI" w:hAnsi="Segoe UI" w:cs="Segoe UI"/>
            <w:noProof/>
            <w:webHidden/>
            <w:sz w:val="19"/>
            <w:szCs w:val="19"/>
          </w:rPr>
          <w:fldChar w:fldCharType="end"/>
        </w:r>
      </w:hyperlink>
    </w:p>
    <w:p w14:paraId="3DB311F9" w14:textId="7530E077" w:rsidR="0001090A" w:rsidRPr="00AC6D95" w:rsidRDefault="0047350D" w:rsidP="00BD1845">
      <w:pPr>
        <w:pStyle w:val="Sommario1"/>
        <w:spacing w:before="40"/>
        <w:rPr>
          <w:rFonts w:ascii="Segoe UI" w:eastAsiaTheme="minorEastAsia" w:hAnsi="Segoe UI" w:cs="Segoe UI"/>
          <w:noProof/>
          <w:sz w:val="19"/>
          <w:szCs w:val="19"/>
          <w:lang w:eastAsia="it-IT"/>
        </w:rPr>
      </w:pPr>
      <w:hyperlink w:anchor="_Toc507973970" w:history="1">
        <w:r w:rsidR="0001090A" w:rsidRPr="00AC6D95">
          <w:rPr>
            <w:rStyle w:val="Collegamentoipertestuale"/>
            <w:rFonts w:ascii="Segoe UI" w:hAnsi="Segoe UI" w:cs="Segoe UI"/>
            <w:noProof/>
            <w:sz w:val="19"/>
            <w:szCs w:val="19"/>
          </w:rPr>
          <w:t>Linee guida di rendicontazione richiamati nella relazione alla direttiva 2014/95/UE</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_Toc507973970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86</w:t>
        </w:r>
        <w:r w:rsidR="0001090A" w:rsidRPr="00AC6D95">
          <w:rPr>
            <w:rFonts w:ascii="Segoe UI" w:hAnsi="Segoe UI" w:cs="Segoe UI"/>
            <w:noProof/>
            <w:webHidden/>
            <w:sz w:val="19"/>
            <w:szCs w:val="19"/>
          </w:rPr>
          <w:fldChar w:fldCharType="end"/>
        </w:r>
      </w:hyperlink>
    </w:p>
    <w:p w14:paraId="19C55EDE" w14:textId="40F99D25" w:rsidR="0001090A" w:rsidRPr="00AC6D95" w:rsidRDefault="0047350D" w:rsidP="00BD1845">
      <w:pPr>
        <w:pStyle w:val="Sommario1"/>
        <w:spacing w:before="40"/>
        <w:rPr>
          <w:rFonts w:ascii="Segoe UI" w:eastAsiaTheme="minorEastAsia" w:hAnsi="Segoe UI" w:cs="Segoe UI"/>
          <w:noProof/>
          <w:sz w:val="19"/>
          <w:szCs w:val="19"/>
          <w:lang w:eastAsia="it-IT"/>
        </w:rPr>
      </w:pPr>
      <w:hyperlink w:anchor="_Toc507973971" w:history="1">
        <w:r w:rsidR="0001090A" w:rsidRPr="00AC6D95">
          <w:rPr>
            <w:rStyle w:val="Collegamentoipertestuale"/>
            <w:rFonts w:ascii="Segoe UI" w:hAnsi="Segoe UI" w:cs="Segoe UI"/>
            <w:noProof/>
            <w:sz w:val="19"/>
            <w:szCs w:val="19"/>
          </w:rPr>
          <w:t>Principi e standard di rendicontazione di organizzazioni internazionali</w:t>
        </w:r>
        <w:r w:rsidR="0001090A" w:rsidRPr="00AC6D95">
          <w:rPr>
            <w:rFonts w:ascii="Segoe UI" w:hAnsi="Segoe UI" w:cs="Segoe UI"/>
            <w:noProof/>
            <w:webHidden/>
            <w:sz w:val="19"/>
            <w:szCs w:val="19"/>
          </w:rPr>
          <w:tab/>
        </w:r>
        <w:r w:rsidR="0001090A" w:rsidRPr="00AC6D95">
          <w:rPr>
            <w:rFonts w:ascii="Segoe UI" w:hAnsi="Segoe UI" w:cs="Segoe UI"/>
            <w:noProof/>
            <w:webHidden/>
            <w:sz w:val="19"/>
            <w:szCs w:val="19"/>
          </w:rPr>
          <w:fldChar w:fldCharType="begin"/>
        </w:r>
        <w:r w:rsidR="0001090A" w:rsidRPr="00AC6D95">
          <w:rPr>
            <w:rFonts w:ascii="Segoe UI" w:hAnsi="Segoe UI" w:cs="Segoe UI"/>
            <w:noProof/>
            <w:webHidden/>
            <w:sz w:val="19"/>
            <w:szCs w:val="19"/>
          </w:rPr>
          <w:instrText xml:space="preserve"> PAGEREF _Toc507973971 \h </w:instrText>
        </w:r>
        <w:r w:rsidR="0001090A" w:rsidRPr="00AC6D95">
          <w:rPr>
            <w:rFonts w:ascii="Segoe UI" w:hAnsi="Segoe UI" w:cs="Segoe UI"/>
            <w:noProof/>
            <w:webHidden/>
            <w:sz w:val="19"/>
            <w:szCs w:val="19"/>
          </w:rPr>
        </w:r>
        <w:r w:rsidR="0001090A" w:rsidRPr="00AC6D95">
          <w:rPr>
            <w:rFonts w:ascii="Segoe UI" w:hAnsi="Segoe UI" w:cs="Segoe UI"/>
            <w:noProof/>
            <w:webHidden/>
            <w:sz w:val="19"/>
            <w:szCs w:val="19"/>
          </w:rPr>
          <w:fldChar w:fldCharType="separate"/>
        </w:r>
        <w:r w:rsidR="00B74DE0">
          <w:rPr>
            <w:rFonts w:ascii="Segoe UI" w:hAnsi="Segoe UI" w:cs="Segoe UI"/>
            <w:noProof/>
            <w:webHidden/>
            <w:sz w:val="19"/>
            <w:szCs w:val="19"/>
          </w:rPr>
          <w:t>87</w:t>
        </w:r>
        <w:r w:rsidR="0001090A" w:rsidRPr="00AC6D95">
          <w:rPr>
            <w:rFonts w:ascii="Segoe UI" w:hAnsi="Segoe UI" w:cs="Segoe UI"/>
            <w:noProof/>
            <w:webHidden/>
            <w:sz w:val="19"/>
            <w:szCs w:val="19"/>
          </w:rPr>
          <w:fldChar w:fldCharType="end"/>
        </w:r>
      </w:hyperlink>
    </w:p>
    <w:p w14:paraId="09FBEC0C" w14:textId="36A5A771" w:rsidR="0001090A" w:rsidRPr="00BD1845" w:rsidRDefault="002C7938" w:rsidP="006D58CC">
      <w:pPr>
        <w:pStyle w:val="Sommario1"/>
        <w:rPr>
          <w:rFonts w:ascii="Segoe UI" w:hAnsi="Segoe UI" w:cs="Segoe UI"/>
          <w:lang w:eastAsia="it-IT"/>
        </w:rPr>
      </w:pPr>
      <w:r w:rsidRPr="00AC6D95">
        <w:rPr>
          <w:rFonts w:ascii="Segoe UI" w:hAnsi="Segoe UI" w:cs="Segoe UI"/>
          <w:sz w:val="19"/>
          <w:szCs w:val="19"/>
          <w:lang w:eastAsia="it-IT"/>
        </w:rPr>
        <w:fldChar w:fldCharType="end"/>
      </w:r>
    </w:p>
    <w:p w14:paraId="0130A740" w14:textId="77777777" w:rsidR="00F23B76" w:rsidRDefault="00F23B76" w:rsidP="008A164F">
      <w:pPr>
        <w:tabs>
          <w:tab w:val="left" w:pos="426"/>
        </w:tabs>
        <w:spacing w:after="40" w:line="240" w:lineRule="auto"/>
        <w:jc w:val="both"/>
        <w:rPr>
          <w:rFonts w:ascii="Segoe UI" w:eastAsia="Times New Roman" w:hAnsi="Segoe UI" w:cs="Segoe UI"/>
          <w:bCs/>
          <w:szCs w:val="20"/>
          <w:lang w:eastAsia="it-IT"/>
        </w:rPr>
        <w:sectPr w:rsidR="00F23B76" w:rsidSect="00F23B76">
          <w:pgSz w:w="11906" w:h="16838" w:code="9"/>
          <w:pgMar w:top="1985" w:right="1134" w:bottom="1134" w:left="1134" w:header="709" w:footer="709" w:gutter="0"/>
          <w:cols w:space="708"/>
          <w:docGrid w:linePitch="360"/>
        </w:sectPr>
      </w:pPr>
    </w:p>
    <w:tbl>
      <w:tblPr>
        <w:tblStyle w:val="Tabellaelenco7acolori-colore31"/>
        <w:tblW w:w="9639" w:type="dxa"/>
        <w:jc w:val="center"/>
        <w:tblLayout w:type="fixed"/>
        <w:tblLook w:val="04A0" w:firstRow="1" w:lastRow="0" w:firstColumn="1" w:lastColumn="0" w:noHBand="0" w:noVBand="1"/>
      </w:tblPr>
      <w:tblGrid>
        <w:gridCol w:w="9639"/>
      </w:tblGrid>
      <w:tr w:rsidR="00612770" w:rsidRPr="00B637A9" w14:paraId="5A771834" w14:textId="77777777" w:rsidTr="008D274E">
        <w:trPr>
          <w:cnfStyle w:val="100000000000" w:firstRow="1" w:lastRow="0" w:firstColumn="0" w:lastColumn="0" w:oddVBand="0" w:evenVBand="0" w:oddHBand="0" w:evenHBand="0" w:firstRowFirstColumn="0" w:firstRowLastColumn="0" w:lastRowFirstColumn="0" w:lastRowLastColumn="0"/>
          <w:cantSplit/>
          <w:jc w:val="center"/>
        </w:trPr>
        <w:tc>
          <w:tcPr>
            <w:cnfStyle w:val="001000000100" w:firstRow="0" w:lastRow="0" w:firstColumn="1" w:lastColumn="0" w:oddVBand="0" w:evenVBand="0" w:oddHBand="0" w:evenHBand="0" w:firstRowFirstColumn="1" w:firstRowLastColumn="0" w:lastRowFirstColumn="0" w:lastRowLastColumn="0"/>
            <w:tcW w:w="9639" w:type="dxa"/>
            <w:tcBorders>
              <w:bottom w:val="single" w:sz="12" w:space="0" w:color="525252" w:themeColor="accent3" w:themeShade="80"/>
            </w:tcBorders>
          </w:tcPr>
          <w:p w14:paraId="10104015" w14:textId="77777777" w:rsidR="00612770" w:rsidRPr="00B637A9" w:rsidRDefault="00612770" w:rsidP="007510FC">
            <w:pPr>
              <w:spacing w:before="40" w:after="40" w:line="240" w:lineRule="auto"/>
              <w:jc w:val="both"/>
              <w:rPr>
                <w:rFonts w:ascii="Segoe UI" w:hAnsi="Segoe UI" w:cs="Segoe UI"/>
                <w:color w:val="525252" w:themeColor="accent3" w:themeShade="80"/>
                <w:sz w:val="18"/>
                <w:szCs w:val="18"/>
              </w:rPr>
            </w:pPr>
            <w:r w:rsidRPr="00B637A9">
              <w:rPr>
                <w:rFonts w:ascii="Segoe UI" w:hAnsi="Segoe UI" w:cs="Segoe UI"/>
                <w:color w:val="525252" w:themeColor="accent3" w:themeShade="80"/>
                <w:sz w:val="18"/>
                <w:szCs w:val="18"/>
              </w:rPr>
              <w:lastRenderedPageBreak/>
              <w:t>AVVERTENZA</w:t>
            </w:r>
          </w:p>
        </w:tc>
      </w:tr>
      <w:tr w:rsidR="00612770" w:rsidRPr="003E7DE6" w14:paraId="61B83B62" w14:textId="77777777" w:rsidTr="008D274E">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9639" w:type="dxa"/>
            <w:tcBorders>
              <w:top w:val="single" w:sz="12" w:space="0" w:color="525252" w:themeColor="accent3" w:themeShade="80"/>
              <w:right w:val="single" w:sz="12" w:space="0" w:color="525252" w:themeColor="accent3" w:themeShade="80"/>
            </w:tcBorders>
          </w:tcPr>
          <w:p w14:paraId="664A4841" w14:textId="10484DB1" w:rsidR="003B26E8" w:rsidRPr="004572EA" w:rsidRDefault="00A3467A" w:rsidP="007510FC">
            <w:pPr>
              <w:keepLines/>
              <w:spacing w:before="40" w:after="40" w:line="240" w:lineRule="auto"/>
              <w:jc w:val="both"/>
              <w:rPr>
                <w:rFonts w:ascii="Segoe UI" w:hAnsi="Segoe UI" w:cs="Segoe UI"/>
                <w:i w:val="0"/>
                <w:color w:val="525252" w:themeColor="accent3" w:themeShade="80"/>
                <w:sz w:val="18"/>
                <w:szCs w:val="18"/>
              </w:rPr>
            </w:pPr>
            <w:r w:rsidRPr="001333D6">
              <w:rPr>
                <w:rFonts w:ascii="Segoe UI" w:hAnsi="Segoe UI" w:cs="Segoe UI"/>
                <w:i w:val="0"/>
                <w:color w:val="525252" w:themeColor="accent3" w:themeShade="80"/>
                <w:sz w:val="18"/>
                <w:szCs w:val="18"/>
              </w:rPr>
              <w:t xml:space="preserve">Per </w:t>
            </w:r>
            <w:r w:rsidR="00612770" w:rsidRPr="001333D6">
              <w:rPr>
                <w:rFonts w:ascii="Segoe UI" w:hAnsi="Segoe UI" w:cs="Segoe UI"/>
                <w:i w:val="0"/>
                <w:color w:val="525252" w:themeColor="accent3" w:themeShade="80"/>
                <w:sz w:val="18"/>
                <w:szCs w:val="18"/>
              </w:rPr>
              <w:t xml:space="preserve">una più agevole comprensione delle argomentazioni sviluppate, si riportano </w:t>
            </w:r>
            <w:r w:rsidR="00562B69">
              <w:rPr>
                <w:rFonts w:ascii="Segoe UI" w:hAnsi="Segoe UI" w:cs="Segoe UI"/>
                <w:i w:val="0"/>
                <w:color w:val="525252" w:themeColor="accent3" w:themeShade="80"/>
                <w:sz w:val="18"/>
                <w:szCs w:val="18"/>
              </w:rPr>
              <w:t>subi</w:t>
            </w:r>
            <w:r w:rsidR="00FE24B4">
              <w:rPr>
                <w:rFonts w:ascii="Segoe UI" w:hAnsi="Segoe UI" w:cs="Segoe UI"/>
                <w:i w:val="0"/>
                <w:color w:val="525252" w:themeColor="accent3" w:themeShade="80"/>
                <w:sz w:val="18"/>
                <w:szCs w:val="18"/>
              </w:rPr>
              <w:t xml:space="preserve">to, </w:t>
            </w:r>
            <w:r w:rsidR="00FE24B4" w:rsidRPr="001333D6">
              <w:rPr>
                <w:rFonts w:ascii="Segoe UI" w:hAnsi="Segoe UI" w:cs="Segoe UI"/>
                <w:i w:val="0"/>
                <w:color w:val="525252" w:themeColor="accent3" w:themeShade="80"/>
                <w:sz w:val="18"/>
                <w:szCs w:val="18"/>
              </w:rPr>
              <w:t>in ordine cronologico decrescente</w:t>
            </w:r>
            <w:r w:rsidR="00FE24B4">
              <w:rPr>
                <w:rFonts w:ascii="Segoe UI" w:hAnsi="Segoe UI" w:cs="Segoe UI"/>
                <w:i w:val="0"/>
                <w:color w:val="525252" w:themeColor="accent3" w:themeShade="80"/>
                <w:sz w:val="18"/>
                <w:szCs w:val="18"/>
              </w:rPr>
              <w:t>,</w:t>
            </w:r>
            <w:r w:rsidR="00FE24B4" w:rsidRPr="001333D6">
              <w:rPr>
                <w:rFonts w:ascii="Segoe UI" w:hAnsi="Segoe UI" w:cs="Segoe UI"/>
                <w:i w:val="0"/>
                <w:color w:val="525252" w:themeColor="accent3" w:themeShade="80"/>
                <w:sz w:val="18"/>
                <w:szCs w:val="18"/>
              </w:rPr>
              <w:t xml:space="preserve"> </w:t>
            </w:r>
            <w:r w:rsidR="00612770" w:rsidRPr="001333D6">
              <w:rPr>
                <w:rFonts w:ascii="Segoe UI" w:hAnsi="Segoe UI" w:cs="Segoe UI"/>
                <w:i w:val="0"/>
                <w:color w:val="525252" w:themeColor="accent3" w:themeShade="80"/>
                <w:sz w:val="18"/>
                <w:szCs w:val="18"/>
              </w:rPr>
              <w:t>i principali provvedimenti normativi e documenti esaminati in questo</w:t>
            </w:r>
            <w:r w:rsidR="00562B69" w:rsidRPr="001333D6">
              <w:rPr>
                <w:rFonts w:ascii="Segoe UI" w:hAnsi="Segoe UI" w:cs="Segoe UI"/>
                <w:i w:val="0"/>
                <w:color w:val="525252" w:themeColor="accent3" w:themeShade="80"/>
                <w:sz w:val="18"/>
                <w:szCs w:val="18"/>
              </w:rPr>
              <w:t xml:space="preserve"> documento</w:t>
            </w:r>
            <w:r w:rsidR="00612770" w:rsidRPr="001333D6">
              <w:rPr>
                <w:rFonts w:ascii="Segoe UI" w:hAnsi="Segoe UI" w:cs="Segoe UI"/>
                <w:i w:val="0"/>
                <w:color w:val="525252" w:themeColor="accent3" w:themeShade="80"/>
                <w:sz w:val="18"/>
                <w:szCs w:val="18"/>
              </w:rPr>
              <w:t>.</w:t>
            </w:r>
          </w:p>
          <w:p w14:paraId="59F3309D" w14:textId="3791D680" w:rsidR="00D92BFB" w:rsidRPr="004572EA" w:rsidRDefault="00D92BFB" w:rsidP="00A3467A">
            <w:pPr>
              <w:pStyle w:val="Default"/>
              <w:keepLines/>
              <w:numPr>
                <w:ilvl w:val="0"/>
                <w:numId w:val="16"/>
              </w:numPr>
              <w:tabs>
                <w:tab w:val="left" w:pos="567"/>
              </w:tabs>
              <w:spacing w:before="40" w:after="40"/>
              <w:ind w:left="568" w:hanging="284"/>
              <w:jc w:val="both"/>
              <w:rPr>
                <w:rFonts w:ascii="Segoe UI" w:hAnsi="Segoe UI" w:cs="Segoe UI"/>
                <w:i w:val="0"/>
                <w:color w:val="525252" w:themeColor="accent3" w:themeShade="80"/>
                <w:sz w:val="18"/>
                <w:szCs w:val="18"/>
              </w:rPr>
            </w:pPr>
            <w:r w:rsidRPr="004572EA">
              <w:rPr>
                <w:rFonts w:ascii="Segoe UI" w:hAnsi="Segoe UI" w:cs="Segoe UI"/>
                <w:i w:val="0"/>
                <w:color w:val="525252" w:themeColor="accent3" w:themeShade="80"/>
                <w:sz w:val="18"/>
                <w:szCs w:val="18"/>
              </w:rPr>
              <w:t xml:space="preserve">Consob, </w:t>
            </w:r>
            <w:r w:rsidRPr="004572EA">
              <w:rPr>
                <w:rFonts w:ascii="Segoe UI" w:hAnsi="Segoe UI" w:cs="Segoe UI"/>
                <w:color w:val="525252" w:themeColor="accent3" w:themeShade="80"/>
                <w:sz w:val="18"/>
                <w:szCs w:val="18"/>
              </w:rPr>
              <w:t>Regolamento di attuazione d.lgs. 30 dicembre 2016, n. 254, relativo alla comunicazione di informazioni di carattere non finanziario</w:t>
            </w:r>
            <w:r w:rsidRPr="004572EA">
              <w:rPr>
                <w:rFonts w:ascii="Segoe UI" w:hAnsi="Segoe UI" w:cs="Segoe UI"/>
                <w:i w:val="0"/>
                <w:color w:val="525252" w:themeColor="accent3" w:themeShade="80"/>
                <w:sz w:val="18"/>
                <w:szCs w:val="18"/>
              </w:rPr>
              <w:t xml:space="preserve"> (pubblicato nella Gazzetta </w:t>
            </w:r>
            <w:r w:rsidR="004D2BFC">
              <w:rPr>
                <w:rFonts w:ascii="Segoe UI" w:hAnsi="Segoe UI" w:cs="Segoe UI"/>
                <w:i w:val="0"/>
                <w:color w:val="525252" w:themeColor="accent3" w:themeShade="80"/>
                <w:sz w:val="18"/>
                <w:szCs w:val="18"/>
              </w:rPr>
              <w:t>u</w:t>
            </w:r>
            <w:r w:rsidRPr="004572EA">
              <w:rPr>
                <w:rFonts w:ascii="Segoe UI" w:hAnsi="Segoe UI" w:cs="Segoe UI"/>
                <w:i w:val="0"/>
                <w:color w:val="525252" w:themeColor="accent3" w:themeShade="80"/>
                <w:sz w:val="18"/>
                <w:szCs w:val="18"/>
              </w:rPr>
              <w:t>fficiale n. 21 del 26 gennaio 2018).</w:t>
            </w:r>
          </w:p>
          <w:p w14:paraId="4E451833" w14:textId="77777777" w:rsidR="003B26E8" w:rsidRPr="004572EA" w:rsidRDefault="003B26E8" w:rsidP="00A3467A">
            <w:pPr>
              <w:pStyle w:val="Default"/>
              <w:keepLines/>
              <w:numPr>
                <w:ilvl w:val="0"/>
                <w:numId w:val="16"/>
              </w:numPr>
              <w:tabs>
                <w:tab w:val="left" w:pos="567"/>
              </w:tabs>
              <w:spacing w:before="40" w:after="40"/>
              <w:ind w:left="568" w:hanging="284"/>
              <w:jc w:val="both"/>
              <w:rPr>
                <w:rFonts w:ascii="Segoe UI" w:hAnsi="Segoe UI" w:cs="Segoe UI"/>
                <w:i w:val="0"/>
                <w:color w:val="525252" w:themeColor="accent3" w:themeShade="80"/>
                <w:sz w:val="18"/>
                <w:szCs w:val="18"/>
              </w:rPr>
            </w:pPr>
            <w:r w:rsidRPr="00B637A9">
              <w:rPr>
                <w:rFonts w:ascii="Segoe UI" w:hAnsi="Segoe UI" w:cs="Segoe UI"/>
                <w:i w:val="0"/>
                <w:color w:val="525252" w:themeColor="accent3" w:themeShade="80"/>
                <w:sz w:val="18"/>
                <w:szCs w:val="18"/>
              </w:rPr>
              <w:t xml:space="preserve">Consob, “Relazione illustrativa degli esiti della consultazione, delle conseguenze sulla regolamentazione, sull’attività delle imprese e degli operatori e sugli interessi degli investitori e dei risparmiatori. </w:t>
            </w:r>
            <w:r w:rsidRPr="004572EA">
              <w:rPr>
                <w:rFonts w:ascii="Segoe UI" w:hAnsi="Segoe UI" w:cs="Segoe UI"/>
                <w:i w:val="0"/>
                <w:color w:val="525252" w:themeColor="accent3" w:themeShade="80"/>
                <w:sz w:val="18"/>
                <w:szCs w:val="18"/>
              </w:rPr>
              <w:t>Regolamento di attuazione del d.lgs. 30 dicembre 2016, n. 254 relativo alla comunicazione di informazioni di carattere non finanziario”, 19 gennaio 2018.</w:t>
            </w:r>
          </w:p>
          <w:p w14:paraId="5E9CFC11" w14:textId="71B6DFDA" w:rsidR="00612770" w:rsidRPr="00B637A9" w:rsidRDefault="00612770" w:rsidP="00A3467A">
            <w:pPr>
              <w:pStyle w:val="Default"/>
              <w:keepLines/>
              <w:numPr>
                <w:ilvl w:val="0"/>
                <w:numId w:val="16"/>
              </w:numPr>
              <w:tabs>
                <w:tab w:val="left" w:pos="567"/>
              </w:tabs>
              <w:spacing w:before="40" w:after="40"/>
              <w:ind w:left="568" w:hanging="284"/>
              <w:jc w:val="both"/>
              <w:rPr>
                <w:rFonts w:ascii="Segoe UI" w:hAnsi="Segoe UI" w:cs="Segoe UI"/>
                <w:i w:val="0"/>
                <w:color w:val="525252" w:themeColor="accent3" w:themeShade="80"/>
                <w:sz w:val="18"/>
                <w:szCs w:val="18"/>
                <w:lang w:val="en-US"/>
              </w:rPr>
            </w:pPr>
            <w:r w:rsidRPr="00B637A9">
              <w:rPr>
                <w:rFonts w:ascii="Segoe UI" w:hAnsi="Segoe UI" w:cs="Segoe UI"/>
                <w:i w:val="0"/>
                <w:color w:val="525252" w:themeColor="accent3" w:themeShade="80"/>
                <w:sz w:val="18"/>
                <w:szCs w:val="18"/>
                <w:lang w:val="en-US"/>
              </w:rPr>
              <w:t>Accountancy Europe, “Core &amp; More. An opportunity for smarter corporate reporting”, settembre 2017.</w:t>
            </w:r>
          </w:p>
          <w:p w14:paraId="477EF4DD" w14:textId="77777777" w:rsidR="00612770" w:rsidRPr="00B637A9" w:rsidRDefault="00612770" w:rsidP="00A3467A">
            <w:pPr>
              <w:pStyle w:val="Default"/>
              <w:keepLines/>
              <w:numPr>
                <w:ilvl w:val="0"/>
                <w:numId w:val="16"/>
              </w:numPr>
              <w:tabs>
                <w:tab w:val="left" w:pos="567"/>
              </w:tabs>
              <w:spacing w:before="40" w:after="40"/>
              <w:ind w:left="568" w:hanging="284"/>
              <w:jc w:val="both"/>
              <w:rPr>
                <w:rFonts w:ascii="Segoe UI" w:eastAsia="Times New Roman" w:hAnsi="Segoe UI" w:cs="Segoe UI"/>
                <w:color w:val="525252" w:themeColor="accent3" w:themeShade="80"/>
                <w:sz w:val="18"/>
                <w:szCs w:val="18"/>
                <w:lang w:val="en-US" w:eastAsia="it-IT"/>
              </w:rPr>
            </w:pPr>
            <w:r w:rsidRPr="00B637A9">
              <w:rPr>
                <w:rFonts w:ascii="Segoe UI" w:hAnsi="Segoe UI" w:cs="Segoe UI"/>
                <w:i w:val="0"/>
                <w:color w:val="525252" w:themeColor="accent3" w:themeShade="80"/>
                <w:sz w:val="18"/>
                <w:szCs w:val="18"/>
                <w:lang w:val="en-US"/>
              </w:rPr>
              <w:t>International Accounting Standards Board (IASB), “</w:t>
            </w:r>
            <w:r w:rsidRPr="00B637A9">
              <w:rPr>
                <w:rFonts w:ascii="Segoe UI" w:eastAsia="Times New Roman" w:hAnsi="Segoe UI" w:cs="Segoe UI"/>
                <w:i w:val="0"/>
                <w:color w:val="525252" w:themeColor="accent3" w:themeShade="80"/>
                <w:sz w:val="18"/>
                <w:szCs w:val="18"/>
                <w:lang w:val="en-US" w:eastAsia="it-IT"/>
              </w:rPr>
              <w:t>Definition of Material. Proposed amendments to IAS 1 and IAS 8”, Exposure Draft ED/2017/6, IFRS, settembre 2017.</w:t>
            </w:r>
          </w:p>
          <w:p w14:paraId="6C849035" w14:textId="77777777" w:rsidR="00612770" w:rsidRPr="00B637A9" w:rsidRDefault="00612770" w:rsidP="00A3467A">
            <w:pPr>
              <w:pStyle w:val="Default"/>
              <w:keepLines/>
              <w:numPr>
                <w:ilvl w:val="0"/>
                <w:numId w:val="16"/>
              </w:numPr>
              <w:tabs>
                <w:tab w:val="left" w:pos="567"/>
              </w:tabs>
              <w:spacing w:before="40" w:after="40"/>
              <w:ind w:left="568" w:hanging="284"/>
              <w:jc w:val="both"/>
              <w:rPr>
                <w:rFonts w:ascii="Segoe UI" w:hAnsi="Segoe UI" w:cs="Segoe UI"/>
                <w:color w:val="525252" w:themeColor="accent3" w:themeShade="80"/>
                <w:sz w:val="18"/>
                <w:szCs w:val="18"/>
                <w:lang w:val="en-US"/>
              </w:rPr>
            </w:pPr>
            <w:r w:rsidRPr="00B637A9">
              <w:rPr>
                <w:rFonts w:ascii="Segoe UI" w:hAnsi="Segoe UI" w:cs="Segoe UI"/>
                <w:i w:val="0"/>
                <w:color w:val="525252" w:themeColor="accent3" w:themeShade="80"/>
                <w:sz w:val="18"/>
                <w:szCs w:val="18"/>
                <w:lang w:val="en-US"/>
              </w:rPr>
              <w:t>International Accounting Standards Board (IASB), “</w:t>
            </w:r>
            <w:r w:rsidRPr="00B637A9">
              <w:rPr>
                <w:rFonts w:ascii="Segoe UI" w:eastAsia="Times New Roman" w:hAnsi="Segoe UI" w:cs="Segoe UI"/>
                <w:i w:val="0"/>
                <w:color w:val="525252" w:themeColor="accent3" w:themeShade="80"/>
                <w:sz w:val="18"/>
                <w:szCs w:val="18"/>
                <w:lang w:val="en-US" w:eastAsia="it-IT"/>
              </w:rPr>
              <w:t xml:space="preserve">Making Materiality Judgements. </w:t>
            </w:r>
            <w:r w:rsidRPr="00B637A9">
              <w:rPr>
                <w:rFonts w:ascii="Segoe UI" w:eastAsia="Times New Roman" w:hAnsi="Segoe UI" w:cs="Segoe UI"/>
                <w:i w:val="0"/>
                <w:color w:val="525252" w:themeColor="accent3" w:themeShade="80"/>
                <w:sz w:val="18"/>
                <w:szCs w:val="18"/>
                <w:lang w:eastAsia="it-IT"/>
              </w:rPr>
              <w:t>Practice Statement 2”, IFRS, settembre 2017.</w:t>
            </w:r>
          </w:p>
          <w:p w14:paraId="349D3DDC" w14:textId="5FF21AA0" w:rsidR="00612770" w:rsidRPr="00B637A9" w:rsidRDefault="00612770" w:rsidP="00A3467A">
            <w:pPr>
              <w:pStyle w:val="Default"/>
              <w:keepLines/>
              <w:numPr>
                <w:ilvl w:val="0"/>
                <w:numId w:val="16"/>
              </w:numPr>
              <w:tabs>
                <w:tab w:val="left" w:pos="567"/>
              </w:tabs>
              <w:spacing w:before="40" w:after="40"/>
              <w:ind w:left="568" w:hanging="284"/>
              <w:jc w:val="both"/>
              <w:rPr>
                <w:rFonts w:ascii="Segoe UI" w:eastAsia="Times New Roman" w:hAnsi="Segoe UI" w:cs="Segoe UI"/>
                <w:bCs/>
                <w:i w:val="0"/>
                <w:iCs w:val="0"/>
                <w:color w:val="525252" w:themeColor="accent3" w:themeShade="80"/>
                <w:sz w:val="18"/>
                <w:szCs w:val="18"/>
                <w:lang w:eastAsia="it-IT"/>
              </w:rPr>
            </w:pPr>
            <w:r w:rsidRPr="00B637A9">
              <w:rPr>
                <w:rFonts w:ascii="Segoe UI" w:eastAsia="Times New Roman" w:hAnsi="Segoe UI" w:cs="Segoe UI"/>
                <w:bCs/>
                <w:i w:val="0"/>
                <w:color w:val="525252" w:themeColor="accent3" w:themeShade="80"/>
                <w:sz w:val="18"/>
                <w:szCs w:val="18"/>
                <w:lang w:eastAsia="it-IT"/>
              </w:rPr>
              <w:t xml:space="preserve">Consob, Regolamento “Disposizioni attuative del decreto legislativo 30 dicembre 2016, n. 254 relativo alla comunicazione di informazioni di carattere non finanziario”, documento </w:t>
            </w:r>
            <w:r w:rsidR="009A6ECE">
              <w:rPr>
                <w:rFonts w:ascii="Segoe UI" w:eastAsia="Times New Roman" w:hAnsi="Segoe UI" w:cs="Segoe UI"/>
                <w:bCs/>
                <w:i w:val="0"/>
                <w:color w:val="525252" w:themeColor="accent3" w:themeShade="80"/>
                <w:sz w:val="18"/>
                <w:szCs w:val="18"/>
                <w:lang w:eastAsia="it-IT"/>
              </w:rPr>
              <w:t>d</w:t>
            </w:r>
            <w:r w:rsidRPr="00B637A9">
              <w:rPr>
                <w:rFonts w:ascii="Segoe UI" w:eastAsia="Times New Roman" w:hAnsi="Segoe UI" w:cs="Segoe UI"/>
                <w:bCs/>
                <w:i w:val="0"/>
                <w:color w:val="525252" w:themeColor="accent3" w:themeShade="80"/>
                <w:sz w:val="18"/>
                <w:szCs w:val="18"/>
                <w:lang w:eastAsia="it-IT"/>
              </w:rPr>
              <w:t>i consultazione del 21 luglio 2017.</w:t>
            </w:r>
          </w:p>
          <w:p w14:paraId="0F5AFD76" w14:textId="6BF5307D" w:rsidR="00612770" w:rsidRPr="00B637A9" w:rsidRDefault="00612770" w:rsidP="00A3467A">
            <w:pPr>
              <w:pStyle w:val="Default"/>
              <w:keepLines/>
              <w:numPr>
                <w:ilvl w:val="0"/>
                <w:numId w:val="16"/>
              </w:numPr>
              <w:tabs>
                <w:tab w:val="left" w:pos="567"/>
              </w:tabs>
              <w:spacing w:before="40" w:after="40"/>
              <w:ind w:left="568" w:hanging="284"/>
              <w:jc w:val="both"/>
              <w:rPr>
                <w:rFonts w:ascii="Segoe UI" w:eastAsia="Times New Roman" w:hAnsi="Segoe UI" w:cs="Segoe UI"/>
                <w:bCs/>
                <w:i w:val="0"/>
                <w:color w:val="525252" w:themeColor="accent3" w:themeShade="80"/>
                <w:sz w:val="18"/>
                <w:szCs w:val="18"/>
                <w:lang w:eastAsia="it-IT"/>
              </w:rPr>
            </w:pPr>
            <w:r w:rsidRPr="00B637A9">
              <w:rPr>
                <w:rFonts w:ascii="Segoe UI" w:eastAsia="Times New Roman" w:hAnsi="Segoe UI" w:cs="Segoe UI"/>
                <w:bCs/>
                <w:i w:val="0"/>
                <w:color w:val="525252" w:themeColor="accent3" w:themeShade="80"/>
                <w:sz w:val="18"/>
                <w:szCs w:val="18"/>
                <w:lang w:eastAsia="it-IT"/>
              </w:rPr>
              <w:t>Commissione europea, Comunicazione del 5 luglio 2017</w:t>
            </w:r>
            <w:r w:rsidR="004D2BFC">
              <w:rPr>
                <w:rFonts w:ascii="Segoe UI" w:eastAsia="Times New Roman" w:hAnsi="Segoe UI" w:cs="Segoe UI"/>
                <w:bCs/>
                <w:i w:val="0"/>
                <w:color w:val="525252" w:themeColor="accent3" w:themeShade="80"/>
                <w:sz w:val="18"/>
                <w:szCs w:val="18"/>
                <w:lang w:eastAsia="it-IT"/>
              </w:rPr>
              <w:t xml:space="preserve">, </w:t>
            </w:r>
            <w:r w:rsidRPr="00B637A9">
              <w:rPr>
                <w:rFonts w:ascii="Segoe UI" w:eastAsia="Times New Roman" w:hAnsi="Segoe UI" w:cs="Segoe UI"/>
                <w:bCs/>
                <w:i w:val="0"/>
                <w:color w:val="525252" w:themeColor="accent3" w:themeShade="80"/>
                <w:sz w:val="18"/>
                <w:szCs w:val="18"/>
                <w:lang w:eastAsia="it-IT"/>
              </w:rPr>
              <w:t>C 215/01, “Orientamenti sulla comunicazione di informazioni di carattere non finanziario. Metodologia per la comunicazione di informazioni di carattere non finanziario”, Orientamenti “non vincolanti” formulati ai sensi dell’art. 2 della direttiva 2014/95/UE</w:t>
            </w:r>
            <w:r w:rsidR="009E4D42">
              <w:rPr>
                <w:rFonts w:ascii="Segoe UI" w:eastAsia="Times New Roman" w:hAnsi="Segoe UI" w:cs="Segoe UI"/>
                <w:bCs/>
                <w:i w:val="0"/>
                <w:color w:val="525252" w:themeColor="accent3" w:themeShade="80"/>
                <w:sz w:val="18"/>
                <w:szCs w:val="18"/>
                <w:lang w:eastAsia="it-IT"/>
              </w:rPr>
              <w:t xml:space="preserve"> </w:t>
            </w:r>
            <w:r w:rsidR="009E4D42">
              <w:rPr>
                <w:rFonts w:ascii="Segoe UI" w:hAnsi="Segoe UI" w:cs="Segoe UI"/>
                <w:bCs/>
                <w:i w:val="0"/>
                <w:color w:val="525252" w:themeColor="accent3" w:themeShade="80"/>
                <w:sz w:val="18"/>
                <w:szCs w:val="18"/>
                <w:lang w:eastAsia="it-IT"/>
              </w:rPr>
              <w:t>(versioni inglese e italiana)</w:t>
            </w:r>
            <w:r w:rsidRPr="00B637A9">
              <w:rPr>
                <w:rFonts w:ascii="Segoe UI" w:eastAsia="Times New Roman" w:hAnsi="Segoe UI" w:cs="Segoe UI"/>
                <w:bCs/>
                <w:i w:val="0"/>
                <w:color w:val="525252" w:themeColor="accent3" w:themeShade="80"/>
                <w:sz w:val="18"/>
                <w:szCs w:val="18"/>
                <w:lang w:eastAsia="it-IT"/>
              </w:rPr>
              <w:t>.</w:t>
            </w:r>
          </w:p>
          <w:p w14:paraId="7C06E76D" w14:textId="77777777" w:rsidR="002D63A3" w:rsidRPr="00D92BFB" w:rsidRDefault="002D63A3" w:rsidP="00A3467A">
            <w:pPr>
              <w:pStyle w:val="Default"/>
              <w:keepLines/>
              <w:numPr>
                <w:ilvl w:val="0"/>
                <w:numId w:val="16"/>
              </w:numPr>
              <w:tabs>
                <w:tab w:val="left" w:pos="567"/>
              </w:tabs>
              <w:spacing w:before="40" w:after="40"/>
              <w:ind w:left="568" w:hanging="284"/>
              <w:jc w:val="both"/>
              <w:rPr>
                <w:rFonts w:ascii="Segoe UI" w:eastAsia="Times New Roman" w:hAnsi="Segoe UI" w:cs="Segoe UI"/>
                <w:bCs/>
                <w:i w:val="0"/>
                <w:color w:val="525252" w:themeColor="accent3" w:themeShade="80"/>
                <w:sz w:val="18"/>
                <w:szCs w:val="18"/>
                <w:lang w:val="en-US" w:eastAsia="it-IT"/>
              </w:rPr>
            </w:pPr>
            <w:r w:rsidRPr="00D92BFB">
              <w:rPr>
                <w:rFonts w:ascii="Segoe UI" w:eastAsia="Times New Roman" w:hAnsi="Segoe UI" w:cs="Segoe UI"/>
                <w:bCs/>
                <w:i w:val="0"/>
                <w:color w:val="525252" w:themeColor="accent3" w:themeShade="80"/>
                <w:sz w:val="18"/>
                <w:szCs w:val="18"/>
                <w:lang w:val="en-US" w:eastAsia="it-IT"/>
              </w:rPr>
              <w:t>Global Reporting Initiative (GRI) Global Sustainability Standards Board (GSSB), “Linking the GRI Standards and the European Directive on non-financial and diversity disclosure”, 2017.</w:t>
            </w:r>
          </w:p>
          <w:p w14:paraId="77C94B0A" w14:textId="77777777" w:rsidR="00612770" w:rsidRPr="00B637A9" w:rsidRDefault="00612770" w:rsidP="00A3467A">
            <w:pPr>
              <w:pStyle w:val="Default"/>
              <w:keepLines/>
              <w:numPr>
                <w:ilvl w:val="0"/>
                <w:numId w:val="16"/>
              </w:numPr>
              <w:tabs>
                <w:tab w:val="left" w:pos="567"/>
              </w:tabs>
              <w:spacing w:before="40" w:after="40"/>
              <w:ind w:left="568" w:hanging="284"/>
              <w:jc w:val="both"/>
              <w:rPr>
                <w:rFonts w:ascii="Segoe UI" w:eastAsia="Times New Roman" w:hAnsi="Segoe UI" w:cs="Segoe UI"/>
                <w:bCs/>
                <w:i w:val="0"/>
                <w:iCs w:val="0"/>
                <w:color w:val="525252" w:themeColor="accent3" w:themeShade="80"/>
                <w:sz w:val="18"/>
                <w:szCs w:val="18"/>
                <w:lang w:eastAsia="it-IT"/>
              </w:rPr>
            </w:pPr>
            <w:r w:rsidRPr="00B637A9">
              <w:rPr>
                <w:rFonts w:ascii="Segoe UI" w:eastAsia="Times New Roman" w:hAnsi="Segoe UI" w:cs="Segoe UI"/>
                <w:bCs/>
                <w:i w:val="0"/>
                <w:color w:val="525252" w:themeColor="accent3" w:themeShade="80"/>
                <w:sz w:val="18"/>
                <w:szCs w:val="18"/>
                <w:lang w:eastAsia="it-IT"/>
              </w:rPr>
              <w:t xml:space="preserve">Decreto legislativo di recepimento 30 dicembre 2016, n. 254, </w:t>
            </w:r>
            <w:r w:rsidRPr="00B637A9">
              <w:rPr>
                <w:rFonts w:ascii="Segoe UI" w:hAnsi="Segoe UI" w:cs="Segoe UI"/>
                <w:color w:val="525252" w:themeColor="accent3" w:themeShade="80"/>
                <w:sz w:val="18"/>
                <w:szCs w:val="18"/>
              </w:rPr>
              <w:t>Attuazione della direttiva 2014/95/UE del Parlamento europeo e del Consiglio del 22 ottobre 2014, recante modifica alla direttiva 2013/34/UE per quanto riguarda la comunicazione di informazioni di carattere non finanziario e di informazioni sulla diversità da parte di talune imprese e di taluni gruppi di grandi dimensioni</w:t>
            </w:r>
            <w:r w:rsidRPr="00B637A9">
              <w:rPr>
                <w:rFonts w:ascii="Segoe UI" w:hAnsi="Segoe UI" w:cs="Segoe UI"/>
                <w:i w:val="0"/>
                <w:color w:val="525252" w:themeColor="accent3" w:themeShade="80"/>
                <w:sz w:val="18"/>
                <w:szCs w:val="18"/>
              </w:rPr>
              <w:t>.</w:t>
            </w:r>
          </w:p>
          <w:p w14:paraId="0050C0B6" w14:textId="68063D83" w:rsidR="00612770" w:rsidRPr="00674D4B" w:rsidRDefault="00612770" w:rsidP="00A3467A">
            <w:pPr>
              <w:pStyle w:val="Default"/>
              <w:keepLines/>
              <w:numPr>
                <w:ilvl w:val="0"/>
                <w:numId w:val="16"/>
              </w:numPr>
              <w:tabs>
                <w:tab w:val="left" w:pos="567"/>
              </w:tabs>
              <w:spacing w:before="40" w:after="40"/>
              <w:ind w:left="568" w:hanging="284"/>
              <w:jc w:val="both"/>
              <w:rPr>
                <w:rFonts w:ascii="Segoe UI" w:hAnsi="Segoe UI" w:cs="Segoe UI"/>
                <w:i w:val="0"/>
                <w:color w:val="525252" w:themeColor="accent3" w:themeShade="80"/>
                <w:sz w:val="18"/>
                <w:szCs w:val="18"/>
                <w:lang w:val="en-US"/>
              </w:rPr>
            </w:pPr>
            <w:r w:rsidRPr="00B637A9">
              <w:rPr>
                <w:rFonts w:ascii="Segoe UI" w:hAnsi="Segoe UI" w:cs="Segoe UI"/>
                <w:i w:val="0"/>
                <w:color w:val="525252" w:themeColor="accent3" w:themeShade="80"/>
                <w:sz w:val="18"/>
                <w:szCs w:val="18"/>
                <w:lang w:val="en-US"/>
              </w:rPr>
              <w:t>Accountancy Europe, “Disclose what truly matters. Model disclosures under the non-financial and diversity information directive”, novembre 2016.</w:t>
            </w:r>
          </w:p>
          <w:p w14:paraId="0059A4E0" w14:textId="1AF2DFCB" w:rsidR="00674D4B" w:rsidRPr="00674D4B" w:rsidRDefault="00674D4B" w:rsidP="00A3467A">
            <w:pPr>
              <w:pStyle w:val="Default"/>
              <w:keepLines/>
              <w:numPr>
                <w:ilvl w:val="0"/>
                <w:numId w:val="16"/>
              </w:numPr>
              <w:tabs>
                <w:tab w:val="left" w:pos="567"/>
              </w:tabs>
              <w:spacing w:before="40" w:after="40"/>
              <w:ind w:left="568" w:hanging="284"/>
              <w:jc w:val="both"/>
              <w:rPr>
                <w:rFonts w:ascii="Segoe UI" w:hAnsi="Segoe UI" w:cs="Segoe UI"/>
                <w:i w:val="0"/>
                <w:color w:val="525252" w:themeColor="accent3" w:themeShade="80"/>
                <w:sz w:val="18"/>
                <w:szCs w:val="18"/>
                <w:lang w:val="en-US"/>
              </w:rPr>
            </w:pPr>
            <w:r w:rsidRPr="00674D4B">
              <w:rPr>
                <w:rFonts w:ascii="Segoe UI" w:hAnsi="Segoe UI" w:cs="Segoe UI"/>
                <w:i w:val="0"/>
                <w:color w:val="525252" w:themeColor="accent3" w:themeShade="80"/>
                <w:sz w:val="18"/>
                <w:szCs w:val="18"/>
                <w:lang w:val="en-US"/>
              </w:rPr>
              <w:t>Corporate Reporting Dialogue, “Statement of Common Principles of Materiality”, marzo 2016.</w:t>
            </w:r>
          </w:p>
          <w:p w14:paraId="34FDC62F" w14:textId="1E270619" w:rsidR="00612770" w:rsidRPr="00B637A9" w:rsidRDefault="00D46CF5" w:rsidP="00A3467A">
            <w:pPr>
              <w:pStyle w:val="Default"/>
              <w:keepLines/>
              <w:numPr>
                <w:ilvl w:val="0"/>
                <w:numId w:val="16"/>
              </w:numPr>
              <w:tabs>
                <w:tab w:val="left" w:pos="567"/>
              </w:tabs>
              <w:spacing w:before="40" w:after="40"/>
              <w:ind w:left="568" w:hanging="284"/>
              <w:jc w:val="both"/>
              <w:rPr>
                <w:rFonts w:ascii="Segoe UI" w:hAnsi="Segoe UI" w:cs="Segoe UI"/>
                <w:i w:val="0"/>
                <w:color w:val="525252" w:themeColor="accent3" w:themeShade="80"/>
                <w:sz w:val="18"/>
                <w:szCs w:val="18"/>
                <w:lang w:val="en-US"/>
              </w:rPr>
            </w:pPr>
            <w:r w:rsidRPr="00B637A9">
              <w:rPr>
                <w:rFonts w:ascii="Segoe UI" w:hAnsi="Segoe UI" w:cs="Segoe UI"/>
                <w:i w:val="0"/>
                <w:color w:val="525252" w:themeColor="accent3" w:themeShade="80"/>
                <w:sz w:val="18"/>
                <w:szCs w:val="18"/>
                <w:lang w:val="en-US"/>
              </w:rPr>
              <w:t xml:space="preserve">Global Reporting Initiative (GRI) </w:t>
            </w:r>
            <w:r w:rsidR="00612770" w:rsidRPr="00B637A9">
              <w:rPr>
                <w:rFonts w:ascii="Segoe UI" w:hAnsi="Segoe UI" w:cs="Segoe UI"/>
                <w:i w:val="0"/>
                <w:color w:val="525252" w:themeColor="accent3" w:themeShade="80"/>
                <w:sz w:val="18"/>
                <w:szCs w:val="18"/>
                <w:lang w:val="en-US"/>
              </w:rPr>
              <w:t xml:space="preserve">Global Sustainability Standards Board (GSSB), </w:t>
            </w:r>
            <w:r>
              <w:rPr>
                <w:rFonts w:ascii="Segoe UI" w:hAnsi="Segoe UI" w:cs="Segoe UI"/>
                <w:i w:val="0"/>
                <w:color w:val="525252" w:themeColor="accent3" w:themeShade="80"/>
                <w:sz w:val="18"/>
                <w:szCs w:val="18"/>
                <w:lang w:val="en-US"/>
              </w:rPr>
              <w:t>“</w:t>
            </w:r>
            <w:r w:rsidR="00612770" w:rsidRPr="00B637A9">
              <w:rPr>
                <w:rFonts w:ascii="Segoe UI" w:hAnsi="Segoe UI" w:cs="Segoe UI"/>
                <w:i w:val="0"/>
                <w:color w:val="525252" w:themeColor="accent3" w:themeShade="80"/>
                <w:sz w:val="18"/>
                <w:szCs w:val="18"/>
                <w:lang w:val="en-US"/>
              </w:rPr>
              <w:t>Sustainability Reporting (SR) Standards</w:t>
            </w:r>
            <w:r>
              <w:rPr>
                <w:rFonts w:ascii="Segoe UI" w:hAnsi="Segoe UI" w:cs="Segoe UI"/>
                <w:i w:val="0"/>
                <w:color w:val="525252" w:themeColor="accent3" w:themeShade="80"/>
                <w:sz w:val="18"/>
                <w:szCs w:val="18"/>
                <w:lang w:val="en-US"/>
              </w:rPr>
              <w:t>”</w:t>
            </w:r>
            <w:r w:rsidR="00612770" w:rsidRPr="00B637A9">
              <w:rPr>
                <w:rFonts w:ascii="Segoe UI" w:hAnsi="Segoe UI" w:cs="Segoe UI"/>
                <w:i w:val="0"/>
                <w:color w:val="525252" w:themeColor="accent3" w:themeShade="80"/>
                <w:sz w:val="18"/>
                <w:szCs w:val="18"/>
                <w:lang w:val="en-US"/>
              </w:rPr>
              <w:t>, 2016.</w:t>
            </w:r>
          </w:p>
          <w:p w14:paraId="06A8B82B" w14:textId="77777777" w:rsidR="00612770" w:rsidRPr="00B637A9" w:rsidRDefault="00612770" w:rsidP="00A3467A">
            <w:pPr>
              <w:pStyle w:val="Default"/>
              <w:keepLines/>
              <w:numPr>
                <w:ilvl w:val="0"/>
                <w:numId w:val="16"/>
              </w:numPr>
              <w:tabs>
                <w:tab w:val="left" w:pos="567"/>
              </w:tabs>
              <w:spacing w:before="40" w:after="40"/>
              <w:ind w:left="568" w:hanging="284"/>
              <w:jc w:val="both"/>
              <w:rPr>
                <w:rFonts w:ascii="Segoe UI" w:hAnsi="Segoe UI" w:cs="Segoe UI"/>
                <w:i w:val="0"/>
                <w:color w:val="525252" w:themeColor="accent3" w:themeShade="80"/>
                <w:sz w:val="18"/>
                <w:szCs w:val="18"/>
                <w:lang w:val="en-US"/>
              </w:rPr>
            </w:pPr>
            <w:r w:rsidRPr="00B637A9">
              <w:rPr>
                <w:rFonts w:ascii="Segoe UI" w:hAnsi="Segoe UI" w:cs="Segoe UI"/>
                <w:i w:val="0"/>
                <w:color w:val="525252" w:themeColor="accent3" w:themeShade="80"/>
                <w:sz w:val="18"/>
                <w:szCs w:val="18"/>
                <w:lang w:val="en-US"/>
              </w:rPr>
              <w:t>Global Reporting Initiative (GRI) e RobecoSAM, “Defining what matters. Do company and investors agree on what is material?”, 2016.</w:t>
            </w:r>
          </w:p>
          <w:p w14:paraId="11AE093D" w14:textId="5D1E6E90" w:rsidR="00612770" w:rsidRDefault="00D46CF5" w:rsidP="00A3467A">
            <w:pPr>
              <w:pStyle w:val="Default"/>
              <w:keepLines/>
              <w:numPr>
                <w:ilvl w:val="0"/>
                <w:numId w:val="16"/>
              </w:numPr>
              <w:tabs>
                <w:tab w:val="left" w:pos="567"/>
              </w:tabs>
              <w:spacing w:before="40" w:after="40"/>
              <w:ind w:left="568" w:hanging="284"/>
              <w:jc w:val="both"/>
              <w:rPr>
                <w:rFonts w:ascii="Segoe UI" w:eastAsia="Times New Roman" w:hAnsi="Segoe UI" w:cs="Segoe UI"/>
                <w:bCs/>
                <w:i w:val="0"/>
                <w:iCs w:val="0"/>
                <w:color w:val="525252" w:themeColor="accent3" w:themeShade="80"/>
                <w:sz w:val="18"/>
                <w:szCs w:val="18"/>
                <w:lang w:val="en-US" w:eastAsia="it-IT"/>
              </w:rPr>
            </w:pPr>
            <w:r w:rsidRPr="00B637A9">
              <w:rPr>
                <w:rFonts w:ascii="Segoe UI" w:eastAsia="Times New Roman" w:hAnsi="Segoe UI" w:cs="Segoe UI"/>
                <w:bCs/>
                <w:i w:val="0"/>
                <w:iCs w:val="0"/>
                <w:color w:val="525252" w:themeColor="accent3" w:themeShade="80"/>
                <w:sz w:val="18"/>
                <w:szCs w:val="18"/>
                <w:lang w:val="en-US" w:eastAsia="it-IT"/>
              </w:rPr>
              <w:t>International Federation of Accountants (IFAC)</w:t>
            </w:r>
            <w:r>
              <w:rPr>
                <w:rFonts w:ascii="Segoe UI" w:eastAsia="Times New Roman" w:hAnsi="Segoe UI" w:cs="Segoe UI"/>
                <w:bCs/>
                <w:i w:val="0"/>
                <w:iCs w:val="0"/>
                <w:color w:val="525252" w:themeColor="accent3" w:themeShade="80"/>
                <w:sz w:val="18"/>
                <w:szCs w:val="18"/>
                <w:lang w:val="en-US" w:eastAsia="it-IT"/>
              </w:rPr>
              <w:t xml:space="preserve"> e </w:t>
            </w:r>
            <w:r w:rsidR="00612770" w:rsidRPr="00B637A9">
              <w:rPr>
                <w:rFonts w:ascii="Segoe UI" w:eastAsia="Times New Roman" w:hAnsi="Segoe UI" w:cs="Segoe UI"/>
                <w:bCs/>
                <w:i w:val="0"/>
                <w:iCs w:val="0"/>
                <w:color w:val="525252" w:themeColor="accent3" w:themeShade="80"/>
                <w:sz w:val="18"/>
                <w:szCs w:val="18"/>
                <w:lang w:val="en-US" w:eastAsia="it-IT"/>
              </w:rPr>
              <w:t>International Integrated Reporting Council (IIRC), “Materiality in IR. Guidance for the preparation of integrated reports”, novembre 2015.</w:t>
            </w:r>
          </w:p>
          <w:p w14:paraId="2255504B" w14:textId="77777777" w:rsidR="00765A94" w:rsidRPr="00765A94" w:rsidRDefault="00765A94" w:rsidP="00A3467A">
            <w:pPr>
              <w:pStyle w:val="Default"/>
              <w:keepLines/>
              <w:numPr>
                <w:ilvl w:val="0"/>
                <w:numId w:val="16"/>
              </w:numPr>
              <w:tabs>
                <w:tab w:val="left" w:pos="567"/>
              </w:tabs>
              <w:spacing w:before="40" w:after="40"/>
              <w:ind w:left="568" w:hanging="284"/>
              <w:jc w:val="both"/>
              <w:rPr>
                <w:rFonts w:ascii="Segoe UI" w:eastAsia="Times New Roman" w:hAnsi="Segoe UI" w:cs="Segoe UI"/>
                <w:bCs/>
                <w:i w:val="0"/>
                <w:iCs w:val="0"/>
                <w:color w:val="525252" w:themeColor="accent3" w:themeShade="80"/>
                <w:sz w:val="18"/>
                <w:szCs w:val="18"/>
                <w:lang w:val="en-US" w:eastAsia="it-IT"/>
              </w:rPr>
            </w:pPr>
            <w:r w:rsidRPr="00765A94">
              <w:rPr>
                <w:rFonts w:ascii="Segoe UI" w:eastAsia="Times New Roman" w:hAnsi="Segoe UI" w:cs="Segoe UI"/>
                <w:bCs/>
                <w:i w:val="0"/>
                <w:iCs w:val="0"/>
                <w:color w:val="525252" w:themeColor="accent3" w:themeShade="80"/>
                <w:sz w:val="18"/>
                <w:szCs w:val="18"/>
                <w:lang w:val="en-US" w:eastAsia="it-IT"/>
              </w:rPr>
              <w:t>Global Reporting Initiative (GRI), “Making headway in Europe. Linking GRI’s G4 Guidelines and the European Directive on non-financial and diversity disclosure”, 2015.</w:t>
            </w:r>
          </w:p>
          <w:p w14:paraId="5CA524CD" w14:textId="77777777" w:rsidR="00612770" w:rsidRPr="00B637A9" w:rsidRDefault="00612770" w:rsidP="00A3467A">
            <w:pPr>
              <w:pStyle w:val="Default"/>
              <w:keepLines/>
              <w:numPr>
                <w:ilvl w:val="0"/>
                <w:numId w:val="16"/>
              </w:numPr>
              <w:tabs>
                <w:tab w:val="left" w:pos="567"/>
              </w:tabs>
              <w:spacing w:before="40" w:after="40"/>
              <w:ind w:left="568" w:hanging="284"/>
              <w:jc w:val="both"/>
              <w:rPr>
                <w:rFonts w:ascii="Segoe UI" w:hAnsi="Segoe UI" w:cs="Segoe UI"/>
                <w:i w:val="0"/>
                <w:color w:val="525252" w:themeColor="accent3" w:themeShade="80"/>
                <w:sz w:val="18"/>
                <w:szCs w:val="18"/>
                <w:lang w:val="en-US"/>
              </w:rPr>
            </w:pPr>
            <w:r w:rsidRPr="00B637A9">
              <w:rPr>
                <w:rFonts w:ascii="Segoe UI" w:hAnsi="Segoe UI" w:cs="Segoe UI"/>
                <w:i w:val="0"/>
                <w:color w:val="525252" w:themeColor="accent3" w:themeShade="80"/>
                <w:sz w:val="18"/>
                <w:szCs w:val="18"/>
                <w:lang w:val="en-US"/>
              </w:rPr>
              <w:t>Global Reporting Initiative (GRI) e RobecoSAM, “Defining materiality. What matters to reporters and investors”, 2015.</w:t>
            </w:r>
          </w:p>
          <w:p w14:paraId="4681BCCA" w14:textId="77E5451D" w:rsidR="00612770" w:rsidRPr="00B637A9" w:rsidRDefault="00612770" w:rsidP="00A3467A">
            <w:pPr>
              <w:pStyle w:val="Default"/>
              <w:keepLines/>
              <w:numPr>
                <w:ilvl w:val="0"/>
                <w:numId w:val="16"/>
              </w:numPr>
              <w:tabs>
                <w:tab w:val="left" w:pos="567"/>
              </w:tabs>
              <w:spacing w:before="40" w:after="40"/>
              <w:ind w:left="568" w:hanging="284"/>
              <w:jc w:val="both"/>
              <w:rPr>
                <w:rFonts w:ascii="Segoe UI" w:eastAsia="Times New Roman" w:hAnsi="Segoe UI" w:cs="Segoe UI"/>
                <w:bCs/>
                <w:i w:val="0"/>
                <w:color w:val="525252" w:themeColor="accent3" w:themeShade="80"/>
                <w:sz w:val="18"/>
                <w:szCs w:val="18"/>
                <w:lang w:eastAsia="it-IT"/>
              </w:rPr>
            </w:pPr>
            <w:r w:rsidRPr="00B637A9">
              <w:rPr>
                <w:rFonts w:ascii="Segoe UI" w:eastAsia="Times New Roman" w:hAnsi="Segoe UI" w:cs="Segoe UI"/>
                <w:bCs/>
                <w:i w:val="0"/>
                <w:color w:val="525252" w:themeColor="accent3" w:themeShade="80"/>
                <w:sz w:val="18"/>
                <w:szCs w:val="18"/>
                <w:lang w:eastAsia="it-IT"/>
              </w:rPr>
              <w:t>Direttiva 2014/95/UE (Non financial disclosure Directive), d</w:t>
            </w:r>
            <w:r w:rsidRPr="00B637A9">
              <w:rPr>
                <w:rFonts w:ascii="Segoe UI" w:hAnsi="Segoe UI" w:cs="Segoe UI"/>
                <w:bCs/>
                <w:i w:val="0"/>
                <w:color w:val="525252" w:themeColor="accent3" w:themeShade="80"/>
                <w:sz w:val="18"/>
                <w:szCs w:val="18"/>
                <w:lang w:eastAsia="it-IT"/>
              </w:rPr>
              <w:t xml:space="preserve">el Parlamento europeo e del Consiglio del 22 ottobre 2014 </w:t>
            </w:r>
            <w:r w:rsidRPr="00B637A9">
              <w:rPr>
                <w:rFonts w:ascii="Segoe UI" w:hAnsi="Segoe UI" w:cs="Segoe UI"/>
                <w:bCs/>
                <w:color w:val="525252" w:themeColor="accent3" w:themeShade="80"/>
                <w:sz w:val="18"/>
                <w:szCs w:val="18"/>
                <w:lang w:eastAsia="it-IT"/>
              </w:rPr>
              <w:t>recante modifica della direttiva 2013/34/UE per quanto riguarda la comunicazione di informazioni di carattere non finanziario e di informazioni sulla diversità da parte di talune imprese e di taluni gruppi di grandi dimensioni</w:t>
            </w:r>
            <w:r w:rsidR="003855E3">
              <w:rPr>
                <w:rFonts w:ascii="Segoe UI" w:hAnsi="Segoe UI" w:cs="Segoe UI"/>
                <w:bCs/>
                <w:i w:val="0"/>
                <w:color w:val="525252" w:themeColor="accent3" w:themeShade="80"/>
                <w:sz w:val="18"/>
                <w:szCs w:val="18"/>
                <w:lang w:eastAsia="it-IT"/>
              </w:rPr>
              <w:t xml:space="preserve"> (versioni inglese e italiana)</w:t>
            </w:r>
            <w:r w:rsidRPr="00B637A9">
              <w:rPr>
                <w:rFonts w:ascii="Segoe UI" w:hAnsi="Segoe UI" w:cs="Segoe UI"/>
                <w:bCs/>
                <w:i w:val="0"/>
                <w:color w:val="525252" w:themeColor="accent3" w:themeShade="80"/>
                <w:sz w:val="18"/>
                <w:szCs w:val="18"/>
                <w:lang w:eastAsia="it-IT"/>
              </w:rPr>
              <w:t>.</w:t>
            </w:r>
          </w:p>
          <w:p w14:paraId="7A3475EF" w14:textId="7A418BB8" w:rsidR="00612770" w:rsidRPr="00B637A9" w:rsidRDefault="00612770" w:rsidP="00A3467A">
            <w:pPr>
              <w:pStyle w:val="Default"/>
              <w:keepLines/>
              <w:numPr>
                <w:ilvl w:val="0"/>
                <w:numId w:val="16"/>
              </w:numPr>
              <w:tabs>
                <w:tab w:val="left" w:pos="567"/>
              </w:tabs>
              <w:spacing w:before="40" w:after="40"/>
              <w:ind w:left="568" w:hanging="284"/>
              <w:jc w:val="both"/>
              <w:rPr>
                <w:rFonts w:ascii="Segoe UI" w:eastAsia="Times New Roman" w:hAnsi="Segoe UI" w:cs="Segoe UI"/>
                <w:bCs/>
                <w:i w:val="0"/>
                <w:iCs w:val="0"/>
                <w:color w:val="525252" w:themeColor="accent3" w:themeShade="80"/>
                <w:sz w:val="18"/>
                <w:szCs w:val="18"/>
                <w:lang w:val="en-US" w:eastAsia="it-IT"/>
              </w:rPr>
            </w:pPr>
            <w:r w:rsidRPr="00B637A9">
              <w:rPr>
                <w:rFonts w:ascii="Segoe UI" w:eastAsia="Times New Roman" w:hAnsi="Segoe UI" w:cs="Segoe UI"/>
                <w:bCs/>
                <w:i w:val="0"/>
                <w:iCs w:val="0"/>
                <w:color w:val="525252" w:themeColor="accent3" w:themeShade="80"/>
                <w:sz w:val="18"/>
                <w:szCs w:val="18"/>
                <w:lang w:val="en-US" w:eastAsia="it-IT"/>
              </w:rPr>
              <w:t xml:space="preserve">International Integrated Reporting Council (IIRC), </w:t>
            </w:r>
            <w:r w:rsidR="007D5424">
              <w:rPr>
                <w:rFonts w:ascii="Segoe UI" w:eastAsia="Times New Roman" w:hAnsi="Segoe UI" w:cs="Segoe UI"/>
                <w:bCs/>
                <w:i w:val="0"/>
                <w:iCs w:val="0"/>
                <w:color w:val="525252" w:themeColor="accent3" w:themeShade="80"/>
                <w:sz w:val="18"/>
                <w:szCs w:val="18"/>
                <w:lang w:val="en-US" w:eastAsia="it-IT"/>
              </w:rPr>
              <w:t>“</w:t>
            </w:r>
            <w:r w:rsidRPr="00B637A9">
              <w:rPr>
                <w:rFonts w:ascii="Segoe UI" w:eastAsia="Times New Roman" w:hAnsi="Segoe UI" w:cs="Segoe UI"/>
                <w:bCs/>
                <w:i w:val="0"/>
                <w:iCs w:val="0"/>
                <w:color w:val="525252" w:themeColor="accent3" w:themeShade="80"/>
                <w:sz w:val="18"/>
                <w:szCs w:val="18"/>
                <w:lang w:val="en-US" w:eastAsia="it-IT"/>
              </w:rPr>
              <w:t>International Integrated Reporting (IR) Framework</w:t>
            </w:r>
            <w:r w:rsidR="007D5424">
              <w:rPr>
                <w:rFonts w:ascii="Segoe UI" w:eastAsia="Times New Roman" w:hAnsi="Segoe UI" w:cs="Segoe UI"/>
                <w:bCs/>
                <w:i w:val="0"/>
                <w:iCs w:val="0"/>
                <w:color w:val="525252" w:themeColor="accent3" w:themeShade="80"/>
                <w:sz w:val="18"/>
                <w:szCs w:val="18"/>
                <w:lang w:val="en-US" w:eastAsia="it-IT"/>
              </w:rPr>
              <w:t>”,</w:t>
            </w:r>
            <w:r w:rsidRPr="00B637A9">
              <w:rPr>
                <w:rFonts w:ascii="Segoe UI" w:eastAsia="Times New Roman" w:hAnsi="Segoe UI" w:cs="Segoe UI"/>
                <w:bCs/>
                <w:i w:val="0"/>
                <w:iCs w:val="0"/>
                <w:color w:val="525252" w:themeColor="accent3" w:themeShade="80"/>
                <w:sz w:val="18"/>
                <w:szCs w:val="18"/>
                <w:lang w:val="en-US" w:eastAsia="it-IT"/>
              </w:rPr>
              <w:t xml:space="preserve"> 1.0, dicembre 2013.</w:t>
            </w:r>
          </w:p>
          <w:p w14:paraId="3201F812" w14:textId="76CA6A9E" w:rsidR="00612770" w:rsidRPr="004D2BFC" w:rsidRDefault="00612770" w:rsidP="00A3467A">
            <w:pPr>
              <w:pStyle w:val="Default"/>
              <w:keepLines/>
              <w:numPr>
                <w:ilvl w:val="0"/>
                <w:numId w:val="16"/>
              </w:numPr>
              <w:tabs>
                <w:tab w:val="left" w:pos="567"/>
              </w:tabs>
              <w:spacing w:before="40" w:after="40"/>
              <w:ind w:left="568" w:hanging="284"/>
              <w:jc w:val="both"/>
              <w:rPr>
                <w:rFonts w:ascii="Segoe UI" w:hAnsi="Segoe UI" w:cs="Segoe UI"/>
                <w:color w:val="525252" w:themeColor="accent3" w:themeShade="80"/>
                <w:sz w:val="18"/>
                <w:szCs w:val="18"/>
              </w:rPr>
            </w:pPr>
            <w:r w:rsidRPr="00B637A9">
              <w:rPr>
                <w:rFonts w:ascii="Segoe UI" w:eastAsia="Times New Roman" w:hAnsi="Segoe UI" w:cs="Segoe UI"/>
                <w:bCs/>
                <w:i w:val="0"/>
                <w:color w:val="525252" w:themeColor="accent3" w:themeShade="80"/>
                <w:sz w:val="18"/>
                <w:szCs w:val="18"/>
                <w:lang w:eastAsia="it-IT"/>
              </w:rPr>
              <w:t>Direttiva 2013/34/UE, d</w:t>
            </w:r>
            <w:r w:rsidRPr="00B637A9">
              <w:rPr>
                <w:rFonts w:ascii="Segoe UI" w:hAnsi="Segoe UI" w:cs="Segoe UI"/>
                <w:bCs/>
                <w:i w:val="0"/>
                <w:color w:val="525252" w:themeColor="accent3" w:themeShade="80"/>
                <w:sz w:val="18"/>
                <w:szCs w:val="18"/>
                <w:lang w:eastAsia="it-IT"/>
              </w:rPr>
              <w:t xml:space="preserve">el Parlamento europeo e del Consiglio </w:t>
            </w:r>
            <w:r w:rsidRPr="00B637A9">
              <w:rPr>
                <w:rFonts w:ascii="Segoe UI" w:eastAsia="Times New Roman" w:hAnsi="Segoe UI" w:cs="Segoe UI"/>
                <w:i w:val="0"/>
                <w:color w:val="525252" w:themeColor="accent3" w:themeShade="80"/>
                <w:sz w:val="18"/>
                <w:szCs w:val="18"/>
                <w:lang w:eastAsia="it-IT"/>
              </w:rPr>
              <w:t xml:space="preserve">del 26 giugno 2013, </w:t>
            </w:r>
            <w:r w:rsidRPr="00191E71">
              <w:rPr>
                <w:rFonts w:ascii="Segoe UI" w:eastAsia="Times New Roman" w:hAnsi="Segoe UI" w:cs="Segoe UI"/>
                <w:color w:val="525252" w:themeColor="accent3" w:themeShade="80"/>
                <w:sz w:val="18"/>
                <w:szCs w:val="18"/>
                <w:lang w:eastAsia="it-IT"/>
              </w:rPr>
              <w:t>relativa ai bilanci d’esercizio, ai bilanci consolidati e alle relative relazioni di talune tipologie di imprese, recante modifica della direttiva 2006/43/CE del Parlamento europeo e del Consiglio e abrogazione delle direttive 78/660/CEE e 83/349/CEE del Consiglio</w:t>
            </w:r>
            <w:r w:rsidR="003855E3">
              <w:rPr>
                <w:rFonts w:ascii="Segoe UI" w:eastAsia="Times New Roman" w:hAnsi="Segoe UI" w:cs="Segoe UI"/>
                <w:color w:val="525252" w:themeColor="accent3" w:themeShade="80"/>
                <w:sz w:val="18"/>
                <w:szCs w:val="18"/>
                <w:lang w:eastAsia="it-IT"/>
              </w:rPr>
              <w:t xml:space="preserve"> </w:t>
            </w:r>
            <w:r w:rsidR="003855E3">
              <w:rPr>
                <w:rFonts w:ascii="Segoe UI" w:hAnsi="Segoe UI" w:cs="Segoe UI"/>
                <w:bCs/>
                <w:i w:val="0"/>
                <w:color w:val="525252" w:themeColor="accent3" w:themeShade="80"/>
                <w:sz w:val="18"/>
                <w:szCs w:val="18"/>
                <w:lang w:eastAsia="it-IT"/>
              </w:rPr>
              <w:t>(versioni inglese e italiana)</w:t>
            </w:r>
            <w:r w:rsidRPr="00B637A9">
              <w:rPr>
                <w:rFonts w:ascii="Segoe UI" w:eastAsia="Times New Roman" w:hAnsi="Segoe UI" w:cs="Segoe UI"/>
                <w:i w:val="0"/>
                <w:color w:val="525252" w:themeColor="accent3" w:themeShade="80"/>
                <w:sz w:val="18"/>
                <w:szCs w:val="18"/>
                <w:lang w:eastAsia="it-IT"/>
              </w:rPr>
              <w:t>.</w:t>
            </w:r>
          </w:p>
          <w:p w14:paraId="2C87EC12" w14:textId="75B8AACC" w:rsidR="004D2BFC" w:rsidRPr="00B637A9" w:rsidRDefault="004D2BFC" w:rsidP="00A3467A">
            <w:pPr>
              <w:pStyle w:val="Default"/>
              <w:keepLines/>
              <w:numPr>
                <w:ilvl w:val="0"/>
                <w:numId w:val="16"/>
              </w:numPr>
              <w:tabs>
                <w:tab w:val="left" w:pos="567"/>
              </w:tabs>
              <w:spacing w:before="40" w:after="40"/>
              <w:ind w:left="568" w:hanging="284"/>
              <w:jc w:val="both"/>
              <w:rPr>
                <w:rFonts w:ascii="Segoe UI" w:hAnsi="Segoe UI" w:cs="Segoe UI"/>
                <w:i w:val="0"/>
                <w:color w:val="525252" w:themeColor="accent3" w:themeShade="80"/>
                <w:sz w:val="18"/>
                <w:szCs w:val="18"/>
                <w:lang w:val="en-US"/>
              </w:rPr>
            </w:pPr>
            <w:r w:rsidRPr="00B637A9">
              <w:rPr>
                <w:rFonts w:ascii="Segoe UI" w:hAnsi="Segoe UI" w:cs="Segoe UI"/>
                <w:i w:val="0"/>
                <w:color w:val="525252" w:themeColor="accent3" w:themeShade="80"/>
                <w:sz w:val="18"/>
                <w:szCs w:val="18"/>
                <w:lang w:val="en-US"/>
              </w:rPr>
              <w:t>Global Reporting Initiative</w:t>
            </w:r>
            <w:r>
              <w:rPr>
                <w:rFonts w:ascii="Segoe UI" w:hAnsi="Segoe UI" w:cs="Segoe UI"/>
                <w:i w:val="0"/>
                <w:color w:val="525252" w:themeColor="accent3" w:themeShade="80"/>
                <w:sz w:val="18"/>
                <w:szCs w:val="18"/>
                <w:lang w:val="en-US"/>
              </w:rPr>
              <w:t xml:space="preserve"> (GRI)</w:t>
            </w:r>
            <w:r w:rsidRPr="00B637A9">
              <w:rPr>
                <w:rFonts w:ascii="Segoe UI" w:hAnsi="Segoe UI" w:cs="Segoe UI"/>
                <w:i w:val="0"/>
                <w:color w:val="525252" w:themeColor="accent3" w:themeShade="80"/>
                <w:sz w:val="18"/>
                <w:szCs w:val="18"/>
                <w:lang w:val="en-US"/>
              </w:rPr>
              <w:t xml:space="preserve">, </w:t>
            </w:r>
            <w:r>
              <w:rPr>
                <w:rFonts w:ascii="Segoe UI" w:hAnsi="Segoe UI" w:cs="Segoe UI"/>
                <w:i w:val="0"/>
                <w:color w:val="525252" w:themeColor="accent3" w:themeShade="80"/>
                <w:sz w:val="18"/>
                <w:szCs w:val="18"/>
                <w:lang w:val="en-US"/>
              </w:rPr>
              <w:t>“</w:t>
            </w:r>
            <w:r w:rsidR="0014008F">
              <w:rPr>
                <w:rFonts w:ascii="Segoe UI" w:hAnsi="Segoe UI" w:cs="Segoe UI"/>
                <w:i w:val="0"/>
                <w:color w:val="525252" w:themeColor="accent3" w:themeShade="80"/>
                <w:sz w:val="18"/>
                <w:szCs w:val="18"/>
                <w:lang w:val="en-US"/>
              </w:rPr>
              <w:t xml:space="preserve">G4 </w:t>
            </w:r>
            <w:r w:rsidRPr="00B637A9">
              <w:rPr>
                <w:rFonts w:ascii="Segoe UI" w:hAnsi="Segoe UI" w:cs="Segoe UI"/>
                <w:i w:val="0"/>
                <w:color w:val="525252" w:themeColor="accent3" w:themeShade="80"/>
                <w:sz w:val="18"/>
                <w:szCs w:val="18"/>
                <w:lang w:val="en-US"/>
              </w:rPr>
              <w:t>Sustainability Reporting (SR) Guidelines</w:t>
            </w:r>
            <w:r>
              <w:rPr>
                <w:rFonts w:ascii="Segoe UI" w:hAnsi="Segoe UI" w:cs="Segoe UI"/>
                <w:i w:val="0"/>
                <w:color w:val="525252" w:themeColor="accent3" w:themeShade="80"/>
                <w:sz w:val="18"/>
                <w:szCs w:val="18"/>
                <w:lang w:val="en-US"/>
              </w:rPr>
              <w:t>”</w:t>
            </w:r>
            <w:r w:rsidRPr="00B637A9">
              <w:rPr>
                <w:rFonts w:ascii="Segoe UI" w:hAnsi="Segoe UI" w:cs="Segoe UI"/>
                <w:i w:val="0"/>
                <w:color w:val="525252" w:themeColor="accent3" w:themeShade="80"/>
                <w:sz w:val="18"/>
                <w:szCs w:val="18"/>
                <w:lang w:val="en-US"/>
              </w:rPr>
              <w:t>, 2013.</w:t>
            </w:r>
          </w:p>
          <w:p w14:paraId="57BB9EC6" w14:textId="77777777" w:rsidR="00F30130" w:rsidRPr="00F30130" w:rsidRDefault="00F30130" w:rsidP="00A3467A">
            <w:pPr>
              <w:pStyle w:val="Default"/>
              <w:keepLines/>
              <w:numPr>
                <w:ilvl w:val="0"/>
                <w:numId w:val="16"/>
              </w:numPr>
              <w:tabs>
                <w:tab w:val="left" w:pos="567"/>
              </w:tabs>
              <w:spacing w:before="40" w:after="40"/>
              <w:ind w:left="568" w:hanging="284"/>
              <w:jc w:val="both"/>
              <w:rPr>
                <w:rFonts w:ascii="Segoe UI" w:hAnsi="Segoe UI" w:cs="Segoe UI"/>
                <w:color w:val="525252" w:themeColor="accent3" w:themeShade="80"/>
                <w:sz w:val="18"/>
                <w:szCs w:val="18"/>
                <w:lang w:val="en-US"/>
              </w:rPr>
            </w:pPr>
            <w:r w:rsidRPr="00B637A9">
              <w:rPr>
                <w:rFonts w:ascii="Segoe UI" w:hAnsi="Segoe UI" w:cs="Segoe UI"/>
                <w:i w:val="0"/>
                <w:color w:val="525252" w:themeColor="accent3" w:themeShade="80"/>
                <w:sz w:val="18"/>
                <w:szCs w:val="18"/>
                <w:lang w:val="en-US"/>
              </w:rPr>
              <w:t>Global Reporting Initiative</w:t>
            </w:r>
            <w:r>
              <w:rPr>
                <w:rFonts w:ascii="Segoe UI" w:hAnsi="Segoe UI" w:cs="Segoe UI"/>
                <w:i w:val="0"/>
                <w:color w:val="525252" w:themeColor="accent3" w:themeShade="80"/>
                <w:sz w:val="18"/>
                <w:szCs w:val="18"/>
                <w:lang w:val="en-US"/>
              </w:rPr>
              <w:t xml:space="preserve"> (GRI)</w:t>
            </w:r>
            <w:r w:rsidRPr="00B637A9">
              <w:rPr>
                <w:rFonts w:ascii="Segoe UI" w:hAnsi="Segoe UI" w:cs="Segoe UI"/>
                <w:i w:val="0"/>
                <w:color w:val="525252" w:themeColor="accent3" w:themeShade="80"/>
                <w:sz w:val="18"/>
                <w:szCs w:val="18"/>
                <w:lang w:val="en-US"/>
              </w:rPr>
              <w:t xml:space="preserve">, </w:t>
            </w:r>
            <w:r>
              <w:rPr>
                <w:rFonts w:ascii="Segoe UI" w:hAnsi="Segoe UI" w:cs="Segoe UI"/>
                <w:i w:val="0"/>
                <w:color w:val="525252" w:themeColor="accent3" w:themeShade="80"/>
                <w:sz w:val="18"/>
                <w:szCs w:val="18"/>
                <w:lang w:val="en-US"/>
              </w:rPr>
              <w:t xml:space="preserve">“G3.1 </w:t>
            </w:r>
            <w:r w:rsidRPr="00B637A9">
              <w:rPr>
                <w:rFonts w:ascii="Segoe UI" w:hAnsi="Segoe UI" w:cs="Segoe UI"/>
                <w:i w:val="0"/>
                <w:color w:val="525252" w:themeColor="accent3" w:themeShade="80"/>
                <w:sz w:val="18"/>
                <w:szCs w:val="18"/>
                <w:lang w:val="en-US"/>
              </w:rPr>
              <w:t>Sustainability Reporting (SR) Guidelines</w:t>
            </w:r>
            <w:r>
              <w:rPr>
                <w:rFonts w:ascii="Segoe UI" w:hAnsi="Segoe UI" w:cs="Segoe UI"/>
                <w:i w:val="0"/>
                <w:color w:val="525252" w:themeColor="accent3" w:themeShade="80"/>
                <w:sz w:val="18"/>
                <w:szCs w:val="18"/>
                <w:lang w:val="en-US"/>
              </w:rPr>
              <w:t>”</w:t>
            </w:r>
            <w:r w:rsidRPr="00B637A9">
              <w:rPr>
                <w:rFonts w:ascii="Segoe UI" w:hAnsi="Segoe UI" w:cs="Segoe UI"/>
                <w:i w:val="0"/>
                <w:color w:val="525252" w:themeColor="accent3" w:themeShade="80"/>
                <w:sz w:val="18"/>
                <w:szCs w:val="18"/>
                <w:lang w:val="en-US"/>
              </w:rPr>
              <w:t>, 20</w:t>
            </w:r>
            <w:r>
              <w:rPr>
                <w:rFonts w:ascii="Segoe UI" w:hAnsi="Segoe UI" w:cs="Segoe UI"/>
                <w:i w:val="0"/>
                <w:color w:val="525252" w:themeColor="accent3" w:themeShade="80"/>
                <w:sz w:val="18"/>
                <w:szCs w:val="18"/>
                <w:lang w:val="en-US"/>
              </w:rPr>
              <w:t>11 (versioni inglese e italiana)</w:t>
            </w:r>
            <w:r w:rsidRPr="00B637A9">
              <w:rPr>
                <w:rFonts w:ascii="Segoe UI" w:hAnsi="Segoe UI" w:cs="Segoe UI"/>
                <w:i w:val="0"/>
                <w:color w:val="525252" w:themeColor="accent3" w:themeShade="80"/>
                <w:sz w:val="18"/>
                <w:szCs w:val="18"/>
                <w:lang w:val="en-US"/>
              </w:rPr>
              <w:t>.</w:t>
            </w:r>
          </w:p>
          <w:p w14:paraId="77378CB9" w14:textId="7F2F617B" w:rsidR="00612770" w:rsidRPr="00765A94" w:rsidRDefault="001842F0" w:rsidP="00A3467A">
            <w:pPr>
              <w:pStyle w:val="Default"/>
              <w:keepLines/>
              <w:numPr>
                <w:ilvl w:val="0"/>
                <w:numId w:val="16"/>
              </w:numPr>
              <w:tabs>
                <w:tab w:val="left" w:pos="567"/>
              </w:tabs>
              <w:spacing w:before="40" w:after="40"/>
              <w:ind w:left="568" w:hanging="284"/>
              <w:jc w:val="both"/>
              <w:rPr>
                <w:rFonts w:ascii="Segoe UI" w:hAnsi="Segoe UI" w:cs="Segoe UI"/>
                <w:color w:val="525252" w:themeColor="accent3" w:themeShade="80"/>
                <w:sz w:val="18"/>
                <w:szCs w:val="18"/>
                <w:lang w:val="en-US"/>
              </w:rPr>
            </w:pPr>
            <w:r w:rsidRPr="001842F0">
              <w:rPr>
                <w:rFonts w:ascii="Segoe UI" w:eastAsia="Times New Roman" w:hAnsi="Segoe UI" w:cs="Segoe UI"/>
                <w:bCs/>
                <w:i w:val="0"/>
                <w:color w:val="525252" w:themeColor="accent3" w:themeShade="80"/>
                <w:sz w:val="18"/>
                <w:szCs w:val="18"/>
                <w:lang w:val="en-US" w:eastAsia="it-IT"/>
              </w:rPr>
              <w:t>International Accounting Standards Board (IASB), “The Conceptual Framework for Financial Reporting”, settembre 2010.</w:t>
            </w:r>
          </w:p>
          <w:p w14:paraId="25E87409" w14:textId="692FC962" w:rsidR="009E4D42" w:rsidRPr="00B637A9" w:rsidRDefault="00765A94" w:rsidP="00F30130">
            <w:pPr>
              <w:pStyle w:val="Default"/>
              <w:keepLines/>
              <w:numPr>
                <w:ilvl w:val="0"/>
                <w:numId w:val="16"/>
              </w:numPr>
              <w:tabs>
                <w:tab w:val="left" w:pos="567"/>
              </w:tabs>
              <w:spacing w:before="40" w:after="40"/>
              <w:ind w:left="568" w:hanging="284"/>
              <w:jc w:val="both"/>
              <w:rPr>
                <w:rFonts w:ascii="Segoe UI" w:hAnsi="Segoe UI" w:cs="Segoe UI"/>
                <w:color w:val="525252" w:themeColor="accent3" w:themeShade="80"/>
                <w:sz w:val="18"/>
                <w:szCs w:val="18"/>
                <w:lang w:val="en-US"/>
              </w:rPr>
            </w:pPr>
            <w:r w:rsidRPr="00765A94">
              <w:rPr>
                <w:rFonts w:ascii="Segoe UI" w:eastAsia="Times New Roman" w:hAnsi="Segoe UI" w:cs="Segoe UI"/>
                <w:bCs/>
                <w:i w:val="0"/>
                <w:color w:val="525252" w:themeColor="accent3" w:themeShade="80"/>
                <w:sz w:val="18"/>
                <w:szCs w:val="18"/>
                <w:lang w:val="en-US" w:eastAsia="it-IT"/>
              </w:rPr>
              <w:t>International Accounting Standards Board (IASB), “Framework for the Preparation and Presentation of Financial Statements”, in IFRS, 2009</w:t>
            </w:r>
            <w:r w:rsidR="003855E3">
              <w:rPr>
                <w:rFonts w:ascii="Segoe UI" w:eastAsia="Times New Roman" w:hAnsi="Segoe UI" w:cs="Segoe UI"/>
                <w:bCs/>
                <w:i w:val="0"/>
                <w:color w:val="525252" w:themeColor="accent3" w:themeShade="80"/>
                <w:sz w:val="18"/>
                <w:szCs w:val="18"/>
                <w:lang w:val="en-US" w:eastAsia="it-IT"/>
              </w:rPr>
              <w:t xml:space="preserve"> </w:t>
            </w:r>
            <w:r w:rsidR="003855E3" w:rsidRPr="003E7DE6">
              <w:rPr>
                <w:rFonts w:ascii="Segoe UI" w:hAnsi="Segoe UI" w:cs="Segoe UI"/>
                <w:bCs/>
                <w:i w:val="0"/>
                <w:color w:val="525252" w:themeColor="accent3" w:themeShade="80"/>
                <w:sz w:val="18"/>
                <w:szCs w:val="18"/>
                <w:lang w:val="en-US" w:eastAsia="it-IT"/>
              </w:rPr>
              <w:t>(versioni inglese e italiana)</w:t>
            </w:r>
            <w:r w:rsidRPr="00765A94">
              <w:rPr>
                <w:rFonts w:ascii="Segoe UI" w:eastAsia="Times New Roman" w:hAnsi="Segoe UI" w:cs="Segoe UI"/>
                <w:bCs/>
                <w:i w:val="0"/>
                <w:color w:val="525252" w:themeColor="accent3" w:themeShade="80"/>
                <w:sz w:val="18"/>
                <w:szCs w:val="18"/>
                <w:lang w:val="en-US" w:eastAsia="it-IT"/>
              </w:rPr>
              <w:t>.</w:t>
            </w:r>
          </w:p>
        </w:tc>
      </w:tr>
    </w:tbl>
    <w:p w14:paraId="60241F79" w14:textId="77777777" w:rsidR="00BF7365" w:rsidRPr="00612770" w:rsidRDefault="00BF7365" w:rsidP="00731429">
      <w:pPr>
        <w:tabs>
          <w:tab w:val="left" w:pos="709"/>
        </w:tabs>
        <w:spacing w:before="120" w:after="120" w:line="240" w:lineRule="auto"/>
        <w:jc w:val="both"/>
        <w:rPr>
          <w:rFonts w:ascii="Segoe UI" w:eastAsia="Times New Roman" w:hAnsi="Segoe UI" w:cs="Segoe UI"/>
          <w:bCs/>
          <w:szCs w:val="20"/>
          <w:lang w:val="en-US" w:eastAsia="it-IT"/>
        </w:rPr>
        <w:sectPr w:rsidR="00BF7365" w:rsidRPr="00612770" w:rsidSect="007510FC">
          <w:pgSz w:w="11906" w:h="16838" w:code="9"/>
          <w:pgMar w:top="1134" w:right="1134" w:bottom="1134" w:left="1134" w:header="709" w:footer="709" w:gutter="0"/>
          <w:cols w:space="708"/>
          <w:docGrid w:linePitch="360"/>
        </w:sectPr>
      </w:pPr>
    </w:p>
    <w:p w14:paraId="028F2267" w14:textId="260975E6" w:rsidR="00A3284F" w:rsidRPr="00A84D53" w:rsidRDefault="00A3284F" w:rsidP="00A84D53">
      <w:pPr>
        <w:keepNext/>
        <w:keepLines/>
        <w:tabs>
          <w:tab w:val="left" w:pos="567"/>
        </w:tabs>
        <w:spacing w:before="1080" w:after="1080" w:line="240" w:lineRule="auto"/>
        <w:ind w:left="567" w:hanging="567"/>
        <w:outlineLvl w:val="0"/>
        <w:rPr>
          <w:rFonts w:ascii="Segoe UI" w:eastAsiaTheme="minorHAnsi" w:hAnsi="Segoe UI" w:cs="Segoe UI"/>
          <w:sz w:val="32"/>
          <w:szCs w:val="32"/>
        </w:rPr>
      </w:pPr>
      <w:bookmarkStart w:id="1" w:name="_Toc387425292"/>
      <w:bookmarkStart w:id="2" w:name="_Toc463867068"/>
      <w:bookmarkStart w:id="3" w:name="_Toc497239349"/>
      <w:bookmarkStart w:id="4" w:name="_Toc507973939"/>
      <w:r w:rsidRPr="00A84D53">
        <w:rPr>
          <w:rFonts w:ascii="Segoe UI" w:eastAsiaTheme="minorHAnsi" w:hAnsi="Segoe UI" w:cs="Segoe UI"/>
          <w:sz w:val="32"/>
          <w:szCs w:val="32"/>
        </w:rPr>
        <w:lastRenderedPageBreak/>
        <w:t>Introduzione</w:t>
      </w:r>
      <w:bookmarkEnd w:id="1"/>
      <w:bookmarkEnd w:id="2"/>
      <w:bookmarkEnd w:id="3"/>
      <w:bookmarkEnd w:id="4"/>
    </w:p>
    <w:p w14:paraId="482770FB" w14:textId="77777777" w:rsidR="00A3284F" w:rsidRPr="0062207D" w:rsidRDefault="00A3284F" w:rsidP="00A3284F">
      <w:pPr>
        <w:tabs>
          <w:tab w:val="left" w:pos="709"/>
        </w:tabs>
        <w:spacing w:before="120" w:after="120" w:line="240" w:lineRule="auto"/>
        <w:jc w:val="both"/>
        <w:rPr>
          <w:rFonts w:ascii="Segoe UI" w:hAnsi="Segoe UI" w:cs="Segoe UI"/>
          <w:bCs/>
          <w:szCs w:val="20"/>
        </w:rPr>
      </w:pPr>
      <w:r w:rsidRPr="0062207D">
        <w:rPr>
          <w:rFonts w:ascii="Segoe UI" w:hAnsi="Segoe UI" w:cs="Segoe UI"/>
          <w:bCs/>
          <w:szCs w:val="20"/>
        </w:rPr>
        <w:t>Il 10 gennaio 2017 è stato pubblicato nella Gazzetta Ufficiale il decreto legislativo 30 dicembre 2016, n. 254, che recepisce la direttiva 2014/95/UE riguardante la comunicazione di informazioni di carattere non finanziario e di informazioni sulla diversità nella composizione degli organi di amministrazione, gestione e controllo di imprese e gruppi di grandi dimensioni.</w:t>
      </w:r>
    </w:p>
    <w:p w14:paraId="2C26236E" w14:textId="0CC42F4A" w:rsidR="00A3284F" w:rsidRPr="0062207D" w:rsidRDefault="00A3284F" w:rsidP="00A3284F">
      <w:pPr>
        <w:tabs>
          <w:tab w:val="left" w:pos="709"/>
        </w:tabs>
        <w:spacing w:before="120" w:after="120" w:line="240" w:lineRule="auto"/>
        <w:jc w:val="both"/>
        <w:rPr>
          <w:rFonts w:ascii="Segoe UI" w:hAnsi="Segoe UI" w:cs="Segoe UI"/>
          <w:bCs/>
          <w:szCs w:val="20"/>
        </w:rPr>
      </w:pPr>
      <w:r w:rsidRPr="0062207D">
        <w:rPr>
          <w:rFonts w:ascii="Segoe UI" w:hAnsi="Segoe UI" w:cs="Segoe UI"/>
          <w:bCs/>
          <w:szCs w:val="20"/>
        </w:rPr>
        <w:t xml:space="preserve">Il decreto legislativo n. 254/2016 (di qui in avanti, </w:t>
      </w:r>
      <w:r w:rsidR="004B7441">
        <w:rPr>
          <w:rFonts w:ascii="Segoe UI" w:hAnsi="Segoe UI" w:cs="Segoe UI"/>
          <w:bCs/>
          <w:szCs w:val="20"/>
        </w:rPr>
        <w:t xml:space="preserve">d.lgs. n. 254/2016 o </w:t>
      </w:r>
      <w:r w:rsidRPr="0062207D">
        <w:rPr>
          <w:rFonts w:ascii="Segoe UI" w:hAnsi="Segoe UI" w:cs="Segoe UI"/>
          <w:bCs/>
          <w:szCs w:val="20"/>
        </w:rPr>
        <w:t>anche solo il “decreto”) è entrato in vigore il 25 gennaio</w:t>
      </w:r>
      <w:r w:rsidR="004B7441">
        <w:rPr>
          <w:rFonts w:ascii="Segoe UI" w:hAnsi="Segoe UI" w:cs="Segoe UI"/>
          <w:bCs/>
          <w:szCs w:val="20"/>
        </w:rPr>
        <w:t xml:space="preserve"> 2017</w:t>
      </w:r>
      <w:r w:rsidRPr="0062207D">
        <w:rPr>
          <w:rFonts w:ascii="Segoe UI" w:hAnsi="Segoe UI" w:cs="Segoe UI"/>
          <w:bCs/>
          <w:szCs w:val="20"/>
        </w:rPr>
        <w:t xml:space="preserve"> ma le sue disposizioni si applicano, con riferimento alle dichiarazioni e relazioni relative, agli esercizi finanziari aventi inizio a partire dal 1° gennaio 2017.</w:t>
      </w:r>
    </w:p>
    <w:p w14:paraId="4E2A0010" w14:textId="77777777" w:rsidR="00A3284F" w:rsidRPr="0062207D" w:rsidRDefault="00A3284F" w:rsidP="00A3284F">
      <w:pPr>
        <w:tabs>
          <w:tab w:val="left" w:pos="709"/>
        </w:tabs>
        <w:spacing w:before="120" w:after="120" w:line="240" w:lineRule="auto"/>
        <w:jc w:val="both"/>
        <w:rPr>
          <w:rFonts w:ascii="Segoe UI" w:hAnsi="Segoe UI" w:cs="Segoe UI"/>
          <w:bCs/>
          <w:szCs w:val="20"/>
        </w:rPr>
      </w:pPr>
      <w:r w:rsidRPr="0062207D">
        <w:rPr>
          <w:rFonts w:ascii="Segoe UI" w:hAnsi="Segoe UI" w:cs="Segoe UI"/>
          <w:bCs/>
          <w:szCs w:val="20"/>
        </w:rPr>
        <w:t xml:space="preserve">È un’importante innovazione nella comunicazione di informazioni attinenti alla “sostenibilità” che interessa, nello specifico, le imprese di dimensioni rilevanti. E, d’altra parte, tali imprese daranno verosimilmente una spinta all’intero sistema della </w:t>
      </w:r>
      <w:r w:rsidRPr="0062207D">
        <w:rPr>
          <w:rFonts w:ascii="Segoe UI" w:hAnsi="Segoe UI" w:cs="Segoe UI"/>
          <w:bCs/>
          <w:i/>
          <w:szCs w:val="20"/>
        </w:rPr>
        <w:t>sustainability</w:t>
      </w:r>
      <w:r w:rsidRPr="0062207D">
        <w:rPr>
          <w:rFonts w:ascii="Segoe UI" w:hAnsi="Segoe UI" w:cs="Segoe UI"/>
          <w:bCs/>
          <w:szCs w:val="20"/>
        </w:rPr>
        <w:t xml:space="preserve"> </w:t>
      </w:r>
      <w:r w:rsidRPr="0062207D">
        <w:rPr>
          <w:rFonts w:ascii="Segoe UI" w:hAnsi="Segoe UI" w:cs="Segoe UI"/>
          <w:bCs/>
          <w:i/>
          <w:szCs w:val="20"/>
        </w:rPr>
        <w:t>disclosure</w:t>
      </w:r>
      <w:r w:rsidRPr="0062207D">
        <w:rPr>
          <w:rFonts w:ascii="Segoe UI" w:hAnsi="Segoe UI" w:cs="Segoe UI"/>
          <w:bCs/>
          <w:szCs w:val="20"/>
        </w:rPr>
        <w:t>, promuovendone la diffusione anche tra le imprese che, pur non essendo direttamente obbligate dalla normativa, operino in qualità di fornitori di quante vi si debbano attenere, nell’ambito di una “catena sostenibile del valore”.</w:t>
      </w:r>
    </w:p>
    <w:p w14:paraId="3C513C21" w14:textId="383EDB3A" w:rsidR="00A3284F" w:rsidRPr="0062207D" w:rsidRDefault="00A3284F" w:rsidP="00A3284F">
      <w:pPr>
        <w:tabs>
          <w:tab w:val="left" w:pos="709"/>
        </w:tabs>
        <w:spacing w:before="120" w:after="120" w:line="240" w:lineRule="auto"/>
        <w:jc w:val="both"/>
        <w:rPr>
          <w:rFonts w:ascii="Segoe UI" w:hAnsi="Segoe UI" w:cs="Segoe UI"/>
          <w:bCs/>
          <w:szCs w:val="20"/>
        </w:rPr>
      </w:pPr>
      <w:r w:rsidRPr="0062207D">
        <w:rPr>
          <w:rFonts w:ascii="Segoe UI" w:hAnsi="Segoe UI" w:cs="Segoe UI"/>
          <w:bCs/>
          <w:szCs w:val="20"/>
        </w:rPr>
        <w:t xml:space="preserve">Negli ultimi mesi, istituzioni sovranazionali e nazionali nonché diversi operatori nazionali del settore hanno pubblicato documenti tecnici di approfondimento di vari aspetti e problematiche inerenti sia alla direttiva di </w:t>
      </w:r>
      <w:r w:rsidRPr="006D2221">
        <w:rPr>
          <w:rFonts w:ascii="Segoe UI" w:hAnsi="Segoe UI" w:cs="Segoe UI"/>
          <w:bCs/>
          <w:i/>
          <w:szCs w:val="20"/>
        </w:rPr>
        <w:t>disclosure</w:t>
      </w:r>
      <w:r w:rsidRPr="0062207D">
        <w:rPr>
          <w:rFonts w:ascii="Segoe UI" w:hAnsi="Segoe UI" w:cs="Segoe UI"/>
          <w:bCs/>
          <w:szCs w:val="20"/>
        </w:rPr>
        <w:t xml:space="preserve"> non finanziaria </w:t>
      </w:r>
      <w:r w:rsidR="0029179C">
        <w:rPr>
          <w:rFonts w:ascii="Segoe UI" w:hAnsi="Segoe UI" w:cs="Segoe UI"/>
          <w:bCs/>
          <w:szCs w:val="20"/>
        </w:rPr>
        <w:t>2014/</w:t>
      </w:r>
      <w:r w:rsidRPr="0062207D">
        <w:rPr>
          <w:rFonts w:ascii="Segoe UI" w:hAnsi="Segoe UI" w:cs="Segoe UI"/>
          <w:bCs/>
          <w:szCs w:val="20"/>
        </w:rPr>
        <w:t xml:space="preserve">95/UE sia al decreto che, appunto, ne recepisce le disposizioni nell’ordinamento nazionale; tali documenti, cui all’occorrenza si farà altresì riferimento, hanno soprattutto illustrato gli elementi principali dei due provvedimenti normativi e le loro differenze e, con riferimento agli elaborati nazionali, hanno approfondito talune problematiche formali nella prospettiva di applicazione del decreto da parte dei soggetti obbligati dalla norma, ragionando, in particolare, su cosa occorra comunicare ai fini della corretta </w:t>
      </w:r>
      <w:r w:rsidRPr="0062207D">
        <w:rPr>
          <w:rFonts w:ascii="Segoe UI" w:hAnsi="Segoe UI" w:cs="Segoe UI"/>
          <w:bCs/>
          <w:i/>
          <w:szCs w:val="20"/>
        </w:rPr>
        <w:t>compliance</w:t>
      </w:r>
      <w:r w:rsidRPr="0062207D">
        <w:rPr>
          <w:rFonts w:ascii="Segoe UI" w:hAnsi="Segoe UI" w:cs="Segoe UI"/>
          <w:bCs/>
          <w:szCs w:val="20"/>
        </w:rPr>
        <w:t xml:space="preserve">, in quali modalità sia possibile effettuare questa tipologia di </w:t>
      </w:r>
      <w:r w:rsidRPr="0062207D">
        <w:rPr>
          <w:rFonts w:ascii="Segoe UI" w:hAnsi="Segoe UI" w:cs="Segoe UI"/>
          <w:bCs/>
          <w:i/>
          <w:szCs w:val="20"/>
        </w:rPr>
        <w:t>disclosure</w:t>
      </w:r>
      <w:r w:rsidRPr="0062207D">
        <w:rPr>
          <w:rFonts w:ascii="Segoe UI" w:hAnsi="Segoe UI" w:cs="Segoe UI"/>
          <w:bCs/>
          <w:szCs w:val="20"/>
        </w:rPr>
        <w:t xml:space="preserve"> e come debbano muoversi i soggetti poi deputati al controllo di conformità di quanto comunicato rispetto ai principi e alle modalità di rendicontazione e agli </w:t>
      </w:r>
      <w:r w:rsidRPr="00BD3885">
        <w:rPr>
          <w:rFonts w:ascii="Segoe UI" w:hAnsi="Segoe UI" w:cs="Segoe UI"/>
          <w:bCs/>
          <w:i/>
          <w:szCs w:val="20"/>
        </w:rPr>
        <w:t>standard</w:t>
      </w:r>
      <w:r w:rsidRPr="0062207D">
        <w:rPr>
          <w:rFonts w:ascii="Segoe UI" w:hAnsi="Segoe UI" w:cs="Segoe UI"/>
          <w:bCs/>
          <w:szCs w:val="20"/>
        </w:rPr>
        <w:t xml:space="preserve"> (o alla metodologia di rendicontazione autonoma) cui si fa riferimento.</w:t>
      </w:r>
    </w:p>
    <w:p w14:paraId="137CA16C" w14:textId="1F57E3EA" w:rsidR="00A3284F" w:rsidRPr="0062207D" w:rsidRDefault="000C6014" w:rsidP="00A3284F">
      <w:pPr>
        <w:tabs>
          <w:tab w:val="left" w:pos="709"/>
        </w:tabs>
        <w:spacing w:before="120" w:after="120" w:line="240" w:lineRule="auto"/>
        <w:jc w:val="both"/>
        <w:rPr>
          <w:rFonts w:ascii="Segoe UI" w:hAnsi="Segoe UI" w:cs="Segoe UI"/>
          <w:bCs/>
          <w:szCs w:val="20"/>
        </w:rPr>
      </w:pPr>
      <w:r>
        <w:rPr>
          <w:rFonts w:ascii="Segoe UI" w:hAnsi="Segoe UI" w:cs="Segoe UI"/>
          <w:bCs/>
          <w:szCs w:val="20"/>
        </w:rPr>
        <w:t>È</w:t>
      </w:r>
      <w:r w:rsidR="00A3284F" w:rsidRPr="0062207D">
        <w:rPr>
          <w:rFonts w:ascii="Segoe UI" w:hAnsi="Segoe UI" w:cs="Segoe UI"/>
          <w:bCs/>
          <w:szCs w:val="20"/>
        </w:rPr>
        <w:t xml:space="preserve"> da subito essenziale rimarcare come l’ambito del controllo meriti senza dubbio ancora un’importante attività di studio e di approfondimento laddove si riconosca la sostanziale differenza che intercorre tra una verifica di conformità (quale richiesta dalla norma) e una verifica di parte terza indipendente che vada oltre la mera </w:t>
      </w:r>
      <w:r w:rsidR="00A3284F" w:rsidRPr="0062207D">
        <w:rPr>
          <w:rFonts w:ascii="Segoe UI" w:hAnsi="Segoe UI" w:cs="Segoe UI"/>
          <w:bCs/>
          <w:i/>
          <w:szCs w:val="20"/>
        </w:rPr>
        <w:t>compliance</w:t>
      </w:r>
      <w:r w:rsidR="00A3284F" w:rsidRPr="0062207D">
        <w:rPr>
          <w:rFonts w:ascii="Segoe UI" w:hAnsi="Segoe UI" w:cs="Segoe UI"/>
          <w:bCs/>
          <w:szCs w:val="20"/>
        </w:rPr>
        <w:t xml:space="preserve"> formale e che riguardi una serie di aspetti e circostanze ulteriori nell’ottica del controllo e del rapporto tra informativa finanziaria e non finanziaria.</w:t>
      </w:r>
    </w:p>
    <w:p w14:paraId="62A9089C" w14:textId="2C6F4647" w:rsidR="0004712B" w:rsidRDefault="00A3284F" w:rsidP="00A3284F">
      <w:pPr>
        <w:tabs>
          <w:tab w:val="left" w:pos="709"/>
        </w:tabs>
        <w:spacing w:before="120" w:after="120" w:line="240" w:lineRule="auto"/>
        <w:jc w:val="both"/>
        <w:rPr>
          <w:rFonts w:ascii="Segoe UI" w:hAnsi="Segoe UI" w:cs="Segoe UI"/>
          <w:bCs/>
          <w:szCs w:val="20"/>
        </w:rPr>
      </w:pPr>
      <w:r w:rsidRPr="0062207D">
        <w:rPr>
          <w:rFonts w:ascii="Segoe UI" w:hAnsi="Segoe UI" w:cs="Segoe UI"/>
          <w:bCs/>
          <w:szCs w:val="20"/>
        </w:rPr>
        <w:t>Peraltro</w:t>
      </w:r>
      <w:r w:rsidR="0029179C">
        <w:rPr>
          <w:rFonts w:ascii="Segoe UI" w:hAnsi="Segoe UI" w:cs="Segoe UI"/>
          <w:bCs/>
          <w:szCs w:val="20"/>
        </w:rPr>
        <w:t>,</w:t>
      </w:r>
      <w:r w:rsidRPr="0062207D">
        <w:rPr>
          <w:rFonts w:ascii="Segoe UI" w:hAnsi="Segoe UI" w:cs="Segoe UI"/>
          <w:bCs/>
          <w:szCs w:val="20"/>
        </w:rPr>
        <w:t xml:space="preserve"> proprio in questa prospettiva, si ritiene utile volgere l’attenzione prioritariamente a un</w:t>
      </w:r>
      <w:r w:rsidR="00A055CF" w:rsidRPr="0062207D">
        <w:rPr>
          <w:rFonts w:ascii="Segoe UI" w:hAnsi="Segoe UI" w:cs="Segoe UI"/>
          <w:bCs/>
          <w:szCs w:val="20"/>
        </w:rPr>
        <w:t>’</w:t>
      </w:r>
      <w:r w:rsidRPr="0062207D">
        <w:rPr>
          <w:rFonts w:ascii="Segoe UI" w:hAnsi="Segoe UI" w:cs="Segoe UI"/>
          <w:bCs/>
          <w:szCs w:val="20"/>
        </w:rPr>
        <w:t xml:space="preserve">altra questione, prodromica rispetto all’analisi del controllo ed essenziale rispetto all’applicazione delle disposizioni normative, all’efficacia della comunicazione, allo sviluppo delle opportunità di </w:t>
      </w:r>
      <w:r w:rsidRPr="007E24C8">
        <w:rPr>
          <w:rFonts w:ascii="Segoe UI" w:hAnsi="Segoe UI" w:cs="Segoe UI"/>
          <w:bCs/>
          <w:i/>
          <w:szCs w:val="20"/>
        </w:rPr>
        <w:t>disclosure</w:t>
      </w:r>
      <w:r w:rsidRPr="0062207D">
        <w:rPr>
          <w:rFonts w:ascii="Segoe UI" w:hAnsi="Segoe UI" w:cs="Segoe UI"/>
          <w:bCs/>
          <w:szCs w:val="20"/>
        </w:rPr>
        <w:t xml:space="preserve"> non finanziaria da parte dei soggetti sotto soglia non obbligatoriamente coinvolti dal d</w:t>
      </w:r>
      <w:r w:rsidR="0029179C">
        <w:rPr>
          <w:rFonts w:ascii="Segoe UI" w:hAnsi="Segoe UI" w:cs="Segoe UI"/>
          <w:bCs/>
          <w:szCs w:val="20"/>
        </w:rPr>
        <w:t>.lgs. n.</w:t>
      </w:r>
      <w:r w:rsidR="009C53B7" w:rsidRPr="0062207D">
        <w:rPr>
          <w:rFonts w:ascii="Segoe UI" w:hAnsi="Segoe UI" w:cs="Segoe UI"/>
          <w:bCs/>
          <w:szCs w:val="20"/>
        </w:rPr>
        <w:t xml:space="preserve"> 254/2016: qu</w:t>
      </w:r>
      <w:r w:rsidRPr="0062207D">
        <w:rPr>
          <w:rFonts w:ascii="Segoe UI" w:hAnsi="Segoe UI" w:cs="Segoe UI"/>
          <w:bCs/>
          <w:szCs w:val="20"/>
        </w:rPr>
        <w:t xml:space="preserve">esto documento intende addentrarsi </w:t>
      </w:r>
      <w:r w:rsidR="00774761" w:rsidRPr="00774761">
        <w:rPr>
          <w:rFonts w:ascii="Segoe UI" w:hAnsi="Segoe UI" w:cs="Segoe UI"/>
          <w:bCs/>
          <w:szCs w:val="20"/>
        </w:rPr>
        <w:t xml:space="preserve">nel campo della definizione, </w:t>
      </w:r>
      <w:r w:rsidR="00774761" w:rsidRPr="00774761">
        <w:rPr>
          <w:rFonts w:ascii="Segoe UI" w:hAnsi="Segoe UI" w:cs="Segoe UI"/>
          <w:bCs/>
          <w:szCs w:val="20"/>
        </w:rPr>
        <w:lastRenderedPageBreak/>
        <w:t xml:space="preserve">dei confini e dell’applicazione dei concetti/principi di rilevanza e materialità rispetto ai quali sembra potersi ravvisare una certa ambiguità, con riguardo sia al modo in cui sono sviluppati e declinati nei documenti degli operatori di settore sia alle interpretazioni che in questi mesi ne hanno fornito diverse istituzioni proprio con riferimento al rapporto tra la direttiva di </w:t>
      </w:r>
      <w:r w:rsidR="00774761" w:rsidRPr="00774761">
        <w:rPr>
          <w:rFonts w:ascii="Segoe UI" w:hAnsi="Segoe UI" w:cs="Segoe UI"/>
          <w:bCs/>
          <w:i/>
          <w:szCs w:val="20"/>
        </w:rPr>
        <w:t>disclosure non-financial</w:t>
      </w:r>
      <w:r w:rsidR="00774761" w:rsidRPr="00774761">
        <w:rPr>
          <w:rFonts w:ascii="Segoe UI" w:hAnsi="Segoe UI" w:cs="Segoe UI"/>
          <w:bCs/>
          <w:szCs w:val="20"/>
        </w:rPr>
        <w:t xml:space="preserve"> e il decreto che l’ha recepita.</w:t>
      </w:r>
    </w:p>
    <w:p w14:paraId="43E7EEA1" w14:textId="77777777" w:rsidR="004657D3" w:rsidRDefault="004657D3" w:rsidP="00A3284F">
      <w:pPr>
        <w:tabs>
          <w:tab w:val="left" w:pos="709"/>
        </w:tabs>
        <w:spacing w:before="120" w:after="120" w:line="240" w:lineRule="auto"/>
        <w:jc w:val="both"/>
        <w:rPr>
          <w:rFonts w:ascii="Segoe UI" w:hAnsi="Segoe UI" w:cs="Segoe UI"/>
          <w:bCs/>
          <w:szCs w:val="20"/>
        </w:rPr>
        <w:sectPr w:rsidR="004657D3" w:rsidSect="00C81E24">
          <w:footerReference w:type="default" r:id="rId16"/>
          <w:pgSz w:w="11906" w:h="16838" w:code="9"/>
          <w:pgMar w:top="1985" w:right="1134" w:bottom="1134" w:left="1134" w:header="709" w:footer="709" w:gutter="0"/>
          <w:pgNumType w:start="1"/>
          <w:cols w:space="708"/>
          <w:docGrid w:linePitch="360"/>
        </w:sectPr>
      </w:pPr>
    </w:p>
    <w:p w14:paraId="40F74576" w14:textId="42A88E01" w:rsidR="000B04A4" w:rsidRPr="004D41F1" w:rsidRDefault="000B04A4" w:rsidP="000B04A4">
      <w:pPr>
        <w:keepNext/>
        <w:keepLines/>
        <w:tabs>
          <w:tab w:val="left" w:pos="567"/>
        </w:tabs>
        <w:spacing w:before="1080" w:after="1080" w:line="240" w:lineRule="auto"/>
        <w:ind w:left="567" w:hanging="567"/>
        <w:outlineLvl w:val="0"/>
        <w:rPr>
          <w:rFonts w:ascii="Segoe UI" w:eastAsiaTheme="minorHAnsi" w:hAnsi="Segoe UI" w:cs="Segoe UI"/>
          <w:sz w:val="32"/>
          <w:szCs w:val="32"/>
        </w:rPr>
      </w:pPr>
      <w:bookmarkStart w:id="5" w:name="_Toc456618284"/>
      <w:bookmarkStart w:id="6" w:name="_Toc507973940"/>
      <w:r w:rsidRPr="004D41F1">
        <w:rPr>
          <w:rFonts w:ascii="Segoe UI" w:eastAsiaTheme="minorHAnsi" w:hAnsi="Segoe UI" w:cs="Segoe UI"/>
          <w:sz w:val="32"/>
          <w:szCs w:val="32"/>
        </w:rPr>
        <w:t>1</w:t>
      </w:r>
      <w:r w:rsidRPr="004D41F1">
        <w:rPr>
          <w:rFonts w:ascii="Segoe UI" w:eastAsiaTheme="minorHAnsi" w:hAnsi="Segoe UI" w:cs="Segoe UI"/>
          <w:sz w:val="32"/>
          <w:szCs w:val="32"/>
        </w:rPr>
        <w:tab/>
      </w:r>
      <w:r>
        <w:rPr>
          <w:rFonts w:ascii="Segoe UI" w:eastAsiaTheme="minorHAnsi" w:hAnsi="Segoe UI" w:cs="Segoe UI"/>
          <w:sz w:val="32"/>
          <w:szCs w:val="32"/>
        </w:rPr>
        <w:t>Il d.lgs.</w:t>
      </w:r>
      <w:r w:rsidR="006B2609">
        <w:rPr>
          <w:rFonts w:ascii="Segoe UI" w:eastAsiaTheme="minorHAnsi" w:hAnsi="Segoe UI" w:cs="Segoe UI"/>
          <w:sz w:val="32"/>
          <w:szCs w:val="32"/>
        </w:rPr>
        <w:t xml:space="preserve"> </w:t>
      </w:r>
      <w:r w:rsidRPr="004D41F1">
        <w:rPr>
          <w:rFonts w:ascii="Segoe UI" w:eastAsiaTheme="minorHAnsi" w:hAnsi="Segoe UI" w:cs="Segoe UI"/>
          <w:sz w:val="32"/>
          <w:szCs w:val="32"/>
        </w:rPr>
        <w:t>n. 254/2016</w:t>
      </w:r>
      <w:bookmarkEnd w:id="5"/>
      <w:r w:rsidRPr="004D41F1">
        <w:rPr>
          <w:rFonts w:ascii="Segoe UI" w:eastAsiaTheme="minorHAnsi" w:hAnsi="Segoe UI" w:cs="Segoe UI"/>
          <w:sz w:val="32"/>
          <w:szCs w:val="32"/>
        </w:rPr>
        <w:t xml:space="preserve"> in estrema sintesi</w:t>
      </w:r>
      <w:bookmarkEnd w:id="6"/>
    </w:p>
    <w:p w14:paraId="69309476" w14:textId="77777777" w:rsidR="000B04A4" w:rsidRPr="0062207D" w:rsidRDefault="000B04A4" w:rsidP="000B04A4">
      <w:pPr>
        <w:keepNext/>
        <w:keepLines/>
        <w:tabs>
          <w:tab w:val="left" w:pos="709"/>
        </w:tabs>
        <w:spacing w:before="120" w:after="120" w:line="240" w:lineRule="auto"/>
        <w:jc w:val="both"/>
        <w:rPr>
          <w:rFonts w:ascii="Segoe UI" w:hAnsi="Segoe UI" w:cs="Segoe UI"/>
          <w:bCs/>
          <w:szCs w:val="20"/>
        </w:rPr>
      </w:pPr>
      <w:r w:rsidRPr="0062207D">
        <w:rPr>
          <w:rFonts w:ascii="Segoe UI" w:hAnsi="Segoe UI" w:cs="Segoe UI"/>
          <w:bCs/>
          <w:szCs w:val="20"/>
        </w:rPr>
        <w:t>Il d.lgs. n. 254/2016 prevede l’obbligo di redigere la dichiarazione di carattere non finanziario per:</w:t>
      </w:r>
    </w:p>
    <w:p w14:paraId="07BC4F7B" w14:textId="77777777" w:rsidR="000B04A4" w:rsidRPr="0062207D" w:rsidRDefault="000B04A4" w:rsidP="000B04A4">
      <w:pPr>
        <w:keepNext/>
        <w:keepLines/>
        <w:numPr>
          <w:ilvl w:val="0"/>
          <w:numId w:val="7"/>
        </w:numPr>
        <w:tabs>
          <w:tab w:val="left" w:pos="567"/>
        </w:tabs>
        <w:spacing w:before="120" w:after="120" w:line="240" w:lineRule="auto"/>
        <w:ind w:left="567" w:hanging="283"/>
        <w:jc w:val="both"/>
        <w:rPr>
          <w:rFonts w:ascii="Segoe UI" w:hAnsi="Segoe UI" w:cs="Segoe UI"/>
          <w:szCs w:val="20"/>
        </w:rPr>
      </w:pPr>
      <w:r w:rsidRPr="0062207D">
        <w:rPr>
          <w:rFonts w:ascii="Segoe UI" w:hAnsi="Segoe UI" w:cs="Segoe UI"/>
          <w:szCs w:val="20"/>
        </w:rPr>
        <w:t>gli enti di interessi pubblico</w:t>
      </w:r>
      <w:r w:rsidRPr="0062207D">
        <w:rPr>
          <w:rFonts w:ascii="Segoe UI" w:hAnsi="Segoe UI" w:cs="Segoe UI"/>
          <w:szCs w:val="20"/>
          <w:vertAlign w:val="superscript"/>
        </w:rPr>
        <w:footnoteReference w:id="1"/>
      </w:r>
      <w:r w:rsidRPr="0062207D">
        <w:rPr>
          <w:rFonts w:ascii="Segoe UI" w:hAnsi="Segoe UI" w:cs="Segoe UI"/>
          <w:szCs w:val="20"/>
        </w:rPr>
        <w:t xml:space="preserve"> che:</w:t>
      </w:r>
    </w:p>
    <w:p w14:paraId="5E41E8A4" w14:textId="77777777" w:rsidR="000B04A4" w:rsidRPr="0062207D" w:rsidRDefault="000B04A4" w:rsidP="000B04A4">
      <w:pPr>
        <w:pStyle w:val="Paragrafoelenco"/>
        <w:numPr>
          <w:ilvl w:val="0"/>
          <w:numId w:val="5"/>
        </w:numPr>
        <w:tabs>
          <w:tab w:val="left" w:pos="851"/>
        </w:tabs>
        <w:spacing w:before="120" w:after="120" w:line="240" w:lineRule="auto"/>
        <w:ind w:left="851" w:hanging="284"/>
        <w:contextualSpacing w:val="0"/>
        <w:jc w:val="both"/>
        <w:rPr>
          <w:rFonts w:ascii="Segoe UI" w:hAnsi="Segoe UI" w:cs="Segoe UI"/>
          <w:bCs/>
          <w:szCs w:val="20"/>
        </w:rPr>
      </w:pPr>
      <w:r w:rsidRPr="0062207D">
        <w:rPr>
          <w:rFonts w:ascii="Segoe UI" w:hAnsi="Segoe UI" w:cs="Segoe UI"/>
          <w:bCs/>
          <w:szCs w:val="20"/>
        </w:rPr>
        <w:t xml:space="preserve">abbiano un numero di dipendenti superiore a </w:t>
      </w:r>
      <w:r>
        <w:rPr>
          <w:rFonts w:ascii="Segoe UI" w:hAnsi="Segoe UI" w:cs="Segoe UI"/>
          <w:bCs/>
          <w:szCs w:val="20"/>
        </w:rPr>
        <w:t>500</w:t>
      </w:r>
      <w:r w:rsidRPr="0062207D">
        <w:rPr>
          <w:rFonts w:ascii="Segoe UI" w:hAnsi="Segoe UI" w:cs="Segoe UI"/>
          <w:bCs/>
          <w:szCs w:val="20"/>
        </w:rPr>
        <w:t>, nel corso dell’esercizio finanziario (generalmente l’anno solare);</w:t>
      </w:r>
    </w:p>
    <w:p w14:paraId="2186B5F2" w14:textId="77777777" w:rsidR="000B04A4" w:rsidRPr="0062207D" w:rsidRDefault="000B04A4" w:rsidP="000B04A4">
      <w:pPr>
        <w:pStyle w:val="Paragrafoelenco"/>
        <w:keepNext/>
        <w:keepLines/>
        <w:numPr>
          <w:ilvl w:val="0"/>
          <w:numId w:val="5"/>
        </w:numPr>
        <w:tabs>
          <w:tab w:val="left" w:pos="851"/>
        </w:tabs>
        <w:spacing w:before="120" w:after="120" w:line="240" w:lineRule="auto"/>
        <w:ind w:left="851" w:hanging="284"/>
        <w:contextualSpacing w:val="0"/>
        <w:jc w:val="both"/>
        <w:rPr>
          <w:rFonts w:ascii="Segoe UI" w:hAnsi="Segoe UI" w:cs="Segoe UI"/>
          <w:bCs/>
          <w:szCs w:val="20"/>
        </w:rPr>
      </w:pPr>
      <w:r w:rsidRPr="0062207D">
        <w:rPr>
          <w:rFonts w:ascii="Segoe UI" w:hAnsi="Segoe UI" w:cs="Segoe UI"/>
          <w:bCs/>
          <w:szCs w:val="20"/>
        </w:rPr>
        <w:t>abbiano superato almeno uno dei due seguenti limiti dimensionali, alla data di chiusura del bilancio:</w:t>
      </w:r>
    </w:p>
    <w:p w14:paraId="47FEBAA3" w14:textId="77777777" w:rsidR="000B04A4" w:rsidRPr="0062207D" w:rsidRDefault="000B04A4" w:rsidP="000B04A4">
      <w:pPr>
        <w:numPr>
          <w:ilvl w:val="0"/>
          <w:numId w:val="6"/>
        </w:numPr>
        <w:tabs>
          <w:tab w:val="left" w:pos="1134"/>
        </w:tabs>
        <w:spacing w:before="120" w:after="120" w:line="240" w:lineRule="auto"/>
        <w:ind w:left="1135" w:hanging="284"/>
        <w:jc w:val="both"/>
        <w:rPr>
          <w:rFonts w:ascii="Segoe UI" w:hAnsi="Segoe UI" w:cs="Segoe UI"/>
          <w:szCs w:val="20"/>
        </w:rPr>
      </w:pPr>
      <w:r w:rsidRPr="0062207D">
        <w:rPr>
          <w:rFonts w:ascii="Segoe UI" w:hAnsi="Segoe UI" w:cs="Segoe UI"/>
          <w:szCs w:val="20"/>
        </w:rPr>
        <w:t>totale dello stato patrimoniale: 20 milioni di euro (dove per totale dello stato patrimoniale si ritiene debba intendersi il totale dell’attivo dello stato patrimoniale</w:t>
      </w:r>
      <w:r w:rsidRPr="0062207D">
        <w:rPr>
          <w:rFonts w:ascii="Segoe UI" w:hAnsi="Segoe UI" w:cs="Segoe UI"/>
          <w:szCs w:val="20"/>
          <w:vertAlign w:val="superscript"/>
        </w:rPr>
        <w:footnoteReference w:id="2"/>
      </w:r>
      <w:r w:rsidRPr="0062207D">
        <w:rPr>
          <w:rFonts w:ascii="Segoe UI" w:hAnsi="Segoe UI" w:cs="Segoe UI"/>
          <w:szCs w:val="20"/>
        </w:rPr>
        <w:t>);</w:t>
      </w:r>
    </w:p>
    <w:p w14:paraId="124AE220" w14:textId="77777777" w:rsidR="000B04A4" w:rsidRPr="0062207D" w:rsidRDefault="000B04A4" w:rsidP="000B04A4">
      <w:pPr>
        <w:numPr>
          <w:ilvl w:val="0"/>
          <w:numId w:val="6"/>
        </w:numPr>
        <w:tabs>
          <w:tab w:val="left" w:pos="1134"/>
        </w:tabs>
        <w:spacing w:before="120" w:after="120" w:line="240" w:lineRule="auto"/>
        <w:ind w:left="1135" w:hanging="284"/>
        <w:jc w:val="both"/>
        <w:rPr>
          <w:rFonts w:ascii="Segoe UI" w:hAnsi="Segoe UI" w:cs="Segoe UI"/>
          <w:szCs w:val="20"/>
        </w:rPr>
      </w:pPr>
      <w:r w:rsidRPr="0062207D">
        <w:rPr>
          <w:rFonts w:ascii="Segoe UI" w:hAnsi="Segoe UI" w:cs="Segoe UI"/>
          <w:szCs w:val="20"/>
        </w:rPr>
        <w:t>totale dei ricavi netti delle vendite e delle prestazioni: 40 milioni di euro.</w:t>
      </w:r>
    </w:p>
    <w:p w14:paraId="5DD1901C" w14:textId="77777777" w:rsidR="000B04A4" w:rsidRPr="0062207D" w:rsidRDefault="000B04A4" w:rsidP="000B04A4">
      <w:pPr>
        <w:keepNext/>
        <w:keepLines/>
        <w:numPr>
          <w:ilvl w:val="0"/>
          <w:numId w:val="7"/>
        </w:numPr>
        <w:tabs>
          <w:tab w:val="left" w:pos="567"/>
        </w:tabs>
        <w:spacing w:before="120" w:after="120" w:line="240" w:lineRule="auto"/>
        <w:ind w:left="567" w:hanging="283"/>
        <w:jc w:val="both"/>
        <w:rPr>
          <w:rFonts w:ascii="Segoe UI" w:hAnsi="Segoe UI" w:cs="Segoe UI"/>
          <w:szCs w:val="20"/>
        </w:rPr>
      </w:pPr>
      <w:r w:rsidRPr="0062207D">
        <w:rPr>
          <w:rFonts w:ascii="Segoe UI" w:hAnsi="Segoe UI" w:cs="Segoe UI"/>
          <w:szCs w:val="20"/>
        </w:rPr>
        <w:t xml:space="preserve">le società madri, aventi la qualifica di enti di interesse pubblico (le </w:t>
      </w:r>
      <w:r w:rsidRPr="00053D66">
        <w:rPr>
          <w:rFonts w:ascii="Segoe UI" w:hAnsi="Segoe UI" w:cs="Segoe UI"/>
          <w:i/>
          <w:szCs w:val="20"/>
        </w:rPr>
        <w:t>holding</w:t>
      </w:r>
      <w:r w:rsidRPr="0062207D">
        <w:rPr>
          <w:rFonts w:ascii="Segoe UI" w:hAnsi="Segoe UI" w:cs="Segoe UI"/>
          <w:szCs w:val="20"/>
        </w:rPr>
        <w:t>), di un gruppo che:</w:t>
      </w:r>
    </w:p>
    <w:p w14:paraId="4B925BA3" w14:textId="77777777" w:rsidR="000B04A4" w:rsidRPr="0062207D" w:rsidRDefault="000B04A4" w:rsidP="000B04A4">
      <w:pPr>
        <w:pStyle w:val="Paragrafoelenco"/>
        <w:numPr>
          <w:ilvl w:val="0"/>
          <w:numId w:val="5"/>
        </w:numPr>
        <w:tabs>
          <w:tab w:val="left" w:pos="851"/>
        </w:tabs>
        <w:spacing w:before="120" w:after="120" w:line="240" w:lineRule="auto"/>
        <w:ind w:left="851" w:hanging="284"/>
        <w:contextualSpacing w:val="0"/>
        <w:jc w:val="both"/>
        <w:rPr>
          <w:rFonts w:ascii="Segoe UI" w:hAnsi="Segoe UI" w:cs="Segoe UI"/>
          <w:bCs/>
          <w:szCs w:val="20"/>
        </w:rPr>
      </w:pPr>
      <w:r w:rsidRPr="0062207D">
        <w:rPr>
          <w:rFonts w:ascii="Segoe UI" w:hAnsi="Segoe UI" w:cs="Segoe UI"/>
          <w:bCs/>
          <w:szCs w:val="20"/>
        </w:rPr>
        <w:t xml:space="preserve">abbiano complessivamente, nel corso dell’esercizio finanziario, un numero di dipendenti maggiore di </w:t>
      </w:r>
      <w:r>
        <w:rPr>
          <w:rFonts w:ascii="Segoe UI" w:hAnsi="Segoe UI" w:cs="Segoe UI"/>
          <w:bCs/>
          <w:szCs w:val="20"/>
        </w:rPr>
        <w:t>500</w:t>
      </w:r>
      <w:r w:rsidRPr="0062207D">
        <w:rPr>
          <w:rFonts w:ascii="Segoe UI" w:hAnsi="Segoe UI" w:cs="Segoe UI"/>
          <w:bCs/>
          <w:szCs w:val="20"/>
        </w:rPr>
        <w:t>;</w:t>
      </w:r>
    </w:p>
    <w:p w14:paraId="48D25168" w14:textId="77777777" w:rsidR="000B04A4" w:rsidRPr="0062207D" w:rsidRDefault="000B04A4" w:rsidP="000B04A4">
      <w:pPr>
        <w:pStyle w:val="Paragrafoelenco"/>
        <w:keepNext/>
        <w:keepLines/>
        <w:numPr>
          <w:ilvl w:val="0"/>
          <w:numId w:val="5"/>
        </w:numPr>
        <w:tabs>
          <w:tab w:val="left" w:pos="851"/>
        </w:tabs>
        <w:spacing w:before="120" w:after="120" w:line="240" w:lineRule="auto"/>
        <w:ind w:left="851" w:hanging="284"/>
        <w:contextualSpacing w:val="0"/>
        <w:jc w:val="both"/>
        <w:rPr>
          <w:rFonts w:ascii="Segoe UI" w:hAnsi="Segoe UI" w:cs="Segoe UI"/>
          <w:bCs/>
          <w:szCs w:val="20"/>
        </w:rPr>
      </w:pPr>
      <w:r w:rsidRPr="0062207D">
        <w:rPr>
          <w:rFonts w:ascii="Segoe UI" w:hAnsi="Segoe UI" w:cs="Segoe UI"/>
          <w:bCs/>
          <w:szCs w:val="20"/>
        </w:rPr>
        <w:t>abbiano un bilancio consolidato in cui sia verificata almeno una delle seguenti condizioni:</w:t>
      </w:r>
    </w:p>
    <w:p w14:paraId="4789F0C7" w14:textId="77777777" w:rsidR="000B04A4" w:rsidRPr="0062207D" w:rsidRDefault="000B04A4" w:rsidP="000B04A4">
      <w:pPr>
        <w:numPr>
          <w:ilvl w:val="0"/>
          <w:numId w:val="8"/>
        </w:numPr>
        <w:tabs>
          <w:tab w:val="left" w:pos="1134"/>
        </w:tabs>
        <w:spacing w:before="120" w:after="120" w:line="240" w:lineRule="auto"/>
        <w:ind w:left="1135" w:hanging="284"/>
        <w:jc w:val="both"/>
        <w:rPr>
          <w:rFonts w:ascii="Segoe UI" w:hAnsi="Segoe UI" w:cs="Segoe UI"/>
          <w:szCs w:val="20"/>
        </w:rPr>
      </w:pPr>
      <w:r w:rsidRPr="0062207D">
        <w:rPr>
          <w:rFonts w:ascii="Segoe UI" w:hAnsi="Segoe UI" w:cs="Segoe UI"/>
          <w:szCs w:val="20"/>
        </w:rPr>
        <w:t>totale dell’attivo dello stato patrimoniale maggiore di 20 milioni di euro;</w:t>
      </w:r>
    </w:p>
    <w:p w14:paraId="11E6CEA6" w14:textId="77777777" w:rsidR="000B04A4" w:rsidRPr="0062207D" w:rsidRDefault="000B04A4" w:rsidP="000B04A4">
      <w:pPr>
        <w:numPr>
          <w:ilvl w:val="0"/>
          <w:numId w:val="8"/>
        </w:numPr>
        <w:tabs>
          <w:tab w:val="left" w:pos="1134"/>
        </w:tabs>
        <w:spacing w:before="120" w:after="120" w:line="240" w:lineRule="auto"/>
        <w:ind w:left="1135" w:hanging="284"/>
        <w:jc w:val="both"/>
        <w:rPr>
          <w:rFonts w:ascii="Segoe UI" w:hAnsi="Segoe UI" w:cs="Segoe UI"/>
          <w:szCs w:val="20"/>
        </w:rPr>
      </w:pPr>
      <w:r w:rsidRPr="0062207D">
        <w:rPr>
          <w:rFonts w:ascii="Segoe UI" w:hAnsi="Segoe UI" w:cs="Segoe UI"/>
          <w:szCs w:val="20"/>
        </w:rPr>
        <w:t>totale dei ricavi netti delle vendite e delle prestazioni eccedenti 40 milioni di euro.</w:t>
      </w:r>
    </w:p>
    <w:p w14:paraId="5E926D4D" w14:textId="77777777" w:rsidR="000B04A4" w:rsidRPr="0062207D" w:rsidRDefault="000B04A4" w:rsidP="000B04A4">
      <w:pPr>
        <w:tabs>
          <w:tab w:val="left" w:pos="709"/>
        </w:tabs>
        <w:spacing w:before="120" w:after="120" w:line="240" w:lineRule="auto"/>
        <w:jc w:val="both"/>
        <w:rPr>
          <w:rFonts w:ascii="Segoe UI" w:hAnsi="Segoe UI" w:cs="Segoe UI"/>
          <w:bCs/>
          <w:szCs w:val="20"/>
        </w:rPr>
      </w:pPr>
      <w:r w:rsidRPr="0062207D">
        <w:rPr>
          <w:rFonts w:ascii="Segoe UI" w:hAnsi="Segoe UI" w:cs="Segoe UI"/>
          <w:bCs/>
          <w:szCs w:val="20"/>
        </w:rPr>
        <w:t>Nel prosieguo, i soggetti obbligati saranno definiti “ente/enti” o “impresa/imprese” o “società”.</w:t>
      </w:r>
    </w:p>
    <w:p w14:paraId="32780940" w14:textId="77777777" w:rsidR="000B04A4" w:rsidRPr="0062207D" w:rsidRDefault="000B04A4" w:rsidP="000B04A4">
      <w:pPr>
        <w:tabs>
          <w:tab w:val="left" w:pos="709"/>
        </w:tabs>
        <w:spacing w:before="120" w:after="120" w:line="240" w:lineRule="auto"/>
        <w:jc w:val="both"/>
        <w:rPr>
          <w:rFonts w:ascii="Segoe UI" w:hAnsi="Segoe UI" w:cs="Segoe UI"/>
          <w:bCs/>
          <w:szCs w:val="20"/>
        </w:rPr>
      </w:pPr>
      <w:r w:rsidRPr="0062207D">
        <w:rPr>
          <w:rFonts w:ascii="Segoe UI" w:hAnsi="Segoe UI" w:cs="Segoe UI"/>
          <w:bCs/>
          <w:szCs w:val="20"/>
        </w:rPr>
        <w:t>Gli enti di cui al punto 1 sono obbligati a redigere la dichiarazione individuale di carattere non finanziario; le società di cui al punto 2 sono tenute a predisporre la dichiarazione consolidata di carattere non finanziario. L’obbligo viene meno per gli enti di cui al punto 1 e le eventuali società figlie nel caso in cui siano inseriti nella dichiarazione consolidata di carattere non finanziario redatta da un’altra società madre o da una società madre europea</w:t>
      </w:r>
      <w:r w:rsidRPr="0062207D">
        <w:rPr>
          <w:rStyle w:val="Rimandonotaapidipagina"/>
          <w:rFonts w:cs="Segoe UI"/>
          <w:sz w:val="22"/>
          <w:szCs w:val="20"/>
        </w:rPr>
        <w:footnoteReference w:id="3"/>
      </w:r>
      <w:r w:rsidRPr="0062207D">
        <w:rPr>
          <w:rFonts w:ascii="Segoe UI" w:hAnsi="Segoe UI" w:cs="Segoe UI"/>
          <w:bCs/>
          <w:szCs w:val="20"/>
        </w:rPr>
        <w:t xml:space="preserve">. L’esonero dalla redazione della dichiarazione di carattere non finanziario è previsto anche per le società indicate al punto 2, qualora siano anche società figlie incluse nella dichiarazione consolidata di carattere non finanziario predisposta da una società madre soggetta ai medesimi obblighi o da una società madre europea </w:t>
      </w:r>
      <w:r w:rsidRPr="0062207D">
        <w:rPr>
          <w:rFonts w:ascii="Segoe UI" w:hAnsi="Segoe UI" w:cs="Segoe UI"/>
          <w:szCs w:val="20"/>
        </w:rPr>
        <w:t>che rediga tali dichiarazioni ai sensi degli articoli 19-</w:t>
      </w:r>
      <w:r w:rsidRPr="00DA39E2">
        <w:rPr>
          <w:rFonts w:ascii="Segoe UI" w:hAnsi="Segoe UI" w:cs="Segoe UI"/>
          <w:i/>
          <w:szCs w:val="20"/>
        </w:rPr>
        <w:t>bis</w:t>
      </w:r>
      <w:r w:rsidRPr="0062207D">
        <w:rPr>
          <w:rFonts w:ascii="Segoe UI" w:hAnsi="Segoe UI" w:cs="Segoe UI"/>
          <w:szCs w:val="20"/>
        </w:rPr>
        <w:t xml:space="preserve"> e 29-</w:t>
      </w:r>
      <w:r w:rsidRPr="00DA39E2">
        <w:rPr>
          <w:rFonts w:ascii="Segoe UI" w:hAnsi="Segoe UI" w:cs="Segoe UI"/>
          <w:i/>
          <w:szCs w:val="20"/>
        </w:rPr>
        <w:t>bis</w:t>
      </w:r>
      <w:r w:rsidRPr="0062207D">
        <w:rPr>
          <w:rFonts w:ascii="Segoe UI" w:hAnsi="Segoe UI" w:cs="Segoe UI"/>
          <w:szCs w:val="20"/>
        </w:rPr>
        <w:t xml:space="preserve"> della direttiva 2013/34/UE</w:t>
      </w:r>
      <w:r w:rsidRPr="0062207D">
        <w:rPr>
          <w:rFonts w:ascii="Segoe UI" w:hAnsi="Segoe UI" w:cs="Segoe UI"/>
          <w:szCs w:val="20"/>
          <w:vertAlign w:val="superscript"/>
        </w:rPr>
        <w:footnoteReference w:id="4"/>
      </w:r>
      <w:r w:rsidRPr="0062207D">
        <w:rPr>
          <w:rFonts w:ascii="Segoe UI" w:hAnsi="Segoe UI" w:cs="Segoe UI"/>
          <w:bCs/>
          <w:szCs w:val="20"/>
        </w:rPr>
        <w:t>.</w:t>
      </w:r>
    </w:p>
    <w:p w14:paraId="4207B3C4" w14:textId="77777777" w:rsidR="000B04A4" w:rsidRPr="0062207D" w:rsidRDefault="000B04A4" w:rsidP="000B04A4">
      <w:pPr>
        <w:tabs>
          <w:tab w:val="left" w:pos="709"/>
        </w:tabs>
        <w:spacing w:before="120" w:after="120" w:line="240" w:lineRule="auto"/>
        <w:jc w:val="both"/>
        <w:rPr>
          <w:rFonts w:ascii="Segoe UI" w:hAnsi="Segoe UI" w:cs="Segoe UI"/>
          <w:bCs/>
          <w:szCs w:val="20"/>
        </w:rPr>
      </w:pPr>
      <w:r w:rsidRPr="0062207D">
        <w:rPr>
          <w:rFonts w:ascii="Segoe UI" w:hAnsi="Segoe UI" w:cs="Segoe UI"/>
          <w:bCs/>
          <w:szCs w:val="20"/>
        </w:rPr>
        <w:t>Entrambe le dichiarazioni devono essere redatte e pubblicate dagli amministratori dell’ente di interesse pubblico.</w:t>
      </w:r>
    </w:p>
    <w:p w14:paraId="3C884609" w14:textId="77777777" w:rsidR="000B04A4" w:rsidRPr="0062207D" w:rsidRDefault="000B04A4" w:rsidP="000B04A4">
      <w:pPr>
        <w:tabs>
          <w:tab w:val="left" w:pos="709"/>
        </w:tabs>
        <w:spacing w:before="120" w:after="120" w:line="240" w:lineRule="auto"/>
        <w:jc w:val="both"/>
        <w:rPr>
          <w:rFonts w:ascii="Segoe UI" w:hAnsi="Segoe UI" w:cs="Segoe UI"/>
          <w:szCs w:val="20"/>
        </w:rPr>
      </w:pPr>
      <w:r w:rsidRPr="0062207D">
        <w:rPr>
          <w:rFonts w:ascii="Segoe UI" w:hAnsi="Segoe UI" w:cs="Segoe UI"/>
          <w:szCs w:val="20"/>
        </w:rPr>
        <w:t>L’art. 3, co. 1, del d.lgs. n. 254/2016 dispone che la dichiarazione individuale di carattere non finanziario “</w:t>
      </w:r>
      <w:r w:rsidRPr="0062207D">
        <w:rPr>
          <w:rFonts w:ascii="Segoe UI" w:hAnsi="Segoe UI" w:cs="Segoe UI"/>
          <w:i/>
          <w:szCs w:val="20"/>
        </w:rPr>
        <w:t>nella misura necessaria ad assicurare la comprensione dell'attività di impresa, del suo andamento, dei suoi risultati e dell'impatto dalla stessa prodotta, copre i temi ambientali, sociali, attinenti al personale, al rispetto dei diritti umani, alla lotta contro la corruzione attiva e passiva, che sono rilevanti tenuto conto delle attività e delle caratteristiche</w:t>
      </w:r>
      <w:r w:rsidRPr="00905E0E">
        <w:rPr>
          <w:rFonts w:ascii="Segoe UI" w:hAnsi="Segoe UI" w:cs="Segoe UI"/>
          <w:i/>
          <w:szCs w:val="20"/>
        </w:rPr>
        <w:t xml:space="preserve"> dell'impresa</w:t>
      </w:r>
      <w:r w:rsidRPr="00905E0E">
        <w:rPr>
          <w:rFonts w:ascii="Segoe UI" w:hAnsi="Segoe UI" w:cs="Segoe UI"/>
          <w:szCs w:val="20"/>
        </w:rPr>
        <w:t xml:space="preserve"> [...]”.</w:t>
      </w:r>
    </w:p>
    <w:p w14:paraId="52F3AD52" w14:textId="77777777" w:rsidR="000B04A4" w:rsidRPr="0062207D" w:rsidRDefault="000B04A4" w:rsidP="00A84D53">
      <w:pPr>
        <w:keepNext/>
        <w:spacing w:before="120" w:after="120" w:line="240" w:lineRule="auto"/>
        <w:jc w:val="both"/>
        <w:rPr>
          <w:rFonts w:ascii="Segoe UI" w:hAnsi="Segoe UI" w:cs="Segoe UI"/>
          <w:szCs w:val="20"/>
        </w:rPr>
      </w:pPr>
      <w:r w:rsidRPr="0062207D">
        <w:rPr>
          <w:rFonts w:ascii="Segoe UI" w:hAnsi="Segoe UI" w:cs="Segoe UI"/>
          <w:szCs w:val="20"/>
        </w:rPr>
        <w:t>Tali informazioni devono essere fornite descrivendo almeno:</w:t>
      </w:r>
    </w:p>
    <w:p w14:paraId="694D0BC3" w14:textId="77777777" w:rsidR="000B04A4" w:rsidRPr="0062207D" w:rsidRDefault="000B04A4" w:rsidP="00A84D53">
      <w:pPr>
        <w:numPr>
          <w:ilvl w:val="0"/>
          <w:numId w:val="9"/>
        </w:numPr>
        <w:tabs>
          <w:tab w:val="left" w:pos="567"/>
        </w:tabs>
        <w:spacing w:before="120" w:after="120" w:line="240" w:lineRule="auto"/>
        <w:ind w:left="567" w:hanging="283"/>
        <w:jc w:val="both"/>
        <w:rPr>
          <w:rFonts w:ascii="Segoe UI" w:hAnsi="Segoe UI" w:cs="Segoe UI"/>
          <w:szCs w:val="20"/>
        </w:rPr>
      </w:pPr>
      <w:r w:rsidRPr="0062207D">
        <w:rPr>
          <w:rFonts w:ascii="Segoe UI" w:hAnsi="Segoe UI" w:cs="Segoe UI"/>
          <w:szCs w:val="20"/>
        </w:rPr>
        <w:t xml:space="preserve">il modello aziendale di gestione, organizzazione e controllo dell’impresa, ivi compreso l’eventuale modello adottato </w:t>
      </w:r>
      <w:r w:rsidRPr="00DA39E2">
        <w:rPr>
          <w:rFonts w:ascii="Segoe UI" w:hAnsi="Segoe UI" w:cs="Segoe UI"/>
          <w:i/>
          <w:szCs w:val="20"/>
        </w:rPr>
        <w:t>ex</w:t>
      </w:r>
      <w:r w:rsidRPr="0062207D">
        <w:rPr>
          <w:rFonts w:ascii="Segoe UI" w:hAnsi="Segoe UI" w:cs="Segoe UI"/>
          <w:szCs w:val="20"/>
        </w:rPr>
        <w:t xml:space="preserve"> d.lgs. n. 231/2001, anche con riferimento alla gestione, in tale modello, dei temi di cui al d.lgs. n. 254/2016;</w:t>
      </w:r>
    </w:p>
    <w:p w14:paraId="4BC92409" w14:textId="77777777" w:rsidR="000B04A4" w:rsidRPr="0062207D" w:rsidRDefault="000B04A4" w:rsidP="00A84D53">
      <w:pPr>
        <w:numPr>
          <w:ilvl w:val="0"/>
          <w:numId w:val="9"/>
        </w:numPr>
        <w:tabs>
          <w:tab w:val="left" w:pos="567"/>
        </w:tabs>
        <w:spacing w:before="120" w:after="120" w:line="240" w:lineRule="auto"/>
        <w:ind w:left="568" w:hanging="284"/>
        <w:jc w:val="both"/>
        <w:rPr>
          <w:rFonts w:ascii="Segoe UI" w:hAnsi="Segoe UI" w:cs="Segoe UI"/>
          <w:szCs w:val="20"/>
        </w:rPr>
      </w:pPr>
      <w:r w:rsidRPr="0062207D">
        <w:rPr>
          <w:rFonts w:ascii="Segoe UI" w:hAnsi="Segoe UI" w:cs="Segoe UI"/>
          <w:szCs w:val="20"/>
        </w:rPr>
        <w:t>le politiche praticate dall’impresa, i risultati conseguiti e i fondamentali indicatori di prestazione di carattere non finanziario;</w:t>
      </w:r>
    </w:p>
    <w:p w14:paraId="7E785232" w14:textId="77777777" w:rsidR="000B04A4" w:rsidRPr="0062207D" w:rsidRDefault="000B04A4" w:rsidP="00A84D53">
      <w:pPr>
        <w:numPr>
          <w:ilvl w:val="0"/>
          <w:numId w:val="9"/>
        </w:numPr>
        <w:tabs>
          <w:tab w:val="left" w:pos="567"/>
          <w:tab w:val="num" w:pos="720"/>
        </w:tabs>
        <w:spacing w:before="120" w:after="120" w:line="240" w:lineRule="auto"/>
        <w:ind w:left="567" w:hanging="283"/>
        <w:jc w:val="both"/>
        <w:rPr>
          <w:rFonts w:ascii="Segoe UI" w:hAnsi="Segoe UI" w:cs="Segoe UI"/>
          <w:szCs w:val="20"/>
        </w:rPr>
      </w:pPr>
      <w:r w:rsidRPr="0062207D">
        <w:rPr>
          <w:rFonts w:ascii="Segoe UI" w:hAnsi="Segoe UI" w:cs="Segoe UI"/>
          <w:szCs w:val="20"/>
        </w:rPr>
        <w:t>i principali rischi, generati o subiti, connessi ai temi oggetto del decreto e che derivano dalle attività dell’impresa, dai suoi prodotti, servizi o rapporti commerciali, incluse, ove rilevanti, le catene di fornitura e subappalto.</w:t>
      </w:r>
    </w:p>
    <w:p w14:paraId="68F63BB4" w14:textId="77777777" w:rsidR="000B04A4" w:rsidRPr="0062207D" w:rsidRDefault="000B04A4" w:rsidP="000B04A4">
      <w:pPr>
        <w:spacing w:before="120" w:after="120" w:line="240" w:lineRule="auto"/>
        <w:jc w:val="both"/>
        <w:rPr>
          <w:rFonts w:ascii="Segoe UI" w:hAnsi="Segoe UI" w:cs="Segoe UI"/>
          <w:szCs w:val="20"/>
        </w:rPr>
      </w:pPr>
      <w:r w:rsidRPr="0062207D">
        <w:rPr>
          <w:rFonts w:ascii="Segoe UI" w:hAnsi="Segoe UI" w:cs="Segoe UI"/>
          <w:szCs w:val="20"/>
        </w:rPr>
        <w:t xml:space="preserve">D’altro canto, è possibile non fornire informazioni in merito a uno o più aspetti sopra elencati qualora l’ente soggetto all’obbligo di </w:t>
      </w:r>
      <w:r w:rsidRPr="0062207D">
        <w:rPr>
          <w:rFonts w:ascii="Segoe UI" w:hAnsi="Segoe UI" w:cs="Segoe UI"/>
          <w:i/>
          <w:szCs w:val="20"/>
        </w:rPr>
        <w:t>disclosure</w:t>
      </w:r>
      <w:r w:rsidRPr="0062207D">
        <w:rPr>
          <w:rFonts w:ascii="Segoe UI" w:hAnsi="Segoe UI" w:cs="Segoe UI"/>
          <w:szCs w:val="20"/>
        </w:rPr>
        <w:t xml:space="preserve"> non pratichi politiche in tali ambiti; in questo caso, però, l’ente è tenuto a indicare all’interno della dichiarazione, in modo chiaro e articolato, le ragioni che motivino la scelta di non fornire alcuna informazione su tali aspetti</w:t>
      </w:r>
      <w:r w:rsidRPr="0062207D">
        <w:rPr>
          <w:rFonts w:ascii="Segoe UI" w:hAnsi="Segoe UI" w:cs="Segoe UI"/>
          <w:szCs w:val="20"/>
          <w:vertAlign w:val="superscript"/>
        </w:rPr>
        <w:footnoteReference w:id="5"/>
      </w:r>
      <w:r w:rsidRPr="0062207D">
        <w:rPr>
          <w:rFonts w:ascii="Segoe UI" w:hAnsi="Segoe UI" w:cs="Segoe UI"/>
          <w:szCs w:val="20"/>
        </w:rPr>
        <w:t>.</w:t>
      </w:r>
    </w:p>
    <w:p w14:paraId="495D45D3" w14:textId="77777777" w:rsidR="000B04A4" w:rsidRPr="0062207D" w:rsidRDefault="000B04A4" w:rsidP="000B04A4">
      <w:pPr>
        <w:spacing w:before="120" w:after="120" w:line="240" w:lineRule="auto"/>
        <w:jc w:val="both"/>
        <w:rPr>
          <w:rFonts w:ascii="Segoe UI" w:hAnsi="Segoe UI" w:cs="Segoe UI"/>
          <w:szCs w:val="20"/>
        </w:rPr>
      </w:pPr>
      <w:r>
        <w:rPr>
          <w:rFonts w:ascii="Segoe UI" w:hAnsi="Segoe UI" w:cs="Segoe UI"/>
          <w:szCs w:val="20"/>
        </w:rPr>
        <w:t>È</w:t>
      </w:r>
      <w:r w:rsidRPr="0062207D">
        <w:rPr>
          <w:rFonts w:ascii="Segoe UI" w:hAnsi="Segoe UI" w:cs="Segoe UI"/>
          <w:szCs w:val="20"/>
        </w:rPr>
        <w:t xml:space="preserve"> poi consentito omettere le informazioni relative a prossimi sviluppi e operazioni in corso di negoziazione, ma unicamente nel caso in cui la loro diffusione possa pregiudicare in modo grave la posizione commerciale dell’impresa e purché l’ente in questione indichi nella propria dichiarazione che intenda avvalersi di questa facoltà, facendo espresso riferimento all’art. 3, co. 8</w:t>
      </w:r>
      <w:r>
        <w:rPr>
          <w:rFonts w:ascii="Segoe UI" w:hAnsi="Segoe UI" w:cs="Segoe UI"/>
          <w:szCs w:val="20"/>
        </w:rPr>
        <w:t>, del d.lgs. n. 254/2016.</w:t>
      </w:r>
      <w:r w:rsidRPr="0062207D">
        <w:rPr>
          <w:rFonts w:ascii="Segoe UI" w:hAnsi="Segoe UI" w:cs="Segoe UI"/>
          <w:szCs w:val="20"/>
        </w:rPr>
        <w:t xml:space="preserve"> Peraltro, l’omissione di tali informazioni non è comunque consentita qualora comprometta la corretta ed equilibrata comprensione dell’andamento dell’impresa e degli effetti generati dalla sua attività sugli aspetti oggetto della dichiarazione</w:t>
      </w:r>
      <w:r w:rsidRPr="0062207D">
        <w:rPr>
          <w:rFonts w:ascii="Segoe UI" w:hAnsi="Segoe UI" w:cs="Segoe UI"/>
          <w:szCs w:val="20"/>
          <w:vertAlign w:val="superscript"/>
        </w:rPr>
        <w:footnoteReference w:id="6"/>
      </w:r>
      <w:r w:rsidRPr="0062207D">
        <w:rPr>
          <w:rFonts w:ascii="Segoe UI" w:hAnsi="Segoe UI" w:cs="Segoe UI"/>
          <w:szCs w:val="20"/>
        </w:rPr>
        <w:t>.</w:t>
      </w:r>
    </w:p>
    <w:p w14:paraId="1A4C9CE7" w14:textId="77777777" w:rsidR="000B04A4" w:rsidRPr="0062207D" w:rsidRDefault="000B04A4" w:rsidP="000B04A4">
      <w:pPr>
        <w:spacing w:before="120" w:after="120" w:line="240" w:lineRule="auto"/>
        <w:jc w:val="both"/>
        <w:rPr>
          <w:rFonts w:ascii="Segoe UI" w:hAnsi="Segoe UI" w:cs="Segoe UI"/>
          <w:szCs w:val="20"/>
        </w:rPr>
      </w:pPr>
      <w:r w:rsidRPr="0062207D">
        <w:rPr>
          <w:rFonts w:ascii="Segoe UI" w:hAnsi="Segoe UI" w:cs="Segoe UI"/>
          <w:szCs w:val="20"/>
        </w:rPr>
        <w:t xml:space="preserve">La dichiarazione di carattere non finanziario (sia individuale sia consolidata) deve essere redatta sulla base di uno </w:t>
      </w:r>
      <w:r w:rsidRPr="004D7C1C">
        <w:rPr>
          <w:rFonts w:ascii="Segoe UI" w:hAnsi="Segoe UI" w:cs="Segoe UI"/>
          <w:i/>
          <w:szCs w:val="20"/>
        </w:rPr>
        <w:t>standard</w:t>
      </w:r>
      <w:r w:rsidRPr="0062207D">
        <w:rPr>
          <w:rFonts w:ascii="Segoe UI" w:hAnsi="Segoe UI" w:cs="Segoe UI"/>
          <w:szCs w:val="20"/>
        </w:rPr>
        <w:t xml:space="preserve"> di rendicontazione nazionale o internazionale riconosciuto.</w:t>
      </w:r>
    </w:p>
    <w:p w14:paraId="082BF6F4" w14:textId="77777777" w:rsidR="000B04A4" w:rsidRPr="0062207D" w:rsidRDefault="000B04A4" w:rsidP="000B04A4">
      <w:pPr>
        <w:spacing w:before="120" w:after="120" w:line="240" w:lineRule="auto"/>
        <w:jc w:val="both"/>
        <w:rPr>
          <w:rFonts w:ascii="Segoe UI" w:hAnsi="Segoe UI" w:cs="Segoe UI"/>
          <w:szCs w:val="20"/>
        </w:rPr>
      </w:pPr>
      <w:r w:rsidRPr="0062207D">
        <w:rPr>
          <w:rFonts w:ascii="Segoe UI" w:hAnsi="Segoe UI" w:cs="Segoe UI"/>
          <w:szCs w:val="20"/>
        </w:rPr>
        <w:t>L’art</w:t>
      </w:r>
      <w:r>
        <w:rPr>
          <w:rFonts w:ascii="Segoe UI" w:hAnsi="Segoe UI" w:cs="Segoe UI"/>
          <w:szCs w:val="20"/>
        </w:rPr>
        <w:t>.</w:t>
      </w:r>
      <w:r w:rsidRPr="0062207D">
        <w:rPr>
          <w:rFonts w:ascii="Segoe UI" w:hAnsi="Segoe UI" w:cs="Segoe UI"/>
          <w:szCs w:val="20"/>
        </w:rPr>
        <w:t xml:space="preserve"> 1 della direttiva 2014/95/UE (al punto 1, paragrafo 1, c</w:t>
      </w:r>
      <w:r>
        <w:rPr>
          <w:rFonts w:ascii="Segoe UI" w:hAnsi="Segoe UI" w:cs="Segoe UI"/>
          <w:szCs w:val="20"/>
        </w:rPr>
        <w:t>o.</w:t>
      </w:r>
      <w:r w:rsidRPr="0062207D">
        <w:rPr>
          <w:rFonts w:ascii="Segoe UI" w:hAnsi="Segoe UI" w:cs="Segoe UI"/>
          <w:szCs w:val="20"/>
        </w:rPr>
        <w:t xml:space="preserve"> 5), prevede che “</w:t>
      </w:r>
      <w:r w:rsidRPr="0062207D">
        <w:rPr>
          <w:rFonts w:ascii="Segoe UI" w:hAnsi="Segoe UI" w:cs="Segoe UI"/>
          <w:i/>
          <w:szCs w:val="20"/>
        </w:rPr>
        <w:t>Nel richiedere la divulgazione delle informazioni di cui al primo comma, gli Stati membri provvedono affinché le imprese possano basarsi su standard nazionali, unionali o internazionali, specificando lo standard seguito.</w:t>
      </w:r>
      <w:r w:rsidRPr="0062207D">
        <w:rPr>
          <w:rFonts w:ascii="Segoe UI" w:hAnsi="Segoe UI" w:cs="Segoe UI"/>
          <w:szCs w:val="20"/>
        </w:rPr>
        <w:t>”</w:t>
      </w:r>
      <w:r w:rsidRPr="0062207D">
        <w:rPr>
          <w:rStyle w:val="Rimandonotaapidipagina"/>
          <w:rFonts w:cs="Segoe UI"/>
          <w:sz w:val="22"/>
          <w:szCs w:val="20"/>
        </w:rPr>
        <w:footnoteReference w:id="7"/>
      </w:r>
      <w:r w:rsidRPr="0062207D">
        <w:rPr>
          <w:rFonts w:ascii="Segoe UI" w:hAnsi="Segoe UI" w:cs="Segoe UI"/>
          <w:szCs w:val="20"/>
        </w:rPr>
        <w:t>.</w:t>
      </w:r>
    </w:p>
    <w:p w14:paraId="19ADA87D" w14:textId="77777777" w:rsidR="000B04A4" w:rsidRPr="0062207D" w:rsidRDefault="000B04A4" w:rsidP="000B04A4">
      <w:pPr>
        <w:spacing w:before="120" w:after="120" w:line="240" w:lineRule="auto"/>
        <w:jc w:val="both"/>
        <w:rPr>
          <w:rFonts w:ascii="Segoe UI" w:hAnsi="Segoe UI" w:cs="Segoe UI"/>
          <w:szCs w:val="20"/>
        </w:rPr>
      </w:pPr>
      <w:r w:rsidRPr="0062207D">
        <w:rPr>
          <w:rFonts w:ascii="Segoe UI" w:hAnsi="Segoe UI" w:cs="Segoe UI"/>
          <w:szCs w:val="20"/>
        </w:rPr>
        <w:t>In proposito, il d.lgs. n. 254/2016 fa un passo oltre rispetto alla direttiva e, all’art. 3, co. 3, prevede che “</w:t>
      </w:r>
      <w:r w:rsidRPr="0062207D">
        <w:rPr>
          <w:rFonts w:ascii="Segoe UI" w:hAnsi="Segoe UI" w:cs="Segoe UI"/>
          <w:i/>
          <w:szCs w:val="20"/>
        </w:rPr>
        <w:t>Le informazioni di cui ai commi 1 e 2 sono fornite con un raffronto in relazione a quelle fornite negli esercizi precedenti, secondo le metodologie ed i principi previsti dallo standard di rendicontazione utilizzato quale riferimento o dalla metodologia di rendicontazione autonoma utilizzata ai fini della redazione della dichiarazione...</w:t>
      </w:r>
      <w:r w:rsidRPr="0062207D">
        <w:rPr>
          <w:rFonts w:ascii="Segoe UI" w:hAnsi="Segoe UI" w:cs="Segoe UI"/>
          <w:szCs w:val="20"/>
        </w:rPr>
        <w:t>”; per «</w:t>
      </w:r>
      <w:r w:rsidRPr="004D7C1C">
        <w:rPr>
          <w:rFonts w:ascii="Segoe UI" w:hAnsi="Segoe UI" w:cs="Segoe UI"/>
          <w:i/>
          <w:szCs w:val="20"/>
        </w:rPr>
        <w:t>standard di rendicontazione</w:t>
      </w:r>
      <w:r w:rsidRPr="0062207D">
        <w:rPr>
          <w:rFonts w:ascii="Segoe UI" w:hAnsi="Segoe UI" w:cs="Segoe UI"/>
          <w:szCs w:val="20"/>
        </w:rPr>
        <w:t>» si intendono “</w:t>
      </w:r>
      <w:r w:rsidRPr="0062207D">
        <w:rPr>
          <w:rFonts w:ascii="Segoe UI" w:hAnsi="Segoe UI" w:cs="Segoe UI"/>
          <w:i/>
          <w:szCs w:val="20"/>
        </w:rPr>
        <w:t>gli standard e le linee guida emanati da autorevoli organismi sovranazionali, internazionali o nazionali, di natura pubblica o privata, funzionali, in tutto o in parte, ad adempiere agli obblighi di informativa non finanziaria previsti dal presente decreto legislativo e dalla direttiva 2014/95/UE</w:t>
      </w:r>
      <w:r w:rsidRPr="0062207D">
        <w:rPr>
          <w:rFonts w:ascii="Segoe UI" w:hAnsi="Segoe UI" w:cs="Segoe UI"/>
          <w:szCs w:val="20"/>
        </w:rPr>
        <w:t>”</w:t>
      </w:r>
      <w:r>
        <w:rPr>
          <w:rFonts w:ascii="Segoe UI" w:hAnsi="Segoe UI" w:cs="Segoe UI"/>
          <w:szCs w:val="20"/>
        </w:rPr>
        <w:t>…</w:t>
      </w:r>
      <w:r w:rsidRPr="0062207D">
        <w:rPr>
          <w:rFonts w:ascii="Segoe UI" w:hAnsi="Segoe UI" w:cs="Segoe UI"/>
          <w:szCs w:val="20"/>
        </w:rPr>
        <w:t xml:space="preserve"> (art. 1</w:t>
      </w:r>
      <w:r>
        <w:rPr>
          <w:rFonts w:ascii="Segoe UI" w:hAnsi="Segoe UI" w:cs="Segoe UI"/>
          <w:szCs w:val="20"/>
        </w:rPr>
        <w:t>,</w:t>
      </w:r>
      <w:r w:rsidRPr="0062207D">
        <w:rPr>
          <w:rFonts w:ascii="Segoe UI" w:hAnsi="Segoe UI" w:cs="Segoe UI"/>
          <w:szCs w:val="20"/>
        </w:rPr>
        <w:t xml:space="preserve"> co. 1, lett. f), mentre per «</w:t>
      </w:r>
      <w:r w:rsidRPr="004D7C1C">
        <w:rPr>
          <w:rFonts w:ascii="Segoe UI" w:hAnsi="Segoe UI" w:cs="Segoe UI"/>
          <w:i/>
          <w:szCs w:val="20"/>
        </w:rPr>
        <w:t>metodologia autonoma di rendicontazione</w:t>
      </w:r>
      <w:r w:rsidRPr="0062207D">
        <w:rPr>
          <w:rFonts w:ascii="Segoe UI" w:hAnsi="Segoe UI" w:cs="Segoe UI"/>
          <w:szCs w:val="20"/>
        </w:rPr>
        <w:t>» si intende “</w:t>
      </w:r>
      <w:r w:rsidRPr="0062207D">
        <w:rPr>
          <w:rFonts w:ascii="Segoe UI" w:hAnsi="Segoe UI" w:cs="Segoe UI"/>
          <w:i/>
          <w:szCs w:val="20"/>
        </w:rPr>
        <w:t>l'insieme composito, costituito da uno o più standard di rendicontazione, come definiti alla lettera f), e dagli ulteriori principi, criteri ed indicatori di prestazione, autonomamente individuati ed integrativi rispetto a quelli previsti dagli standard di rendicontazione adottati, che risulti funzionale ad adempiere agli obblighi di informativa non finanziaria previsti dal presente decreto legislativo e dalla direttiva 2014/95/UE...</w:t>
      </w:r>
      <w:r w:rsidRPr="0062207D">
        <w:rPr>
          <w:rFonts w:ascii="Segoe UI" w:hAnsi="Segoe UI" w:cs="Segoe UI"/>
          <w:szCs w:val="20"/>
        </w:rPr>
        <w:t>” (art. 1</w:t>
      </w:r>
      <w:r>
        <w:rPr>
          <w:rFonts w:ascii="Segoe UI" w:hAnsi="Segoe UI" w:cs="Segoe UI"/>
          <w:szCs w:val="20"/>
        </w:rPr>
        <w:t>,</w:t>
      </w:r>
      <w:r w:rsidRPr="0062207D">
        <w:rPr>
          <w:rFonts w:ascii="Segoe UI" w:hAnsi="Segoe UI" w:cs="Segoe UI"/>
          <w:szCs w:val="20"/>
        </w:rPr>
        <w:t xml:space="preserve"> co. 1, lett. g)</w:t>
      </w:r>
      <w:r w:rsidRPr="0062207D">
        <w:rPr>
          <w:rStyle w:val="Rimandonotaapidipagina"/>
          <w:rFonts w:cs="Segoe UI"/>
          <w:sz w:val="22"/>
          <w:szCs w:val="20"/>
        </w:rPr>
        <w:footnoteReference w:id="8"/>
      </w:r>
      <w:r w:rsidRPr="0062207D">
        <w:rPr>
          <w:rFonts w:ascii="Segoe UI" w:hAnsi="Segoe UI" w:cs="Segoe UI"/>
          <w:szCs w:val="20"/>
        </w:rPr>
        <w:t>.</w:t>
      </w:r>
    </w:p>
    <w:p w14:paraId="36257F94" w14:textId="77777777" w:rsidR="000B04A4" w:rsidRPr="0062207D" w:rsidRDefault="000B04A4" w:rsidP="000B04A4">
      <w:pPr>
        <w:spacing w:before="120" w:after="120" w:line="240" w:lineRule="auto"/>
        <w:jc w:val="both"/>
        <w:rPr>
          <w:rFonts w:ascii="Segoe UI" w:hAnsi="Segoe UI" w:cs="Segoe UI"/>
          <w:szCs w:val="20"/>
        </w:rPr>
      </w:pPr>
      <w:r w:rsidRPr="0062207D">
        <w:rPr>
          <w:rFonts w:ascii="Segoe UI" w:hAnsi="Segoe UI" w:cs="Segoe UI"/>
          <w:szCs w:val="20"/>
        </w:rPr>
        <w:t>Nel caso di adozione di una metodologia di rendicontazione autonoma la dichiarazione deve riportare una descrizione chiara e articolata della metodologia di rendicontazione nonché le motivazioni della scelta della stessa.</w:t>
      </w:r>
    </w:p>
    <w:p w14:paraId="579C2522" w14:textId="77777777" w:rsidR="000B04A4" w:rsidRPr="0062207D" w:rsidRDefault="000B04A4" w:rsidP="000B04A4">
      <w:pPr>
        <w:spacing w:before="120" w:after="120" w:line="240" w:lineRule="auto"/>
        <w:jc w:val="both"/>
        <w:rPr>
          <w:rFonts w:ascii="Segoe UI" w:hAnsi="Segoe UI" w:cs="Segoe UI"/>
          <w:bCs/>
          <w:szCs w:val="20"/>
        </w:rPr>
      </w:pPr>
      <w:r w:rsidRPr="0062207D">
        <w:rPr>
          <w:rFonts w:ascii="Segoe UI" w:hAnsi="Segoe UI" w:cs="Segoe UI"/>
          <w:szCs w:val="20"/>
        </w:rPr>
        <w:t xml:space="preserve">Si noti sin d’ora che, indipendentemente dallo </w:t>
      </w:r>
      <w:r w:rsidRPr="004D7C1C">
        <w:rPr>
          <w:rFonts w:ascii="Segoe UI" w:hAnsi="Segoe UI" w:cs="Segoe UI"/>
          <w:i/>
          <w:szCs w:val="20"/>
        </w:rPr>
        <w:t>standard</w:t>
      </w:r>
      <w:r w:rsidRPr="0062207D">
        <w:rPr>
          <w:rFonts w:ascii="Segoe UI" w:hAnsi="Segoe UI" w:cs="Segoe UI"/>
          <w:szCs w:val="20"/>
        </w:rPr>
        <w:t xml:space="preserve"> di rendicontazione adotta</w:t>
      </w:r>
      <w:r>
        <w:rPr>
          <w:rFonts w:ascii="Segoe UI" w:hAnsi="Segoe UI" w:cs="Segoe UI"/>
          <w:szCs w:val="20"/>
        </w:rPr>
        <w:t xml:space="preserve">to, la disciplina stabilisce </w:t>
      </w:r>
      <w:r w:rsidRPr="0062207D">
        <w:rPr>
          <w:rFonts w:ascii="Segoe UI" w:hAnsi="Segoe UI" w:cs="Segoe UI"/>
          <w:szCs w:val="20"/>
        </w:rPr>
        <w:t xml:space="preserve">comunque una direttrice metodologica “di minima”, idonea a fornire nella dichiarazione non finanziaria informazioni intellegibili e chiare sui temi di sostenibilità </w:t>
      </w:r>
      <w:r w:rsidRPr="0062207D">
        <w:rPr>
          <w:rFonts w:ascii="Segoe UI" w:hAnsi="Segoe UI" w:cs="Segoe UI"/>
          <w:bCs/>
          <w:szCs w:val="20"/>
        </w:rPr>
        <w:t>“</w:t>
      </w:r>
      <w:r w:rsidRPr="0062207D">
        <w:rPr>
          <w:rFonts w:ascii="Segoe UI" w:hAnsi="Segoe UI" w:cs="Segoe UI"/>
          <w:bCs/>
          <w:i/>
          <w:szCs w:val="20"/>
        </w:rPr>
        <w:t>nella misura necessaria ad assicurare la comprensione dell'attività di impresa, del suo andamento, dei suoi risultati e dell'impatto dalla stessa prodotta</w:t>
      </w:r>
      <w:r w:rsidRPr="0062207D">
        <w:rPr>
          <w:rFonts w:ascii="Segoe UI" w:hAnsi="Segoe UI" w:cs="Segoe UI"/>
          <w:bCs/>
          <w:szCs w:val="20"/>
        </w:rPr>
        <w:t>”.</w:t>
      </w:r>
    </w:p>
    <w:p w14:paraId="1C49776C" w14:textId="77777777" w:rsidR="000B04A4" w:rsidRPr="0062207D" w:rsidRDefault="000B04A4" w:rsidP="000B04A4">
      <w:pPr>
        <w:spacing w:before="120" w:after="120" w:line="240" w:lineRule="auto"/>
        <w:jc w:val="both"/>
        <w:rPr>
          <w:rFonts w:ascii="Segoe UI" w:hAnsi="Segoe UI" w:cs="Segoe UI"/>
          <w:bCs/>
          <w:szCs w:val="20"/>
        </w:rPr>
      </w:pPr>
      <w:r w:rsidRPr="0062207D">
        <w:rPr>
          <w:rFonts w:ascii="Segoe UI" w:hAnsi="Segoe UI" w:cs="Segoe UI"/>
          <w:bCs/>
          <w:szCs w:val="20"/>
        </w:rPr>
        <w:t xml:space="preserve">Tale indicazione metodologica “di minima” consiste nell’utilizzo del concetto di “modello aziendale di gestione ed organizzazione delle attività dell’impresa”, intorno al quale o sul quale articolare la descrizione delle politiche praticate dall’impresa, incluse quelle di dovuta diligenza, dei risultati ottenuti dalla loro adozione e dei connessi indicatori di prestazioni di carattere non finanziario, dei principali rischi connessi ai </w:t>
      </w:r>
      <w:r w:rsidRPr="0062207D">
        <w:rPr>
          <w:rFonts w:ascii="Segoe UI" w:hAnsi="Segoe UI" w:cs="Segoe UI"/>
          <w:bCs/>
          <w:i/>
          <w:szCs w:val="20"/>
        </w:rPr>
        <w:t>driver</w:t>
      </w:r>
      <w:r w:rsidRPr="0062207D">
        <w:rPr>
          <w:rFonts w:ascii="Segoe UI" w:hAnsi="Segoe UI" w:cs="Segoe UI"/>
          <w:bCs/>
          <w:szCs w:val="20"/>
        </w:rPr>
        <w:t xml:space="preserve"> di sostenibilità oggetto del decreto (temi ambientali, sociali, attinenti al personale, al rispetto dei diritti umani, alla lotta contro la corruzione attiva e passiva) e che abbiano origine dalle attività dell’impresa, dai suoi prodotti, servizi o rapporti commerciali, comprese, ove rilevanti, le catene di fornitura, distribuzione e vendita, anche in subappalto.</w:t>
      </w:r>
    </w:p>
    <w:p w14:paraId="49773D8E" w14:textId="77777777" w:rsidR="000B04A4" w:rsidRPr="0062207D" w:rsidRDefault="000B04A4" w:rsidP="000B04A4">
      <w:pPr>
        <w:keepNext/>
        <w:keepLines/>
        <w:tabs>
          <w:tab w:val="left" w:pos="709"/>
        </w:tabs>
        <w:spacing w:before="120" w:after="120" w:line="240" w:lineRule="auto"/>
        <w:jc w:val="both"/>
        <w:rPr>
          <w:rFonts w:ascii="Segoe UI" w:hAnsi="Segoe UI" w:cs="Segoe UI"/>
          <w:bCs/>
          <w:szCs w:val="20"/>
        </w:rPr>
      </w:pPr>
      <w:r w:rsidRPr="0062207D">
        <w:rPr>
          <w:rFonts w:ascii="Segoe UI" w:hAnsi="Segoe UI" w:cs="Segoe UI"/>
          <w:bCs/>
          <w:szCs w:val="20"/>
        </w:rPr>
        <w:t xml:space="preserve">La scelta dello </w:t>
      </w:r>
      <w:r w:rsidRPr="004D7C1C">
        <w:rPr>
          <w:rFonts w:ascii="Segoe UI" w:hAnsi="Segoe UI" w:cs="Segoe UI"/>
          <w:bCs/>
          <w:i/>
          <w:szCs w:val="20"/>
        </w:rPr>
        <w:t>standard</w:t>
      </w:r>
      <w:r w:rsidRPr="0062207D">
        <w:rPr>
          <w:rFonts w:ascii="Segoe UI" w:hAnsi="Segoe UI" w:cs="Segoe UI"/>
          <w:bCs/>
          <w:szCs w:val="20"/>
        </w:rPr>
        <w:t xml:space="preserve"> di rendicontazione da adottare si riflette però sugli indicatori di prestazioni impiegati nel monitoraggio e nella valutazione delle attività, in quanto questi devono essere:</w:t>
      </w:r>
    </w:p>
    <w:p w14:paraId="7E8149D2" w14:textId="77777777" w:rsidR="000B04A4" w:rsidRPr="0062207D" w:rsidRDefault="000B04A4" w:rsidP="000B04A4">
      <w:pPr>
        <w:pStyle w:val="Paragrafoelenco"/>
        <w:numPr>
          <w:ilvl w:val="0"/>
          <w:numId w:val="5"/>
        </w:numPr>
        <w:tabs>
          <w:tab w:val="left" w:pos="567"/>
        </w:tabs>
        <w:spacing w:after="0" w:line="240" w:lineRule="auto"/>
        <w:ind w:left="568" w:hanging="284"/>
        <w:contextualSpacing w:val="0"/>
        <w:jc w:val="both"/>
        <w:rPr>
          <w:rFonts w:ascii="Segoe UI" w:hAnsi="Segoe UI" w:cs="Segoe UI"/>
          <w:bCs/>
          <w:szCs w:val="20"/>
        </w:rPr>
      </w:pPr>
      <w:r w:rsidRPr="0062207D">
        <w:rPr>
          <w:rFonts w:ascii="Segoe UI" w:hAnsi="Segoe UI" w:cs="Segoe UI"/>
          <w:bCs/>
          <w:szCs w:val="20"/>
        </w:rPr>
        <w:t xml:space="preserve">quelli indicati dallo </w:t>
      </w:r>
      <w:r w:rsidRPr="004D7C1C">
        <w:rPr>
          <w:rFonts w:ascii="Segoe UI" w:hAnsi="Segoe UI" w:cs="Segoe UI"/>
          <w:bCs/>
          <w:i/>
          <w:szCs w:val="20"/>
        </w:rPr>
        <w:t>standard</w:t>
      </w:r>
      <w:r w:rsidRPr="0062207D">
        <w:rPr>
          <w:rFonts w:ascii="Segoe UI" w:hAnsi="Segoe UI" w:cs="Segoe UI"/>
          <w:bCs/>
          <w:szCs w:val="20"/>
        </w:rPr>
        <w:t xml:space="preserve"> di rendicontazione;</w:t>
      </w:r>
    </w:p>
    <w:p w14:paraId="40FA0A4E" w14:textId="77777777" w:rsidR="000B04A4" w:rsidRPr="0062207D" w:rsidRDefault="000B04A4" w:rsidP="000B04A4">
      <w:pPr>
        <w:pStyle w:val="Paragrafoelenco"/>
        <w:numPr>
          <w:ilvl w:val="0"/>
          <w:numId w:val="5"/>
        </w:numPr>
        <w:tabs>
          <w:tab w:val="left" w:pos="567"/>
        </w:tabs>
        <w:spacing w:after="0" w:line="240" w:lineRule="auto"/>
        <w:ind w:left="568" w:hanging="284"/>
        <w:contextualSpacing w:val="0"/>
        <w:jc w:val="both"/>
        <w:rPr>
          <w:rFonts w:ascii="Segoe UI" w:hAnsi="Segoe UI" w:cs="Segoe UI"/>
          <w:bCs/>
          <w:szCs w:val="20"/>
        </w:rPr>
      </w:pPr>
      <w:r w:rsidRPr="0062207D">
        <w:rPr>
          <w:rFonts w:ascii="Segoe UI" w:hAnsi="Segoe UI" w:cs="Segoe UI"/>
          <w:bCs/>
          <w:szCs w:val="20"/>
        </w:rPr>
        <w:t>rappresentativi dei diversi ambiti;</w:t>
      </w:r>
    </w:p>
    <w:p w14:paraId="536A267B" w14:textId="77777777" w:rsidR="000B04A4" w:rsidRPr="0062207D" w:rsidRDefault="000B04A4" w:rsidP="000B04A4">
      <w:pPr>
        <w:pStyle w:val="Paragrafoelenco"/>
        <w:numPr>
          <w:ilvl w:val="0"/>
          <w:numId w:val="5"/>
        </w:numPr>
        <w:tabs>
          <w:tab w:val="left" w:pos="567"/>
        </w:tabs>
        <w:spacing w:after="0" w:line="240" w:lineRule="auto"/>
        <w:ind w:left="568" w:hanging="284"/>
        <w:contextualSpacing w:val="0"/>
        <w:jc w:val="both"/>
        <w:rPr>
          <w:rFonts w:ascii="Segoe UI" w:hAnsi="Segoe UI" w:cs="Segoe UI"/>
          <w:bCs/>
          <w:szCs w:val="20"/>
        </w:rPr>
      </w:pPr>
      <w:r w:rsidRPr="0062207D">
        <w:rPr>
          <w:rFonts w:ascii="Segoe UI" w:hAnsi="Segoe UI" w:cs="Segoe UI"/>
          <w:bCs/>
          <w:szCs w:val="20"/>
        </w:rPr>
        <w:t>coerenti con l’attività svolta e gli impatti da essa generati.</w:t>
      </w:r>
    </w:p>
    <w:p w14:paraId="2A5315DA" w14:textId="77777777" w:rsidR="000B04A4" w:rsidRPr="0062207D" w:rsidRDefault="000B04A4" w:rsidP="000B04A4">
      <w:pPr>
        <w:tabs>
          <w:tab w:val="left" w:pos="709"/>
        </w:tabs>
        <w:spacing w:before="120" w:after="120" w:line="240" w:lineRule="auto"/>
        <w:jc w:val="both"/>
        <w:rPr>
          <w:rFonts w:ascii="Segoe UI" w:hAnsi="Segoe UI" w:cs="Segoe UI"/>
          <w:szCs w:val="20"/>
        </w:rPr>
      </w:pPr>
      <w:r w:rsidRPr="0062207D">
        <w:rPr>
          <w:rFonts w:ascii="Segoe UI" w:hAnsi="Segoe UI" w:cs="Segoe UI"/>
          <w:szCs w:val="20"/>
        </w:rPr>
        <w:t xml:space="preserve">Infine, nel caso si adotti una metodologia di rendicontazione autonoma o gli indicatori previsti dallo </w:t>
      </w:r>
      <w:r w:rsidRPr="00622013">
        <w:rPr>
          <w:rFonts w:ascii="Segoe UI" w:hAnsi="Segoe UI" w:cs="Segoe UI"/>
          <w:i/>
          <w:szCs w:val="20"/>
        </w:rPr>
        <w:t>standard</w:t>
      </w:r>
      <w:r w:rsidRPr="0062207D">
        <w:rPr>
          <w:rFonts w:ascii="Segoe UI" w:hAnsi="Segoe UI" w:cs="Segoe UI"/>
          <w:szCs w:val="20"/>
        </w:rPr>
        <w:t xml:space="preserve"> adottato non siano idonei o adeguati a rappresentare attività e impatti dell’impresa, quest’ultima dovrà individuarne di appropriati, precisando in modo chiaro e articolato le ragioni alla base della scelta</w:t>
      </w:r>
      <w:r w:rsidRPr="0062207D">
        <w:rPr>
          <w:rFonts w:ascii="Segoe UI" w:hAnsi="Segoe UI" w:cs="Segoe UI"/>
          <w:szCs w:val="20"/>
          <w:vertAlign w:val="superscript"/>
        </w:rPr>
        <w:footnoteReference w:id="9"/>
      </w:r>
      <w:r w:rsidRPr="0062207D">
        <w:rPr>
          <w:rFonts w:ascii="Segoe UI" w:hAnsi="Segoe UI" w:cs="Segoe UI"/>
          <w:szCs w:val="20"/>
        </w:rPr>
        <w:t>.</w:t>
      </w:r>
    </w:p>
    <w:p w14:paraId="507A0584" w14:textId="77777777" w:rsidR="000B04A4" w:rsidRPr="0062207D" w:rsidRDefault="000B04A4" w:rsidP="000B04A4">
      <w:pPr>
        <w:tabs>
          <w:tab w:val="left" w:pos="709"/>
        </w:tabs>
        <w:spacing w:before="120" w:after="120" w:line="240" w:lineRule="auto"/>
        <w:jc w:val="both"/>
        <w:rPr>
          <w:rFonts w:ascii="Segoe UI" w:hAnsi="Segoe UI" w:cs="Segoe UI"/>
          <w:szCs w:val="20"/>
        </w:rPr>
      </w:pPr>
      <w:r w:rsidRPr="0062207D">
        <w:rPr>
          <w:rFonts w:ascii="Segoe UI" w:hAnsi="Segoe UI" w:cs="Segoe UI"/>
          <w:szCs w:val="20"/>
        </w:rPr>
        <w:t xml:space="preserve">Ora, il problema operativo che muove il ragionamento che segue si fonda sulla circostanza per la quale molti operatori istituzionali e di settore, attualmente, sulla scorta di una serie di incisi presenti nella normativa europea e nazionale, nella prospettiva dell’adozione di una corretta impostazione metodologica, sostengono (o aggiungerebbero a quanto detto) che tutte le informazioni dovrebbero essere fornite </w:t>
      </w:r>
      <w:r>
        <w:rPr>
          <w:rFonts w:ascii="Segoe UI" w:hAnsi="Segoe UI" w:cs="Segoe UI"/>
          <w:szCs w:val="20"/>
        </w:rPr>
        <w:t xml:space="preserve">solo </w:t>
      </w:r>
      <w:r w:rsidRPr="0062207D">
        <w:rPr>
          <w:rFonts w:ascii="Segoe UI" w:hAnsi="Segoe UI" w:cs="Segoe UI"/>
          <w:szCs w:val="20"/>
        </w:rPr>
        <w:t>quando “rilevanti”</w:t>
      </w:r>
      <w:r>
        <w:rPr>
          <w:rFonts w:ascii="Segoe UI" w:hAnsi="Segoe UI" w:cs="Segoe UI"/>
          <w:szCs w:val="20"/>
        </w:rPr>
        <w:t xml:space="preserve"> o “materiali”</w:t>
      </w:r>
      <w:r w:rsidRPr="0062207D">
        <w:rPr>
          <w:rFonts w:ascii="Segoe UI" w:hAnsi="Segoe UI" w:cs="Segoe UI"/>
          <w:szCs w:val="20"/>
        </w:rPr>
        <w:t>, identificando la rilevanza come natura, attributo o qualità delle informazione nel contribuire, appunto, “</w:t>
      </w:r>
      <w:r w:rsidRPr="0062207D">
        <w:rPr>
          <w:rFonts w:ascii="Segoe UI" w:hAnsi="Segoe UI" w:cs="Segoe UI"/>
          <w:i/>
          <w:szCs w:val="20"/>
        </w:rPr>
        <w:t>ad assicurare la comprensione dell'attività di impresa, del suo andamento, dei suoi risultati e dell'impatto dalla stessa prodotta</w:t>
      </w:r>
      <w:r w:rsidRPr="0062207D">
        <w:rPr>
          <w:rFonts w:ascii="Segoe UI" w:hAnsi="Segoe UI" w:cs="Segoe UI"/>
          <w:szCs w:val="20"/>
        </w:rPr>
        <w:t>”.</w:t>
      </w:r>
    </w:p>
    <w:p w14:paraId="74327111" w14:textId="77777777" w:rsidR="000B04A4" w:rsidRPr="0062207D" w:rsidRDefault="000B04A4" w:rsidP="000B04A4">
      <w:pPr>
        <w:tabs>
          <w:tab w:val="left" w:pos="709"/>
        </w:tabs>
        <w:spacing w:before="120" w:after="120" w:line="240" w:lineRule="auto"/>
        <w:jc w:val="both"/>
        <w:rPr>
          <w:rFonts w:ascii="Segoe UI" w:hAnsi="Segoe UI" w:cs="Segoe UI"/>
          <w:szCs w:val="20"/>
        </w:rPr>
      </w:pPr>
      <w:r w:rsidRPr="0062207D">
        <w:rPr>
          <w:rFonts w:ascii="Segoe UI" w:hAnsi="Segoe UI" w:cs="Segoe UI"/>
          <w:szCs w:val="20"/>
        </w:rPr>
        <w:t>Ma questa asserzione</w:t>
      </w:r>
      <w:r>
        <w:rPr>
          <w:rFonts w:ascii="Segoe UI" w:hAnsi="Segoe UI" w:cs="Segoe UI"/>
          <w:szCs w:val="20"/>
        </w:rPr>
        <w:t>, nei termini in cui è sopra posta,</w:t>
      </w:r>
      <w:r w:rsidRPr="0062207D">
        <w:rPr>
          <w:rFonts w:ascii="Segoe UI" w:hAnsi="Segoe UI" w:cs="Segoe UI"/>
          <w:szCs w:val="20"/>
        </w:rPr>
        <w:t xml:space="preserve"> è davvero corretta in generale? È propriamente formulata secondo quanto indicato nella normativa? </w:t>
      </w:r>
      <w:r>
        <w:rPr>
          <w:rFonts w:ascii="Segoe UI" w:hAnsi="Segoe UI" w:cs="Segoe UI"/>
          <w:szCs w:val="20"/>
        </w:rPr>
        <w:t>T</w:t>
      </w:r>
      <w:r w:rsidRPr="0062207D">
        <w:rPr>
          <w:rFonts w:ascii="Segoe UI" w:hAnsi="Segoe UI" w:cs="Segoe UI"/>
          <w:szCs w:val="20"/>
        </w:rPr>
        <w:t>rova un qualche riscontro nell’accezione che del concetto di rilevanza è fornita nella letteratura tecnica sulla rendicontazione? Ma soprattutto, è utile</w:t>
      </w:r>
      <w:r>
        <w:rPr>
          <w:rFonts w:ascii="Segoe UI" w:hAnsi="Segoe UI" w:cs="Segoe UI"/>
          <w:szCs w:val="20"/>
        </w:rPr>
        <w:t xml:space="preserve"> e sufficiente</w:t>
      </w:r>
      <w:r w:rsidRPr="0062207D">
        <w:rPr>
          <w:rFonts w:ascii="Segoe UI" w:hAnsi="Segoe UI" w:cs="Segoe UI"/>
          <w:szCs w:val="20"/>
        </w:rPr>
        <w:t xml:space="preserve"> a perseguire i fini generali e gli obiettivi di interesse comune cui tende la normativa di </w:t>
      </w:r>
      <w:r w:rsidRPr="0062207D">
        <w:rPr>
          <w:rFonts w:ascii="Segoe UI" w:hAnsi="Segoe UI" w:cs="Segoe UI"/>
          <w:i/>
          <w:szCs w:val="20"/>
        </w:rPr>
        <w:t>disclosure</w:t>
      </w:r>
      <w:r w:rsidRPr="0062207D">
        <w:rPr>
          <w:rFonts w:ascii="Segoe UI" w:hAnsi="Segoe UI" w:cs="Segoe UI"/>
          <w:szCs w:val="20"/>
        </w:rPr>
        <w:t xml:space="preserve"> non finanziaria nell’ottica dello sviluppo del sistema economico e sociale?</w:t>
      </w:r>
    </w:p>
    <w:p w14:paraId="2E2E8B34" w14:textId="77777777" w:rsidR="0002489A" w:rsidRPr="0062207D" w:rsidRDefault="0002489A" w:rsidP="00A3284F">
      <w:pPr>
        <w:tabs>
          <w:tab w:val="left" w:pos="709"/>
        </w:tabs>
        <w:spacing w:before="120" w:after="120" w:line="240" w:lineRule="auto"/>
        <w:jc w:val="both"/>
        <w:rPr>
          <w:rFonts w:ascii="Segoe UI" w:hAnsi="Segoe UI" w:cs="Segoe UI"/>
          <w:bCs/>
          <w:szCs w:val="20"/>
        </w:rPr>
      </w:pPr>
    </w:p>
    <w:p w14:paraId="35D7AA22" w14:textId="77777777" w:rsidR="0002489A" w:rsidRPr="0062207D" w:rsidRDefault="0002489A" w:rsidP="00A3284F">
      <w:pPr>
        <w:tabs>
          <w:tab w:val="left" w:pos="709"/>
        </w:tabs>
        <w:spacing w:before="120" w:after="120" w:line="240" w:lineRule="auto"/>
        <w:jc w:val="both"/>
        <w:rPr>
          <w:rFonts w:ascii="Segoe UI" w:hAnsi="Segoe UI" w:cs="Segoe UI"/>
          <w:bCs/>
          <w:szCs w:val="20"/>
        </w:rPr>
        <w:sectPr w:rsidR="0002489A" w:rsidRPr="0062207D" w:rsidSect="00BD092F">
          <w:pgSz w:w="11906" w:h="16838" w:code="9"/>
          <w:pgMar w:top="1985" w:right="1134" w:bottom="1134" w:left="1134" w:header="709" w:footer="709" w:gutter="0"/>
          <w:cols w:space="708"/>
          <w:docGrid w:linePitch="360"/>
        </w:sectPr>
      </w:pPr>
    </w:p>
    <w:p w14:paraId="481DECB2" w14:textId="750A0E3A" w:rsidR="00A3284F" w:rsidRPr="002073D9" w:rsidRDefault="00A3284F" w:rsidP="00A3284F">
      <w:pPr>
        <w:keepNext/>
        <w:keepLines/>
        <w:tabs>
          <w:tab w:val="left" w:pos="567"/>
        </w:tabs>
        <w:spacing w:before="1080" w:after="360" w:line="240" w:lineRule="auto"/>
        <w:ind w:left="567" w:hanging="567"/>
        <w:outlineLvl w:val="0"/>
        <w:rPr>
          <w:rFonts w:ascii="Segoe UI" w:eastAsiaTheme="minorHAnsi" w:hAnsi="Segoe UI" w:cs="Segoe UI"/>
          <w:sz w:val="40"/>
          <w:szCs w:val="40"/>
        </w:rPr>
      </w:pPr>
      <w:bookmarkStart w:id="7" w:name="_Toc456618282"/>
      <w:bookmarkStart w:id="8" w:name="_Toc507973941"/>
      <w:r w:rsidRPr="002073D9">
        <w:rPr>
          <w:rFonts w:ascii="Segoe UI" w:eastAsiaTheme="minorHAnsi" w:hAnsi="Segoe UI" w:cs="Segoe UI"/>
          <w:sz w:val="40"/>
          <w:szCs w:val="40"/>
        </w:rPr>
        <w:t>P</w:t>
      </w:r>
      <w:r w:rsidR="00771DB6">
        <w:rPr>
          <w:rFonts w:ascii="Segoe UI" w:eastAsiaTheme="minorHAnsi" w:hAnsi="Segoe UI" w:cs="Segoe UI"/>
          <w:sz w:val="40"/>
          <w:szCs w:val="40"/>
        </w:rPr>
        <w:t xml:space="preserve">ARTE </w:t>
      </w:r>
      <w:r w:rsidRPr="002073D9">
        <w:rPr>
          <w:rFonts w:ascii="Segoe UI" w:eastAsiaTheme="minorHAnsi" w:hAnsi="Segoe UI" w:cs="Segoe UI"/>
          <w:sz w:val="40"/>
          <w:szCs w:val="40"/>
        </w:rPr>
        <w:t>I</w:t>
      </w:r>
      <w:bookmarkEnd w:id="7"/>
      <w:bookmarkEnd w:id="8"/>
    </w:p>
    <w:p w14:paraId="3F0E3E02" w14:textId="6DA1BADA" w:rsidR="00A3284F" w:rsidRDefault="00EF148F" w:rsidP="00EF148F">
      <w:pPr>
        <w:keepNext/>
        <w:keepLines/>
        <w:tabs>
          <w:tab w:val="left" w:pos="0"/>
        </w:tabs>
        <w:spacing w:before="360" w:after="2160" w:line="240" w:lineRule="auto"/>
        <w:jc w:val="both"/>
        <w:outlineLvl w:val="0"/>
        <w:rPr>
          <w:rFonts w:ascii="Segoe UI" w:eastAsiaTheme="minorHAnsi" w:hAnsi="Segoe UI" w:cs="Segoe UI"/>
          <w:sz w:val="40"/>
          <w:szCs w:val="40"/>
        </w:rPr>
      </w:pPr>
      <w:bookmarkStart w:id="9" w:name="_Toc507973942"/>
      <w:r>
        <w:rPr>
          <w:rFonts w:ascii="Segoe UI" w:eastAsiaTheme="minorHAnsi" w:hAnsi="Segoe UI" w:cs="Segoe UI"/>
          <w:sz w:val="40"/>
          <w:szCs w:val="40"/>
        </w:rPr>
        <w:t>R</w:t>
      </w:r>
      <w:r w:rsidR="00A3284F" w:rsidRPr="000B04A4">
        <w:rPr>
          <w:rFonts w:ascii="Segoe UI" w:eastAsiaTheme="minorHAnsi" w:hAnsi="Segoe UI" w:cs="Segoe UI"/>
          <w:sz w:val="40"/>
          <w:szCs w:val="40"/>
        </w:rPr>
        <w:t>ilevanza</w:t>
      </w:r>
      <w:r w:rsidR="005D401E" w:rsidRPr="000B04A4">
        <w:rPr>
          <w:rFonts w:ascii="Segoe UI" w:eastAsiaTheme="minorHAnsi" w:hAnsi="Segoe UI" w:cs="Segoe UI"/>
          <w:sz w:val="40"/>
          <w:szCs w:val="40"/>
        </w:rPr>
        <w:t xml:space="preserve"> </w:t>
      </w:r>
      <w:r>
        <w:rPr>
          <w:rFonts w:ascii="Segoe UI" w:eastAsiaTheme="minorHAnsi" w:hAnsi="Segoe UI" w:cs="Segoe UI"/>
          <w:sz w:val="40"/>
          <w:szCs w:val="40"/>
        </w:rPr>
        <w:t xml:space="preserve">e materialità </w:t>
      </w:r>
      <w:r w:rsidR="00A3284F" w:rsidRPr="000B04A4">
        <w:rPr>
          <w:rFonts w:ascii="Segoe UI" w:eastAsiaTheme="minorHAnsi" w:hAnsi="Segoe UI" w:cs="Segoe UI"/>
          <w:sz w:val="40"/>
          <w:szCs w:val="40"/>
        </w:rPr>
        <w:t xml:space="preserve">nella normativa di </w:t>
      </w:r>
      <w:r w:rsidR="00A3284F" w:rsidRPr="000B04A4">
        <w:rPr>
          <w:rFonts w:ascii="Segoe UI" w:eastAsiaTheme="minorHAnsi" w:hAnsi="Segoe UI" w:cs="Segoe UI"/>
          <w:i/>
          <w:sz w:val="40"/>
          <w:szCs w:val="40"/>
        </w:rPr>
        <w:t>disclosure</w:t>
      </w:r>
      <w:r w:rsidR="00A3284F" w:rsidRPr="000B04A4">
        <w:rPr>
          <w:rFonts w:ascii="Segoe UI" w:eastAsiaTheme="minorHAnsi" w:hAnsi="Segoe UI" w:cs="Segoe UI"/>
          <w:sz w:val="40"/>
          <w:szCs w:val="40"/>
        </w:rPr>
        <w:t xml:space="preserve"> </w:t>
      </w:r>
      <w:r w:rsidR="000B04A4" w:rsidRPr="000B04A4">
        <w:rPr>
          <w:rFonts w:ascii="Segoe UI" w:eastAsiaTheme="minorHAnsi" w:hAnsi="Segoe UI" w:cs="Segoe UI"/>
          <w:sz w:val="40"/>
          <w:szCs w:val="40"/>
        </w:rPr>
        <w:t xml:space="preserve">e in </w:t>
      </w:r>
      <w:r w:rsidR="000B04A4" w:rsidRPr="000B04A4">
        <w:rPr>
          <w:rFonts w:ascii="Segoe UI" w:eastAsiaTheme="minorHAnsi" w:hAnsi="Segoe UI" w:cs="Segoe UI"/>
          <w:i/>
          <w:sz w:val="40"/>
          <w:szCs w:val="40"/>
        </w:rPr>
        <w:t>standard</w:t>
      </w:r>
      <w:r w:rsidR="000B04A4" w:rsidRPr="000B04A4">
        <w:rPr>
          <w:rFonts w:ascii="Segoe UI" w:eastAsiaTheme="minorHAnsi" w:hAnsi="Segoe UI" w:cs="Segoe UI"/>
          <w:sz w:val="40"/>
          <w:szCs w:val="40"/>
        </w:rPr>
        <w:t xml:space="preserve"> di rendicontazione non finanziaria </w:t>
      </w:r>
      <w:r w:rsidR="005D401E" w:rsidRPr="000B04A4">
        <w:rPr>
          <w:rFonts w:ascii="Segoe UI" w:eastAsiaTheme="minorHAnsi" w:hAnsi="Segoe UI" w:cs="Segoe UI"/>
          <w:sz w:val="40"/>
          <w:szCs w:val="40"/>
        </w:rPr>
        <w:t xml:space="preserve">e ambiguità </w:t>
      </w:r>
      <w:r w:rsidR="00774761">
        <w:rPr>
          <w:rFonts w:ascii="Segoe UI" w:eastAsiaTheme="minorHAnsi" w:hAnsi="Segoe UI" w:cs="Segoe UI"/>
          <w:sz w:val="40"/>
          <w:szCs w:val="40"/>
        </w:rPr>
        <w:t>n</w:t>
      </w:r>
      <w:r w:rsidR="005D401E" w:rsidRPr="000B04A4">
        <w:rPr>
          <w:rFonts w:ascii="Segoe UI" w:eastAsiaTheme="minorHAnsi" w:hAnsi="Segoe UI" w:cs="Segoe UI"/>
          <w:sz w:val="40"/>
          <w:szCs w:val="40"/>
        </w:rPr>
        <w:t>ei riferimenti interpretativi</w:t>
      </w:r>
      <w:bookmarkEnd w:id="9"/>
    </w:p>
    <w:p w14:paraId="5D02ABE8" w14:textId="2D457BCF" w:rsidR="006563C1" w:rsidRDefault="00A3284F" w:rsidP="006563C1">
      <w:pPr>
        <w:tabs>
          <w:tab w:val="left" w:pos="709"/>
        </w:tabs>
        <w:spacing w:before="120" w:after="120" w:line="240" w:lineRule="auto"/>
        <w:jc w:val="both"/>
        <w:rPr>
          <w:rFonts w:ascii="Segoe UI" w:eastAsia="Times New Roman" w:hAnsi="Segoe UI" w:cs="Segoe UI"/>
          <w:bCs/>
          <w:szCs w:val="20"/>
          <w:lang w:eastAsia="it-IT"/>
        </w:rPr>
      </w:pPr>
      <w:r w:rsidRPr="0062207D">
        <w:rPr>
          <w:rFonts w:ascii="Segoe UI" w:eastAsia="Times New Roman" w:hAnsi="Segoe UI" w:cs="Segoe UI"/>
          <w:bCs/>
          <w:szCs w:val="20"/>
          <w:lang w:eastAsia="it-IT"/>
        </w:rPr>
        <w:t>Nei paragrafi che seguono si cercherà di mostrare come una certa responsabilità ne</w:t>
      </w:r>
      <w:r w:rsidR="00CA2F19" w:rsidRPr="0062207D">
        <w:rPr>
          <w:rFonts w:ascii="Segoe UI" w:eastAsia="Times New Roman" w:hAnsi="Segoe UI" w:cs="Segoe UI"/>
          <w:bCs/>
          <w:szCs w:val="20"/>
          <w:lang w:eastAsia="it-IT"/>
        </w:rPr>
        <w:t>l</w:t>
      </w:r>
      <w:r w:rsidRPr="0062207D">
        <w:rPr>
          <w:rFonts w:ascii="Segoe UI" w:eastAsia="Times New Roman" w:hAnsi="Segoe UI" w:cs="Segoe UI"/>
          <w:bCs/>
          <w:szCs w:val="20"/>
          <w:lang w:eastAsia="it-IT"/>
        </w:rPr>
        <w:t>la determinazione di conseguenze equivoche con riguardo all’informativa da fornire nella d</w:t>
      </w:r>
      <w:r w:rsidR="00CA2F19" w:rsidRPr="0062207D">
        <w:rPr>
          <w:rFonts w:ascii="Segoe UI" w:eastAsia="Times New Roman" w:hAnsi="Segoe UI" w:cs="Segoe UI"/>
          <w:bCs/>
          <w:szCs w:val="20"/>
          <w:lang w:eastAsia="it-IT"/>
        </w:rPr>
        <w:t>ichiarazione</w:t>
      </w:r>
      <w:r w:rsidRPr="0062207D">
        <w:rPr>
          <w:rFonts w:ascii="Segoe UI" w:eastAsia="Times New Roman" w:hAnsi="Segoe UI" w:cs="Segoe UI"/>
          <w:bCs/>
          <w:szCs w:val="20"/>
          <w:lang w:eastAsia="it-IT"/>
        </w:rPr>
        <w:t xml:space="preserve"> no</w:t>
      </w:r>
      <w:r w:rsidR="00CA2F19" w:rsidRPr="0062207D">
        <w:rPr>
          <w:rFonts w:ascii="Segoe UI" w:eastAsia="Times New Roman" w:hAnsi="Segoe UI" w:cs="Segoe UI"/>
          <w:bCs/>
          <w:szCs w:val="20"/>
          <w:lang w:eastAsia="it-IT"/>
        </w:rPr>
        <w:t>n</w:t>
      </w:r>
      <w:r w:rsidRPr="0062207D">
        <w:rPr>
          <w:rFonts w:ascii="Segoe UI" w:eastAsia="Times New Roman" w:hAnsi="Segoe UI" w:cs="Segoe UI"/>
          <w:bCs/>
          <w:szCs w:val="20"/>
          <w:lang w:eastAsia="it-IT"/>
        </w:rPr>
        <w:t xml:space="preserve"> finanziaria</w:t>
      </w:r>
      <w:r w:rsidR="00DF4115">
        <w:rPr>
          <w:rFonts w:ascii="Segoe UI" w:eastAsia="Times New Roman" w:hAnsi="Segoe UI" w:cs="Segoe UI"/>
          <w:bCs/>
          <w:szCs w:val="20"/>
          <w:lang w:eastAsia="it-IT"/>
        </w:rPr>
        <w:t xml:space="preserve"> possa essere</w:t>
      </w:r>
      <w:r w:rsidRPr="0062207D">
        <w:rPr>
          <w:rFonts w:ascii="Segoe UI" w:eastAsia="Times New Roman" w:hAnsi="Segoe UI" w:cs="Segoe UI"/>
          <w:bCs/>
          <w:szCs w:val="20"/>
          <w:lang w:eastAsia="it-IT"/>
        </w:rPr>
        <w:t xml:space="preserve"> </w:t>
      </w:r>
      <w:r w:rsidR="009D71C0" w:rsidRPr="0062207D">
        <w:rPr>
          <w:rFonts w:ascii="Segoe UI" w:eastAsia="Times New Roman" w:hAnsi="Segoe UI" w:cs="Segoe UI"/>
          <w:bCs/>
          <w:szCs w:val="20"/>
          <w:lang w:eastAsia="it-IT"/>
        </w:rPr>
        <w:t xml:space="preserve">generata </w:t>
      </w:r>
      <w:r w:rsidR="00774761">
        <w:rPr>
          <w:rFonts w:ascii="Segoe UI" w:eastAsia="Times New Roman" w:hAnsi="Segoe UI" w:cs="Segoe UI"/>
          <w:bCs/>
          <w:szCs w:val="20"/>
          <w:lang w:eastAsia="it-IT"/>
        </w:rPr>
        <w:t>(</w:t>
      </w:r>
      <w:r w:rsidR="009D71C0" w:rsidRPr="0062207D">
        <w:rPr>
          <w:rFonts w:ascii="Segoe UI" w:eastAsia="Times New Roman" w:hAnsi="Segoe UI" w:cs="Segoe UI"/>
          <w:bCs/>
          <w:szCs w:val="20"/>
          <w:lang w:eastAsia="it-IT"/>
        </w:rPr>
        <w:t xml:space="preserve">o comunque </w:t>
      </w:r>
      <w:r w:rsidRPr="0062207D">
        <w:rPr>
          <w:rFonts w:ascii="Segoe UI" w:eastAsia="Times New Roman" w:hAnsi="Segoe UI" w:cs="Segoe UI"/>
          <w:bCs/>
          <w:szCs w:val="20"/>
          <w:lang w:eastAsia="it-IT"/>
        </w:rPr>
        <w:t>determinata</w:t>
      </w:r>
      <w:r w:rsidR="00774761">
        <w:rPr>
          <w:rFonts w:ascii="Segoe UI" w:eastAsia="Times New Roman" w:hAnsi="Segoe UI" w:cs="Segoe UI"/>
          <w:bCs/>
          <w:szCs w:val="20"/>
          <w:lang w:eastAsia="it-IT"/>
        </w:rPr>
        <w:t>)</w:t>
      </w:r>
      <w:r w:rsidRPr="0062207D">
        <w:rPr>
          <w:rFonts w:ascii="Segoe UI" w:eastAsia="Times New Roman" w:hAnsi="Segoe UI" w:cs="Segoe UI"/>
          <w:bCs/>
          <w:szCs w:val="20"/>
          <w:lang w:eastAsia="it-IT"/>
        </w:rPr>
        <w:t xml:space="preserve"> da una </w:t>
      </w:r>
      <w:r w:rsidR="00DF4115">
        <w:rPr>
          <w:rFonts w:ascii="Segoe UI" w:eastAsia="Times New Roman" w:hAnsi="Segoe UI" w:cs="Segoe UI"/>
          <w:bCs/>
          <w:szCs w:val="20"/>
          <w:lang w:eastAsia="it-IT"/>
        </w:rPr>
        <w:t xml:space="preserve">ambigua </w:t>
      </w:r>
      <w:r w:rsidR="009D71C0" w:rsidRPr="0062207D">
        <w:rPr>
          <w:rFonts w:ascii="Segoe UI" w:eastAsia="Times New Roman" w:hAnsi="Segoe UI" w:cs="Segoe UI"/>
          <w:bCs/>
          <w:szCs w:val="20"/>
          <w:lang w:eastAsia="it-IT"/>
        </w:rPr>
        <w:t xml:space="preserve">o approssimativa definizione o interpretazione </w:t>
      </w:r>
      <w:r w:rsidRPr="0062207D">
        <w:rPr>
          <w:rFonts w:ascii="Segoe UI" w:eastAsia="Times New Roman" w:hAnsi="Segoe UI" w:cs="Segoe UI"/>
          <w:bCs/>
          <w:szCs w:val="20"/>
          <w:lang w:eastAsia="it-IT"/>
        </w:rPr>
        <w:t xml:space="preserve">di termini </w:t>
      </w:r>
      <w:r w:rsidR="00CA2F19" w:rsidRPr="0062207D">
        <w:rPr>
          <w:rFonts w:ascii="Segoe UI" w:eastAsia="Times New Roman" w:hAnsi="Segoe UI" w:cs="Segoe UI"/>
          <w:bCs/>
          <w:szCs w:val="20"/>
          <w:lang w:eastAsia="it-IT"/>
        </w:rPr>
        <w:t>n</w:t>
      </w:r>
      <w:r w:rsidR="009D71C0" w:rsidRPr="0062207D">
        <w:rPr>
          <w:rFonts w:ascii="Segoe UI" w:eastAsia="Times New Roman" w:hAnsi="Segoe UI" w:cs="Segoe UI"/>
          <w:bCs/>
          <w:szCs w:val="20"/>
          <w:lang w:eastAsia="it-IT"/>
        </w:rPr>
        <w:t xml:space="preserve">ell’ambito giuridico </w:t>
      </w:r>
      <w:r w:rsidR="00CA2F19" w:rsidRPr="0062207D">
        <w:rPr>
          <w:rFonts w:ascii="Segoe UI" w:eastAsia="Times New Roman" w:hAnsi="Segoe UI" w:cs="Segoe UI"/>
          <w:bCs/>
          <w:szCs w:val="20"/>
          <w:lang w:eastAsia="it-IT"/>
        </w:rPr>
        <w:t>europeo</w:t>
      </w:r>
      <w:r w:rsidRPr="0062207D">
        <w:rPr>
          <w:rFonts w:ascii="Segoe UI" w:eastAsia="Times New Roman" w:hAnsi="Segoe UI" w:cs="Segoe UI"/>
          <w:bCs/>
          <w:szCs w:val="20"/>
          <w:lang w:eastAsia="it-IT"/>
        </w:rPr>
        <w:t xml:space="preserve"> o di termini e locuzioni </w:t>
      </w:r>
      <w:r w:rsidR="009D71C0" w:rsidRPr="0062207D">
        <w:rPr>
          <w:rFonts w:ascii="Segoe UI" w:eastAsia="Times New Roman" w:hAnsi="Segoe UI" w:cs="Segoe UI"/>
          <w:bCs/>
          <w:szCs w:val="20"/>
          <w:lang w:eastAsia="it-IT"/>
        </w:rPr>
        <w:t xml:space="preserve">presenti </w:t>
      </w:r>
      <w:r w:rsidRPr="0062207D">
        <w:rPr>
          <w:rFonts w:ascii="Segoe UI" w:eastAsia="Times New Roman" w:hAnsi="Segoe UI" w:cs="Segoe UI"/>
          <w:bCs/>
          <w:szCs w:val="20"/>
          <w:lang w:eastAsia="it-IT"/>
        </w:rPr>
        <w:t xml:space="preserve">in documenti tecnici in ambito internazionale </w:t>
      </w:r>
      <w:r w:rsidR="00E865A3">
        <w:rPr>
          <w:rFonts w:ascii="Segoe UI" w:eastAsia="Times New Roman" w:hAnsi="Segoe UI" w:cs="Segoe UI"/>
          <w:bCs/>
          <w:szCs w:val="20"/>
          <w:lang w:eastAsia="it-IT"/>
        </w:rPr>
        <w:t xml:space="preserve">(alla quale </w:t>
      </w:r>
      <w:r w:rsidRPr="0062207D">
        <w:rPr>
          <w:rFonts w:ascii="Segoe UI" w:eastAsia="Times New Roman" w:hAnsi="Segoe UI" w:cs="Segoe UI"/>
          <w:bCs/>
          <w:szCs w:val="20"/>
          <w:lang w:eastAsia="it-IT"/>
        </w:rPr>
        <w:t>poi la normativa europea ha fatto riferimento</w:t>
      </w:r>
      <w:r w:rsidR="00E865A3">
        <w:rPr>
          <w:rFonts w:ascii="Segoe UI" w:eastAsia="Times New Roman" w:hAnsi="Segoe UI" w:cs="Segoe UI"/>
          <w:bCs/>
          <w:szCs w:val="20"/>
          <w:lang w:eastAsia="it-IT"/>
        </w:rPr>
        <w:t>)</w:t>
      </w:r>
      <w:r w:rsidRPr="0062207D">
        <w:rPr>
          <w:rFonts w:ascii="Segoe UI" w:eastAsia="Times New Roman" w:hAnsi="Segoe UI" w:cs="Segoe UI"/>
          <w:bCs/>
          <w:szCs w:val="20"/>
          <w:lang w:eastAsia="it-IT"/>
        </w:rPr>
        <w:t>, c</w:t>
      </w:r>
      <w:r w:rsidR="009D71C0" w:rsidRPr="0062207D">
        <w:rPr>
          <w:rFonts w:ascii="Segoe UI" w:eastAsia="Times New Roman" w:hAnsi="Segoe UI" w:cs="Segoe UI"/>
          <w:bCs/>
          <w:szCs w:val="20"/>
          <w:lang w:eastAsia="it-IT"/>
        </w:rPr>
        <w:t xml:space="preserve">ui </w:t>
      </w:r>
      <w:r w:rsidR="00DF4115">
        <w:rPr>
          <w:rFonts w:ascii="Segoe UI" w:eastAsia="Times New Roman" w:hAnsi="Segoe UI" w:cs="Segoe UI"/>
          <w:bCs/>
          <w:szCs w:val="20"/>
          <w:lang w:eastAsia="it-IT"/>
        </w:rPr>
        <w:t xml:space="preserve">sono </w:t>
      </w:r>
      <w:r w:rsidR="009D71C0" w:rsidRPr="0062207D">
        <w:rPr>
          <w:rFonts w:ascii="Segoe UI" w:eastAsia="Times New Roman" w:hAnsi="Segoe UI" w:cs="Segoe UI"/>
          <w:bCs/>
          <w:szCs w:val="20"/>
          <w:lang w:eastAsia="it-IT"/>
        </w:rPr>
        <w:t>seguit</w:t>
      </w:r>
      <w:r w:rsidR="00DF4115">
        <w:rPr>
          <w:rFonts w:ascii="Segoe UI" w:eastAsia="Times New Roman" w:hAnsi="Segoe UI" w:cs="Segoe UI"/>
          <w:bCs/>
          <w:szCs w:val="20"/>
          <w:lang w:eastAsia="it-IT"/>
        </w:rPr>
        <w:t>e</w:t>
      </w:r>
      <w:r w:rsidR="002E4927" w:rsidRPr="0062207D">
        <w:rPr>
          <w:rFonts w:ascii="Segoe UI" w:eastAsia="Times New Roman" w:hAnsi="Segoe UI" w:cs="Segoe UI"/>
          <w:bCs/>
          <w:szCs w:val="20"/>
          <w:lang w:eastAsia="it-IT"/>
        </w:rPr>
        <w:t>,</w:t>
      </w:r>
      <w:r w:rsidR="009D71C0" w:rsidRPr="0062207D">
        <w:rPr>
          <w:rFonts w:ascii="Segoe UI" w:eastAsia="Times New Roman" w:hAnsi="Segoe UI" w:cs="Segoe UI"/>
          <w:bCs/>
          <w:szCs w:val="20"/>
          <w:lang w:eastAsia="it-IT"/>
        </w:rPr>
        <w:t xml:space="preserve"> </w:t>
      </w:r>
      <w:r w:rsidRPr="0062207D">
        <w:rPr>
          <w:rFonts w:ascii="Segoe UI" w:eastAsia="Times New Roman" w:hAnsi="Segoe UI" w:cs="Segoe UI"/>
          <w:bCs/>
          <w:szCs w:val="20"/>
          <w:lang w:eastAsia="it-IT"/>
        </w:rPr>
        <w:t>a cascata</w:t>
      </w:r>
      <w:r w:rsidR="002E4927" w:rsidRPr="0062207D">
        <w:rPr>
          <w:rFonts w:ascii="Segoe UI" w:eastAsia="Times New Roman" w:hAnsi="Segoe UI" w:cs="Segoe UI"/>
          <w:bCs/>
          <w:szCs w:val="20"/>
          <w:lang w:eastAsia="it-IT"/>
        </w:rPr>
        <w:t>,</w:t>
      </w:r>
      <w:r w:rsidRPr="0062207D">
        <w:rPr>
          <w:rFonts w:ascii="Segoe UI" w:eastAsia="Times New Roman" w:hAnsi="Segoe UI" w:cs="Segoe UI"/>
          <w:bCs/>
          <w:szCs w:val="20"/>
          <w:lang w:eastAsia="it-IT"/>
        </w:rPr>
        <w:t xml:space="preserve"> una </w:t>
      </w:r>
      <w:r w:rsidR="002E4927" w:rsidRPr="0062207D">
        <w:rPr>
          <w:rFonts w:ascii="Segoe UI" w:eastAsia="Times New Roman" w:hAnsi="Segoe UI" w:cs="Segoe UI"/>
          <w:bCs/>
          <w:szCs w:val="20"/>
          <w:lang w:eastAsia="it-IT"/>
        </w:rPr>
        <w:t xml:space="preserve">non corretta traduzione </w:t>
      </w:r>
      <w:r w:rsidR="00DF4115">
        <w:rPr>
          <w:rFonts w:ascii="Segoe UI" w:eastAsia="Times New Roman" w:hAnsi="Segoe UI" w:cs="Segoe UI"/>
          <w:bCs/>
          <w:szCs w:val="20"/>
          <w:lang w:eastAsia="it-IT"/>
        </w:rPr>
        <w:t>e/</w:t>
      </w:r>
      <w:r w:rsidR="002E4927" w:rsidRPr="0062207D">
        <w:rPr>
          <w:rFonts w:ascii="Segoe UI" w:eastAsia="Times New Roman" w:hAnsi="Segoe UI" w:cs="Segoe UI"/>
          <w:bCs/>
          <w:szCs w:val="20"/>
          <w:lang w:eastAsia="it-IT"/>
        </w:rPr>
        <w:t xml:space="preserve">o interpretazione </w:t>
      </w:r>
      <w:r w:rsidR="00CA2F19" w:rsidRPr="0062207D">
        <w:rPr>
          <w:rFonts w:ascii="Segoe UI" w:eastAsia="Times New Roman" w:hAnsi="Segoe UI" w:cs="Segoe UI"/>
          <w:bCs/>
          <w:szCs w:val="20"/>
          <w:lang w:eastAsia="it-IT"/>
        </w:rPr>
        <w:t>di termini e locuzioni tecniche</w:t>
      </w:r>
      <w:r w:rsidRPr="0062207D">
        <w:rPr>
          <w:rFonts w:ascii="Segoe UI" w:eastAsia="Times New Roman" w:hAnsi="Segoe UI" w:cs="Segoe UI"/>
          <w:bCs/>
          <w:szCs w:val="20"/>
          <w:lang w:eastAsia="it-IT"/>
        </w:rPr>
        <w:t xml:space="preserve"> </w:t>
      </w:r>
      <w:r w:rsidR="00E865A3">
        <w:rPr>
          <w:rFonts w:ascii="Segoe UI" w:eastAsia="Times New Roman" w:hAnsi="Segoe UI" w:cs="Segoe UI"/>
          <w:bCs/>
          <w:szCs w:val="20"/>
          <w:lang w:eastAsia="it-IT"/>
        </w:rPr>
        <w:t xml:space="preserve">nel passaggio </w:t>
      </w:r>
      <w:r w:rsidRPr="0062207D">
        <w:rPr>
          <w:rFonts w:ascii="Segoe UI" w:eastAsia="Times New Roman" w:hAnsi="Segoe UI" w:cs="Segoe UI"/>
          <w:bCs/>
          <w:szCs w:val="20"/>
          <w:lang w:eastAsia="it-IT"/>
        </w:rPr>
        <w:t>dal contesto normativo europeo a quello della norma</w:t>
      </w:r>
      <w:r w:rsidR="002E4927" w:rsidRPr="0062207D">
        <w:rPr>
          <w:rFonts w:ascii="Segoe UI" w:eastAsia="Times New Roman" w:hAnsi="Segoe UI" w:cs="Segoe UI"/>
          <w:bCs/>
          <w:szCs w:val="20"/>
          <w:lang w:eastAsia="it-IT"/>
        </w:rPr>
        <w:t xml:space="preserve">tiva nazionale di </w:t>
      </w:r>
      <w:r w:rsidRPr="0062207D">
        <w:rPr>
          <w:rFonts w:ascii="Segoe UI" w:eastAsia="Times New Roman" w:hAnsi="Segoe UI" w:cs="Segoe UI"/>
          <w:bCs/>
          <w:szCs w:val="20"/>
          <w:lang w:eastAsia="it-IT"/>
        </w:rPr>
        <w:t>recepimento</w:t>
      </w:r>
      <w:r w:rsidR="006563C1">
        <w:rPr>
          <w:rFonts w:ascii="Segoe UI" w:eastAsia="Times New Roman" w:hAnsi="Segoe UI" w:cs="Segoe UI"/>
          <w:bCs/>
          <w:szCs w:val="20"/>
          <w:lang w:eastAsia="it-IT"/>
        </w:rPr>
        <w:t>.</w:t>
      </w:r>
    </w:p>
    <w:p w14:paraId="4BFC484E" w14:textId="2168EF52" w:rsidR="006563C1" w:rsidRDefault="006563C1" w:rsidP="006563C1">
      <w:pPr>
        <w:tabs>
          <w:tab w:val="left" w:pos="709"/>
        </w:tabs>
        <w:spacing w:before="120" w:after="120" w:line="240" w:lineRule="auto"/>
        <w:jc w:val="both"/>
        <w:rPr>
          <w:rFonts w:ascii="Segoe UI" w:eastAsia="Times New Roman" w:hAnsi="Segoe UI" w:cs="Segoe UI"/>
          <w:bCs/>
          <w:szCs w:val="20"/>
          <w:lang w:eastAsia="it-IT"/>
        </w:rPr>
      </w:pPr>
      <w:r>
        <w:rPr>
          <w:rFonts w:ascii="Segoe UI" w:eastAsia="Times New Roman" w:hAnsi="Segoe UI" w:cs="Segoe UI"/>
          <w:bCs/>
          <w:szCs w:val="20"/>
          <w:lang w:eastAsia="it-IT"/>
        </w:rPr>
        <w:t>A questo punto</w:t>
      </w:r>
      <w:r w:rsidR="00DF4115">
        <w:rPr>
          <w:rFonts w:ascii="Segoe UI" w:eastAsia="Times New Roman" w:hAnsi="Segoe UI" w:cs="Segoe UI"/>
          <w:bCs/>
          <w:szCs w:val="20"/>
          <w:lang w:eastAsia="it-IT"/>
        </w:rPr>
        <w:t>,</w:t>
      </w:r>
      <w:r>
        <w:rPr>
          <w:rFonts w:ascii="Segoe UI" w:eastAsia="Times New Roman" w:hAnsi="Segoe UI" w:cs="Segoe UI"/>
          <w:bCs/>
          <w:szCs w:val="20"/>
          <w:lang w:eastAsia="it-IT"/>
        </w:rPr>
        <w:t xml:space="preserve"> però</w:t>
      </w:r>
      <w:r w:rsidR="00DF4115">
        <w:rPr>
          <w:rFonts w:ascii="Segoe UI" w:eastAsia="Times New Roman" w:hAnsi="Segoe UI" w:cs="Segoe UI"/>
          <w:bCs/>
          <w:szCs w:val="20"/>
          <w:lang w:eastAsia="it-IT"/>
        </w:rPr>
        <w:t>,</w:t>
      </w:r>
      <w:r>
        <w:rPr>
          <w:rFonts w:ascii="Segoe UI" w:eastAsia="Times New Roman" w:hAnsi="Segoe UI" w:cs="Segoe UI"/>
          <w:bCs/>
          <w:szCs w:val="20"/>
          <w:lang w:eastAsia="it-IT"/>
        </w:rPr>
        <w:t xml:space="preserve"> occorre aprire una breve parentesi sui principi e le prassi che regolano il processo di formazione e di redazione dei provvedimenti normativi nell’ambito dell’Unione europea con riguardo alla lingua.</w:t>
      </w:r>
    </w:p>
    <w:p w14:paraId="07797C4D" w14:textId="2D128594" w:rsidR="00A3284F" w:rsidRPr="000F7AD0" w:rsidRDefault="006563C1" w:rsidP="006563C1">
      <w:pPr>
        <w:tabs>
          <w:tab w:val="left" w:pos="709"/>
        </w:tabs>
        <w:spacing w:before="120" w:after="120" w:line="240" w:lineRule="auto"/>
        <w:jc w:val="both"/>
        <w:rPr>
          <w:rFonts w:ascii="Segoe UI" w:eastAsia="Times New Roman" w:hAnsi="Segoe UI" w:cs="Segoe UI"/>
          <w:bCs/>
          <w:lang w:eastAsia="it-IT"/>
        </w:rPr>
      </w:pPr>
      <w:r w:rsidRPr="000F7AD0">
        <w:rPr>
          <w:rFonts w:ascii="Segoe UI" w:eastAsia="Times New Roman" w:hAnsi="Segoe UI" w:cs="Segoe UI"/>
        </w:rPr>
        <w:t xml:space="preserve">In materia linguistica, l’Unione europea fonda la propria politica sul principio del multilinguismo (e non del plurilinguismo), introdotto con i trattati istitutivi dell’Unione europea, che si realizza nella parità fra le lingue ufficiali (che sono tutte quelle) dei </w:t>
      </w:r>
      <w:r w:rsidR="00DF4115">
        <w:rPr>
          <w:rFonts w:ascii="Segoe UI" w:eastAsia="Times New Roman" w:hAnsi="Segoe UI" w:cs="Segoe UI"/>
        </w:rPr>
        <w:t>P</w:t>
      </w:r>
      <w:r w:rsidRPr="000F7AD0">
        <w:rPr>
          <w:rFonts w:ascii="Segoe UI" w:eastAsia="Times New Roman" w:hAnsi="Segoe UI" w:cs="Segoe UI"/>
        </w:rPr>
        <w:t>aesi firmatari</w:t>
      </w:r>
      <w:r w:rsidRPr="000F7AD0">
        <w:rPr>
          <w:rStyle w:val="Rimandonotaapidipagina"/>
          <w:rFonts w:eastAsia="Times New Roman" w:cs="Segoe UI"/>
          <w:sz w:val="22"/>
        </w:rPr>
        <w:footnoteReference w:id="10"/>
      </w:r>
      <w:r w:rsidRPr="000F7AD0">
        <w:rPr>
          <w:rFonts w:ascii="Segoe UI" w:eastAsia="Times New Roman" w:hAnsi="Segoe UI" w:cs="Segoe UI"/>
        </w:rPr>
        <w:t>. La pari dignità fra le lingue ha come corollario l’assenza di un riferimento o di un rinvio a una base unica, ovvero a un testo unico in una sola lingua, in quanto ogni versione linguistica “</w:t>
      </w:r>
      <w:r w:rsidRPr="0046582A">
        <w:rPr>
          <w:rFonts w:ascii="Segoe UI" w:eastAsia="Times New Roman" w:hAnsi="Segoe UI" w:cs="Segoe UI"/>
          <w:i/>
        </w:rPr>
        <w:t>fa fede</w:t>
      </w:r>
      <w:r w:rsidRPr="000F7AD0">
        <w:rPr>
          <w:rFonts w:ascii="Segoe UI" w:eastAsia="Times New Roman" w:hAnsi="Segoe UI" w:cs="Segoe UI"/>
        </w:rPr>
        <w:t>”</w:t>
      </w:r>
      <w:r w:rsidR="00DB5D33" w:rsidRPr="000F7AD0">
        <w:rPr>
          <w:rStyle w:val="Rimandonotaapidipagina"/>
          <w:rFonts w:eastAsia="Times New Roman" w:cs="Segoe UI"/>
          <w:bCs/>
          <w:sz w:val="22"/>
          <w:lang w:eastAsia="it-IT"/>
        </w:rPr>
        <w:footnoteReference w:id="11"/>
      </w:r>
      <w:r w:rsidR="00A3284F" w:rsidRPr="000F7AD0">
        <w:rPr>
          <w:rFonts w:ascii="Segoe UI" w:eastAsia="Times New Roman" w:hAnsi="Segoe UI" w:cs="Segoe UI"/>
          <w:bCs/>
          <w:lang w:eastAsia="it-IT"/>
        </w:rPr>
        <w:t>.</w:t>
      </w:r>
    </w:p>
    <w:p w14:paraId="23BD7E2C" w14:textId="24301A46" w:rsidR="0085749A" w:rsidRPr="000F7AD0" w:rsidRDefault="0085749A" w:rsidP="0085749A">
      <w:pPr>
        <w:spacing w:before="120" w:after="120" w:line="240" w:lineRule="auto"/>
        <w:jc w:val="both"/>
        <w:rPr>
          <w:rFonts w:ascii="Segoe UI" w:eastAsia="Times New Roman" w:hAnsi="Segoe UI" w:cs="Segoe UI"/>
        </w:rPr>
      </w:pPr>
      <w:r w:rsidRPr="000F7AD0">
        <w:rPr>
          <w:rFonts w:ascii="Segoe UI" w:eastAsia="Times New Roman" w:hAnsi="Segoe UI" w:cs="Segoe UI"/>
        </w:rPr>
        <w:t xml:space="preserve">Affinché la legislazione europea possa essere compresa dai cittadini e le autorità nazionali possano applicarla, ovvero, per consentire al multilinguismo di operare effettivamente ed efficacemente, si dovrebbe procedere alla “co-redazione” testuale in tutte le lingue ufficiali degli atti. L’art. 4 del </w:t>
      </w:r>
      <w:r w:rsidR="00912C6D">
        <w:rPr>
          <w:rFonts w:ascii="Segoe UI" w:eastAsia="Times New Roman" w:hAnsi="Segoe UI" w:cs="Segoe UI"/>
        </w:rPr>
        <w:t>R</w:t>
      </w:r>
      <w:r w:rsidRPr="000F7AD0">
        <w:rPr>
          <w:rFonts w:ascii="Segoe UI" w:eastAsia="Times New Roman" w:hAnsi="Segoe UI" w:cs="Segoe UI"/>
        </w:rPr>
        <w:t xml:space="preserve">egolamento </w:t>
      </w:r>
      <w:r w:rsidR="006563C1" w:rsidRPr="000F7AD0">
        <w:rPr>
          <w:rFonts w:ascii="Segoe UI" w:eastAsia="Times New Roman" w:hAnsi="Segoe UI" w:cs="Segoe UI"/>
        </w:rPr>
        <w:t xml:space="preserve">n. </w:t>
      </w:r>
      <w:r w:rsidRPr="000F7AD0">
        <w:rPr>
          <w:rFonts w:ascii="Segoe UI" w:eastAsia="Times New Roman" w:hAnsi="Segoe UI" w:cs="Segoe UI"/>
        </w:rPr>
        <w:t>1/1958, che fissa le regole per la comunicazione all’esterno, prevede infatti che i regolamenti e gli altri testi di portata generale siano redatti nelle lingue ufficiali; in sostanza, non potrà esistere alcuna traduzione capace di ostare</w:t>
      </w:r>
      <w:r w:rsidR="006563C1" w:rsidRPr="000F7AD0">
        <w:rPr>
          <w:rFonts w:ascii="Segoe UI" w:eastAsia="Times New Roman" w:hAnsi="Segoe UI" w:cs="Segoe UI"/>
        </w:rPr>
        <w:t xml:space="preserve"> od </w:t>
      </w:r>
      <w:r w:rsidRPr="000F7AD0">
        <w:rPr>
          <w:rFonts w:ascii="Segoe UI" w:eastAsia="Times New Roman" w:hAnsi="Segoe UI" w:cs="Segoe UI"/>
        </w:rPr>
        <w:t>opporsi a un testo originale</w:t>
      </w:r>
      <w:r w:rsidR="006563C1" w:rsidRPr="000F7AD0">
        <w:rPr>
          <w:rFonts w:ascii="Segoe UI" w:eastAsia="Times New Roman" w:hAnsi="Segoe UI" w:cs="Segoe UI"/>
        </w:rPr>
        <w:t>. S</w:t>
      </w:r>
      <w:r w:rsidRPr="000F7AD0">
        <w:rPr>
          <w:rFonts w:ascii="Segoe UI" w:eastAsia="Times New Roman" w:hAnsi="Segoe UI" w:cs="Segoe UI"/>
        </w:rPr>
        <w:t>ul piano giuridico,</w:t>
      </w:r>
      <w:r w:rsidR="006563C1" w:rsidRPr="000F7AD0">
        <w:rPr>
          <w:rFonts w:ascii="Segoe UI" w:eastAsia="Times New Roman" w:hAnsi="Segoe UI" w:cs="Segoe UI"/>
        </w:rPr>
        <w:t xml:space="preserve"> quindi,</w:t>
      </w:r>
      <w:r w:rsidRPr="000F7AD0">
        <w:rPr>
          <w:rFonts w:ascii="Segoe UI" w:eastAsia="Times New Roman" w:hAnsi="Segoe UI" w:cs="Segoe UI"/>
        </w:rPr>
        <w:t xml:space="preserve"> esistono solo versioni linguistiche diverse, non traduzioni, che sono tutte parimenti autentiche; ne segue che il lavoro di traduzione in quanto tale produca soltanto un “equivalente” che non rinvia a null’altro (in altri termini, il traduttore deve realmente ricreare il testo dell’autore tradotto).</w:t>
      </w:r>
      <w:r w:rsidR="006563C1" w:rsidRPr="000F7AD0">
        <w:rPr>
          <w:rFonts w:ascii="Segoe UI" w:eastAsia="Times New Roman" w:hAnsi="Segoe UI" w:cs="Segoe UI"/>
        </w:rPr>
        <w:t xml:space="preserve"> </w:t>
      </w:r>
      <w:r w:rsidRPr="000F7AD0">
        <w:rPr>
          <w:rFonts w:ascii="Segoe UI" w:eastAsia="Times New Roman" w:hAnsi="Segoe UI" w:cs="Segoe UI"/>
        </w:rPr>
        <w:t xml:space="preserve">Nella pratica, tuttavia, nel funzionamento dell'Unione si assiste a una deriva verso un trilinguismo (inglese, francese, tedesco) cui si aggiunge, per i lavori del Consiglio, la lingua del Paese che esercita la Presidenza di turno, introducendo in modo </w:t>
      </w:r>
      <w:r w:rsidR="00E818F0">
        <w:rPr>
          <w:rFonts w:ascii="Segoe UI" w:eastAsia="Times New Roman" w:hAnsi="Segoe UI" w:cs="Segoe UI"/>
        </w:rPr>
        <w:t>artificioso</w:t>
      </w:r>
      <w:r w:rsidRPr="000F7AD0">
        <w:rPr>
          <w:rFonts w:ascii="Segoe UI" w:eastAsia="Times New Roman" w:hAnsi="Segoe UI" w:cs="Segoe UI"/>
        </w:rPr>
        <w:t xml:space="preserve"> una distinzione tra "lingue ufficiali" e "lingue di lavoro", senza tuttavia che tale demarcazione trovi fondamento in </w:t>
      </w:r>
      <w:r w:rsidR="00E818F0">
        <w:rPr>
          <w:rFonts w:ascii="Segoe UI" w:eastAsia="Times New Roman" w:hAnsi="Segoe UI" w:cs="Segoe UI"/>
        </w:rPr>
        <w:t>alcuna</w:t>
      </w:r>
      <w:r w:rsidRPr="000F7AD0">
        <w:rPr>
          <w:rFonts w:ascii="Segoe UI" w:eastAsia="Times New Roman" w:hAnsi="Segoe UI" w:cs="Segoe UI"/>
        </w:rPr>
        <w:t xml:space="preserve"> norma</w:t>
      </w:r>
      <w:r w:rsidRPr="000F7AD0">
        <w:rPr>
          <w:rStyle w:val="Rimandonotaapidipagina"/>
          <w:rFonts w:eastAsia="Times New Roman" w:cs="Segoe UI"/>
          <w:sz w:val="22"/>
        </w:rPr>
        <w:footnoteReference w:id="12"/>
      </w:r>
      <w:r w:rsidRPr="000F7AD0">
        <w:rPr>
          <w:rFonts w:ascii="Segoe UI" w:eastAsia="Times New Roman" w:hAnsi="Segoe UI" w:cs="Segoe UI"/>
        </w:rPr>
        <w:t>.</w:t>
      </w:r>
    </w:p>
    <w:p w14:paraId="4E73B7E9" w14:textId="511CA345" w:rsidR="00935B27" w:rsidRPr="0062207D" w:rsidRDefault="00774761" w:rsidP="0013336D">
      <w:pPr>
        <w:tabs>
          <w:tab w:val="left" w:pos="709"/>
        </w:tabs>
        <w:spacing w:before="120" w:after="120" w:line="240" w:lineRule="auto"/>
        <w:jc w:val="both"/>
        <w:rPr>
          <w:rFonts w:ascii="Segoe UI" w:eastAsia="Times New Roman" w:hAnsi="Segoe UI" w:cs="Segoe UI"/>
          <w:bCs/>
          <w:szCs w:val="20"/>
          <w:lang w:eastAsia="it-IT"/>
        </w:rPr>
      </w:pPr>
      <w:r w:rsidRPr="00774761">
        <w:rPr>
          <w:rFonts w:ascii="Segoe UI" w:eastAsia="Times New Roman" w:hAnsi="Segoe UI" w:cs="Segoe UI"/>
          <w:bCs/>
          <w:szCs w:val="20"/>
          <w:lang w:eastAsia="it-IT"/>
        </w:rPr>
        <w:t>Ora, in primo luogo è fondamentale capire come alcuni termini apparentemente simili ma sostanzialmente differenti</w:t>
      </w:r>
      <w:r w:rsidR="00912C6D">
        <w:rPr>
          <w:rFonts w:ascii="Segoe UI" w:eastAsia="Times New Roman" w:hAnsi="Segoe UI" w:cs="Segoe UI"/>
          <w:bCs/>
          <w:szCs w:val="20"/>
          <w:lang w:eastAsia="it-IT"/>
        </w:rPr>
        <w:t xml:space="preserve"> </w:t>
      </w:r>
      <w:r w:rsidR="00981B29">
        <w:rPr>
          <w:rFonts w:ascii="Segoe UI" w:eastAsia="Times New Roman" w:hAnsi="Segoe UI" w:cs="Segoe UI"/>
          <w:bCs/>
          <w:szCs w:val="20"/>
          <w:lang w:eastAsia="it-IT"/>
        </w:rPr>
        <w:t xml:space="preserve">(differenza determinata anche in funzione </w:t>
      </w:r>
      <w:r w:rsidR="00912C6D">
        <w:rPr>
          <w:rFonts w:ascii="Segoe UI" w:eastAsia="Times New Roman" w:hAnsi="Segoe UI" w:cs="Segoe UI"/>
          <w:bCs/>
          <w:szCs w:val="20"/>
          <w:lang w:eastAsia="it-IT"/>
        </w:rPr>
        <w:t>de</w:t>
      </w:r>
      <w:r w:rsidR="00981B29">
        <w:rPr>
          <w:rFonts w:ascii="Segoe UI" w:eastAsia="Times New Roman" w:hAnsi="Segoe UI" w:cs="Segoe UI"/>
          <w:bCs/>
          <w:szCs w:val="20"/>
          <w:lang w:eastAsia="it-IT"/>
        </w:rPr>
        <w:t>i</w:t>
      </w:r>
      <w:r w:rsidR="00912C6D">
        <w:rPr>
          <w:rFonts w:ascii="Segoe UI" w:eastAsia="Times New Roman" w:hAnsi="Segoe UI" w:cs="Segoe UI"/>
          <w:bCs/>
          <w:szCs w:val="20"/>
          <w:lang w:eastAsia="it-IT"/>
        </w:rPr>
        <w:t xml:space="preserve"> contest</w:t>
      </w:r>
      <w:r w:rsidR="00981B29">
        <w:rPr>
          <w:rFonts w:ascii="Segoe UI" w:eastAsia="Times New Roman" w:hAnsi="Segoe UI" w:cs="Segoe UI"/>
          <w:bCs/>
          <w:szCs w:val="20"/>
          <w:lang w:eastAsia="it-IT"/>
        </w:rPr>
        <w:t>i</w:t>
      </w:r>
      <w:r w:rsidR="00912C6D">
        <w:rPr>
          <w:rFonts w:ascii="Segoe UI" w:eastAsia="Times New Roman" w:hAnsi="Segoe UI" w:cs="Segoe UI"/>
          <w:bCs/>
          <w:szCs w:val="20"/>
          <w:lang w:eastAsia="it-IT"/>
        </w:rPr>
        <w:t xml:space="preserve"> in cui sono inseriti</w:t>
      </w:r>
      <w:r w:rsidR="00981B29">
        <w:rPr>
          <w:rFonts w:ascii="Segoe UI" w:eastAsia="Times New Roman" w:hAnsi="Segoe UI" w:cs="Segoe UI"/>
          <w:bCs/>
          <w:szCs w:val="20"/>
          <w:lang w:eastAsia="it-IT"/>
        </w:rPr>
        <w:t>)</w:t>
      </w:r>
      <w:r w:rsidRPr="00774761">
        <w:rPr>
          <w:rFonts w:ascii="Segoe UI" w:eastAsia="Times New Roman" w:hAnsi="Segoe UI" w:cs="Segoe UI"/>
          <w:bCs/>
          <w:szCs w:val="20"/>
          <w:lang w:eastAsia="it-IT"/>
        </w:rPr>
        <w:t xml:space="preserve"> siano invece stati adottati come sinonimi (o, viceversa, il medesimo termine, dal preciso significato semantico, sia stato adottato con accezioni differenti in una diversa versione linguistica) e come, appunto, tali approssimazion</w:t>
      </w:r>
      <w:r w:rsidR="00981B29">
        <w:rPr>
          <w:rFonts w:ascii="Segoe UI" w:eastAsia="Times New Roman" w:hAnsi="Segoe UI" w:cs="Segoe UI"/>
          <w:bCs/>
          <w:szCs w:val="20"/>
          <w:lang w:eastAsia="it-IT"/>
        </w:rPr>
        <w:t>i</w:t>
      </w:r>
      <w:r w:rsidRPr="00774761">
        <w:rPr>
          <w:rFonts w:ascii="Segoe UI" w:eastAsia="Times New Roman" w:hAnsi="Segoe UI" w:cs="Segoe UI"/>
          <w:bCs/>
          <w:szCs w:val="20"/>
          <w:lang w:eastAsia="it-IT"/>
        </w:rPr>
        <w:t>, quando non abbiano configurato un vero e proprio errore tecnico, si siano tradotte in un’</w:t>
      </w:r>
      <w:r w:rsidR="00981B29">
        <w:rPr>
          <w:rFonts w:ascii="Segoe UI" w:eastAsia="Times New Roman" w:hAnsi="Segoe UI" w:cs="Segoe UI"/>
          <w:bCs/>
          <w:szCs w:val="20"/>
          <w:lang w:eastAsia="it-IT"/>
        </w:rPr>
        <w:t xml:space="preserve">ambigua, fuorviante o </w:t>
      </w:r>
      <w:r w:rsidR="002B732B">
        <w:rPr>
          <w:rFonts w:ascii="Segoe UI" w:eastAsia="Times New Roman" w:hAnsi="Segoe UI" w:cs="Segoe UI"/>
          <w:bCs/>
          <w:szCs w:val="20"/>
          <w:lang w:eastAsia="it-IT"/>
        </w:rPr>
        <w:t>inesatta</w:t>
      </w:r>
      <w:r w:rsidR="00981B29">
        <w:rPr>
          <w:rFonts w:ascii="Segoe UI" w:eastAsia="Times New Roman" w:hAnsi="Segoe UI" w:cs="Segoe UI"/>
          <w:bCs/>
          <w:szCs w:val="20"/>
          <w:lang w:eastAsia="it-IT"/>
        </w:rPr>
        <w:t xml:space="preserve"> </w:t>
      </w:r>
      <w:r w:rsidRPr="00774761">
        <w:rPr>
          <w:rFonts w:ascii="Segoe UI" w:eastAsia="Times New Roman" w:hAnsi="Segoe UI" w:cs="Segoe UI"/>
          <w:bCs/>
          <w:szCs w:val="20"/>
          <w:lang w:eastAsia="it-IT"/>
        </w:rPr>
        <w:t>corrispondenza terminologica, con conseguenze importanti sotto il profilo operativo nell’ambito della rendicontazione aziendale</w:t>
      </w:r>
      <w:r w:rsidR="00935B27" w:rsidRPr="0062207D">
        <w:rPr>
          <w:rFonts w:ascii="Segoe UI" w:eastAsia="Times New Roman" w:hAnsi="Segoe UI" w:cs="Segoe UI"/>
          <w:bCs/>
          <w:szCs w:val="20"/>
          <w:lang w:eastAsia="it-IT"/>
        </w:rPr>
        <w:t>: quelli cui ci si riferisce sono i termini anglosassoni “</w:t>
      </w:r>
      <w:r w:rsidR="00935B27" w:rsidRPr="0062207D">
        <w:rPr>
          <w:rFonts w:ascii="Segoe UI" w:eastAsia="Times New Roman" w:hAnsi="Segoe UI" w:cs="Segoe UI"/>
          <w:bCs/>
          <w:i/>
          <w:szCs w:val="20"/>
          <w:lang w:eastAsia="it-IT"/>
        </w:rPr>
        <w:t>relevance</w:t>
      </w:r>
      <w:r w:rsidR="00935B27" w:rsidRPr="0062207D">
        <w:rPr>
          <w:rFonts w:ascii="Segoe UI" w:eastAsia="Times New Roman" w:hAnsi="Segoe UI" w:cs="Segoe UI"/>
          <w:bCs/>
          <w:szCs w:val="20"/>
          <w:lang w:eastAsia="it-IT"/>
        </w:rPr>
        <w:t>” e “</w:t>
      </w:r>
      <w:r w:rsidR="00935B27" w:rsidRPr="0062207D">
        <w:rPr>
          <w:rFonts w:ascii="Segoe UI" w:eastAsia="Times New Roman" w:hAnsi="Segoe UI" w:cs="Segoe UI"/>
          <w:bCs/>
          <w:i/>
          <w:szCs w:val="20"/>
          <w:lang w:eastAsia="it-IT"/>
        </w:rPr>
        <w:t>materiality</w:t>
      </w:r>
      <w:r w:rsidR="00935B27" w:rsidRPr="0062207D">
        <w:rPr>
          <w:rFonts w:ascii="Segoe UI" w:eastAsia="Times New Roman" w:hAnsi="Segoe UI" w:cs="Segoe UI"/>
          <w:bCs/>
          <w:szCs w:val="20"/>
          <w:lang w:eastAsia="it-IT"/>
        </w:rPr>
        <w:t>” e i termini italiani “significatività”, “rilevanza” e “materialità”.</w:t>
      </w:r>
    </w:p>
    <w:p w14:paraId="5AA25270" w14:textId="1488D1D1" w:rsidR="00A3284F" w:rsidRDefault="00A3284F" w:rsidP="00DB6713">
      <w:pPr>
        <w:keepNext/>
        <w:keepLines/>
        <w:tabs>
          <w:tab w:val="left" w:pos="709"/>
        </w:tabs>
        <w:spacing w:before="120" w:after="120" w:line="240" w:lineRule="auto"/>
        <w:jc w:val="both"/>
        <w:rPr>
          <w:rFonts w:ascii="Segoe UI" w:eastAsia="Times New Roman" w:hAnsi="Segoe UI" w:cs="Segoe UI"/>
          <w:bCs/>
          <w:szCs w:val="20"/>
          <w:lang w:eastAsia="it-IT"/>
        </w:rPr>
      </w:pPr>
      <w:r w:rsidRPr="0062207D">
        <w:rPr>
          <w:rFonts w:ascii="Segoe UI" w:eastAsia="Times New Roman" w:hAnsi="Segoe UI" w:cs="Segoe UI"/>
          <w:bCs/>
          <w:szCs w:val="20"/>
          <w:lang w:eastAsia="it-IT"/>
        </w:rPr>
        <w:t>Nello svolgere questo esercizio si farà riferimento ai seguenti provvedimenti e documenti che richiamano direttamente i concetti di significatività, rilevanza e materialità</w:t>
      </w:r>
      <w:r w:rsidR="00DD64AC">
        <w:rPr>
          <w:rFonts w:ascii="Segoe UI" w:eastAsia="Times New Roman" w:hAnsi="Segoe UI" w:cs="Segoe UI"/>
          <w:bCs/>
          <w:szCs w:val="20"/>
          <w:lang w:eastAsia="it-IT"/>
        </w:rPr>
        <w:t>, di</w:t>
      </w:r>
      <w:r w:rsidR="007A281F">
        <w:rPr>
          <w:rFonts w:ascii="Segoe UI" w:eastAsia="Times New Roman" w:hAnsi="Segoe UI" w:cs="Segoe UI"/>
          <w:bCs/>
          <w:szCs w:val="20"/>
          <w:lang w:eastAsia="it-IT"/>
        </w:rPr>
        <w:t xml:space="preserve"> ambiti,</w:t>
      </w:r>
      <w:r w:rsidR="00DD64AC">
        <w:rPr>
          <w:rFonts w:ascii="Segoe UI" w:eastAsia="Times New Roman" w:hAnsi="Segoe UI" w:cs="Segoe UI"/>
          <w:bCs/>
          <w:szCs w:val="20"/>
          <w:lang w:eastAsia="it-IT"/>
        </w:rPr>
        <w:t xml:space="preserve"> temi, as</w:t>
      </w:r>
      <w:r w:rsidR="00E11F56">
        <w:rPr>
          <w:rFonts w:ascii="Segoe UI" w:eastAsia="Times New Roman" w:hAnsi="Segoe UI" w:cs="Segoe UI"/>
          <w:bCs/>
          <w:szCs w:val="20"/>
          <w:lang w:eastAsia="it-IT"/>
        </w:rPr>
        <w:t>petti e</w:t>
      </w:r>
      <w:r w:rsidRPr="0062207D">
        <w:rPr>
          <w:rFonts w:ascii="Segoe UI" w:eastAsia="Times New Roman" w:hAnsi="Segoe UI" w:cs="Segoe UI"/>
          <w:bCs/>
          <w:szCs w:val="20"/>
          <w:lang w:eastAsia="it-IT"/>
        </w:rPr>
        <w:t xml:space="preserve"> informazioni:</w:t>
      </w:r>
    </w:p>
    <w:p w14:paraId="5FE60548" w14:textId="635C4A20" w:rsidR="004D27F4" w:rsidRPr="004D27F4" w:rsidRDefault="004D27F4" w:rsidP="00DB6713">
      <w:pPr>
        <w:keepNext/>
        <w:keepLines/>
        <w:tabs>
          <w:tab w:val="left" w:pos="709"/>
        </w:tabs>
        <w:spacing w:before="120" w:after="120" w:line="240" w:lineRule="auto"/>
        <w:jc w:val="both"/>
        <w:rPr>
          <w:rFonts w:ascii="Segoe UI" w:eastAsia="Times New Roman" w:hAnsi="Segoe UI" w:cs="Segoe UI"/>
          <w:bCs/>
          <w:i/>
          <w:szCs w:val="20"/>
          <w:lang w:eastAsia="it-IT"/>
        </w:rPr>
      </w:pPr>
      <w:r w:rsidRPr="004D27F4">
        <w:rPr>
          <w:rFonts w:ascii="Segoe UI" w:eastAsia="Times New Roman" w:hAnsi="Segoe UI" w:cs="Segoe UI"/>
          <w:bCs/>
          <w:i/>
          <w:szCs w:val="20"/>
          <w:lang w:eastAsia="it-IT"/>
        </w:rPr>
        <w:t>Provvedimenti normativi</w:t>
      </w:r>
    </w:p>
    <w:p w14:paraId="41204B49" w14:textId="77777777" w:rsidR="0046221A" w:rsidRPr="0062207D" w:rsidRDefault="0046221A" w:rsidP="005938C8">
      <w:pPr>
        <w:pStyle w:val="Default"/>
        <w:numPr>
          <w:ilvl w:val="0"/>
          <w:numId w:val="16"/>
        </w:numPr>
        <w:tabs>
          <w:tab w:val="left" w:pos="567"/>
        </w:tabs>
        <w:spacing w:before="120" w:after="120"/>
        <w:ind w:left="568" w:hanging="284"/>
        <w:jc w:val="both"/>
        <w:rPr>
          <w:rFonts w:ascii="Segoe UI" w:eastAsia="Times New Roman" w:hAnsi="Segoe UI" w:cs="Segoe UI"/>
          <w:sz w:val="22"/>
          <w:szCs w:val="20"/>
          <w:lang w:eastAsia="it-IT"/>
        </w:rPr>
      </w:pPr>
      <w:r w:rsidRPr="0062207D">
        <w:rPr>
          <w:rFonts w:ascii="Segoe UI" w:eastAsia="Times New Roman" w:hAnsi="Segoe UI" w:cs="Segoe UI"/>
          <w:bCs/>
          <w:iCs/>
          <w:sz w:val="22"/>
          <w:szCs w:val="20"/>
          <w:lang w:eastAsia="it-IT"/>
        </w:rPr>
        <w:t xml:space="preserve">direttiva 2013/34/UE, </w:t>
      </w:r>
      <w:r w:rsidRPr="0062207D">
        <w:rPr>
          <w:rFonts w:ascii="Segoe UI" w:eastAsia="Times New Roman" w:hAnsi="Segoe UI" w:cs="Segoe UI"/>
          <w:bCs/>
          <w:sz w:val="22"/>
          <w:szCs w:val="20"/>
          <w:lang w:eastAsia="it-IT"/>
        </w:rPr>
        <w:t>d</w:t>
      </w:r>
      <w:r w:rsidRPr="0062207D">
        <w:rPr>
          <w:rFonts w:ascii="Segoe UI" w:hAnsi="Segoe UI" w:cs="Segoe UI"/>
          <w:bCs/>
          <w:sz w:val="22"/>
          <w:szCs w:val="20"/>
          <w:lang w:eastAsia="it-IT"/>
        </w:rPr>
        <w:t xml:space="preserve">el Parlamento europeo e del Consiglio </w:t>
      </w:r>
      <w:r w:rsidRPr="0062207D">
        <w:rPr>
          <w:rFonts w:ascii="Segoe UI" w:eastAsia="Times New Roman" w:hAnsi="Segoe UI" w:cs="Segoe UI"/>
          <w:sz w:val="22"/>
          <w:szCs w:val="20"/>
          <w:lang w:eastAsia="it-IT"/>
        </w:rPr>
        <w:t>del 26 giugno 2013</w:t>
      </w:r>
      <w:r w:rsidRPr="00C44A50">
        <w:rPr>
          <w:rFonts w:ascii="Segoe UI" w:eastAsia="Times New Roman" w:hAnsi="Segoe UI" w:cs="Segoe UI"/>
          <w:i/>
          <w:sz w:val="22"/>
          <w:szCs w:val="20"/>
          <w:lang w:eastAsia="it-IT"/>
        </w:rPr>
        <w:t>, relativa ai bilanci d’esercizio, ai bilanci consolidati e alle relative relazioni di talune tipologie di imprese, recante modifica della direttiva 2006/43/CE del Parlamento europeo e del Consiglio e abrogazione delle direttive 78/660/CEE e 83/349/CEE del Consiglio</w:t>
      </w:r>
      <w:r w:rsidRPr="0062207D">
        <w:rPr>
          <w:rFonts w:ascii="Segoe UI" w:eastAsia="Times New Roman" w:hAnsi="Segoe UI" w:cs="Segoe UI"/>
          <w:sz w:val="22"/>
          <w:szCs w:val="20"/>
          <w:lang w:eastAsia="it-IT"/>
        </w:rPr>
        <w:t>;</w:t>
      </w:r>
    </w:p>
    <w:p w14:paraId="204182EF" w14:textId="254A73C4" w:rsidR="00A3284F" w:rsidRPr="0062207D" w:rsidRDefault="00976F4C" w:rsidP="005938C8">
      <w:pPr>
        <w:pStyle w:val="Default"/>
        <w:numPr>
          <w:ilvl w:val="0"/>
          <w:numId w:val="16"/>
        </w:numPr>
        <w:tabs>
          <w:tab w:val="left" w:pos="567"/>
        </w:tabs>
        <w:spacing w:before="120" w:after="120"/>
        <w:ind w:left="568" w:hanging="284"/>
        <w:jc w:val="both"/>
        <w:rPr>
          <w:rFonts w:ascii="Segoe UI" w:eastAsia="Times New Roman" w:hAnsi="Segoe UI" w:cs="Segoe UI"/>
          <w:bCs/>
          <w:sz w:val="22"/>
          <w:szCs w:val="20"/>
          <w:lang w:eastAsia="it-IT"/>
        </w:rPr>
      </w:pPr>
      <w:r w:rsidRPr="0062207D">
        <w:rPr>
          <w:rFonts w:ascii="Segoe UI" w:eastAsia="Times New Roman" w:hAnsi="Segoe UI" w:cs="Segoe UI"/>
          <w:bCs/>
          <w:sz w:val="22"/>
          <w:szCs w:val="20"/>
          <w:lang w:eastAsia="it-IT"/>
        </w:rPr>
        <w:t>d</w:t>
      </w:r>
      <w:r w:rsidR="00053D66">
        <w:rPr>
          <w:rFonts w:ascii="Segoe UI" w:eastAsia="Times New Roman" w:hAnsi="Segoe UI" w:cs="Segoe UI"/>
          <w:bCs/>
          <w:sz w:val="22"/>
          <w:szCs w:val="20"/>
          <w:lang w:eastAsia="it-IT"/>
        </w:rPr>
        <w:t>irettiva 2014/95/UE (</w:t>
      </w:r>
      <w:r w:rsidR="00053D66" w:rsidRPr="00053D66">
        <w:rPr>
          <w:rFonts w:ascii="Segoe UI" w:eastAsia="Times New Roman" w:hAnsi="Segoe UI" w:cs="Segoe UI"/>
          <w:bCs/>
          <w:i/>
          <w:sz w:val="22"/>
          <w:szCs w:val="20"/>
          <w:lang w:eastAsia="it-IT"/>
        </w:rPr>
        <w:t>non-</w:t>
      </w:r>
      <w:r w:rsidR="00A3284F" w:rsidRPr="00053D66">
        <w:rPr>
          <w:rFonts w:ascii="Segoe UI" w:eastAsia="Times New Roman" w:hAnsi="Segoe UI" w:cs="Segoe UI"/>
          <w:bCs/>
          <w:i/>
          <w:sz w:val="22"/>
          <w:szCs w:val="20"/>
          <w:lang w:eastAsia="it-IT"/>
        </w:rPr>
        <w:t>financial disclosure</w:t>
      </w:r>
      <w:r w:rsidR="00A3284F" w:rsidRPr="0062207D">
        <w:rPr>
          <w:rFonts w:ascii="Segoe UI" w:eastAsia="Times New Roman" w:hAnsi="Segoe UI" w:cs="Segoe UI"/>
          <w:bCs/>
          <w:sz w:val="22"/>
          <w:szCs w:val="20"/>
          <w:lang w:eastAsia="it-IT"/>
        </w:rPr>
        <w:t xml:space="preserve"> </w:t>
      </w:r>
      <w:r w:rsidR="00A3284F" w:rsidRPr="00622013">
        <w:rPr>
          <w:rFonts w:ascii="Segoe UI" w:eastAsia="Times New Roman" w:hAnsi="Segoe UI" w:cs="Segoe UI"/>
          <w:bCs/>
          <w:i/>
          <w:sz w:val="22"/>
          <w:szCs w:val="20"/>
          <w:lang w:eastAsia="it-IT"/>
        </w:rPr>
        <w:t>Directive</w:t>
      </w:r>
      <w:r w:rsidR="00A3284F" w:rsidRPr="0062207D">
        <w:rPr>
          <w:rFonts w:ascii="Segoe UI" w:eastAsia="Times New Roman" w:hAnsi="Segoe UI" w:cs="Segoe UI"/>
          <w:bCs/>
          <w:sz w:val="22"/>
          <w:szCs w:val="20"/>
          <w:lang w:eastAsia="it-IT"/>
        </w:rPr>
        <w:t>), d</w:t>
      </w:r>
      <w:r w:rsidR="00A3284F" w:rsidRPr="0062207D">
        <w:rPr>
          <w:rFonts w:ascii="Segoe UI" w:hAnsi="Segoe UI" w:cs="Segoe UI"/>
          <w:bCs/>
          <w:sz w:val="22"/>
          <w:szCs w:val="20"/>
          <w:lang w:eastAsia="it-IT"/>
        </w:rPr>
        <w:t xml:space="preserve">el Parlamento europeo e del Consiglio del 22 ottobre 2014 </w:t>
      </w:r>
      <w:r w:rsidR="00A3284F" w:rsidRPr="00C44A50">
        <w:rPr>
          <w:rFonts w:ascii="Segoe UI" w:hAnsi="Segoe UI" w:cs="Segoe UI"/>
          <w:bCs/>
          <w:i/>
          <w:sz w:val="22"/>
          <w:szCs w:val="20"/>
          <w:lang w:eastAsia="it-IT"/>
        </w:rPr>
        <w:t>recante modifica della direttiva 2013/34/UE per quanto riguarda la comunicazione di informazioni di carattere non finanziario e di informazioni sulla diversità da parte di talune imprese e di taluni gruppi di grandi dimensioni</w:t>
      </w:r>
      <w:r w:rsidR="00A3284F" w:rsidRPr="0062207D">
        <w:rPr>
          <w:rFonts w:ascii="Segoe UI" w:hAnsi="Segoe UI" w:cs="Segoe UI"/>
          <w:bCs/>
          <w:sz w:val="22"/>
          <w:szCs w:val="20"/>
          <w:lang w:eastAsia="it-IT"/>
        </w:rPr>
        <w:t>;</w:t>
      </w:r>
    </w:p>
    <w:p w14:paraId="0C48C20D" w14:textId="7390A6B2" w:rsidR="00A3284F" w:rsidRPr="0062207D" w:rsidRDefault="00976F4C" w:rsidP="005938C8">
      <w:pPr>
        <w:pStyle w:val="Default"/>
        <w:numPr>
          <w:ilvl w:val="0"/>
          <w:numId w:val="16"/>
        </w:numPr>
        <w:tabs>
          <w:tab w:val="left" w:pos="567"/>
        </w:tabs>
        <w:spacing w:before="120" w:after="120"/>
        <w:ind w:left="568" w:hanging="284"/>
        <w:jc w:val="both"/>
        <w:rPr>
          <w:rFonts w:ascii="Segoe UI" w:eastAsia="Times New Roman" w:hAnsi="Segoe UI" w:cs="Segoe UI"/>
          <w:bCs/>
          <w:iCs/>
          <w:sz w:val="22"/>
          <w:szCs w:val="20"/>
          <w:lang w:eastAsia="it-IT"/>
        </w:rPr>
      </w:pPr>
      <w:r w:rsidRPr="0062207D">
        <w:rPr>
          <w:rFonts w:ascii="Segoe UI" w:eastAsia="Times New Roman" w:hAnsi="Segoe UI" w:cs="Segoe UI"/>
          <w:bCs/>
          <w:sz w:val="22"/>
          <w:szCs w:val="20"/>
          <w:lang w:eastAsia="it-IT"/>
        </w:rPr>
        <w:t>d</w:t>
      </w:r>
      <w:r w:rsidR="00A3284F" w:rsidRPr="0062207D">
        <w:rPr>
          <w:rFonts w:ascii="Segoe UI" w:eastAsia="Times New Roman" w:hAnsi="Segoe UI" w:cs="Segoe UI"/>
          <w:bCs/>
          <w:sz w:val="22"/>
          <w:szCs w:val="20"/>
          <w:lang w:eastAsia="it-IT"/>
        </w:rPr>
        <w:t xml:space="preserve">ecreto legislativo di recepimento 30 dicembre 2016, n. 254, </w:t>
      </w:r>
      <w:r w:rsidR="00A3284F" w:rsidRPr="0062207D">
        <w:rPr>
          <w:rFonts w:ascii="Segoe UI" w:hAnsi="Segoe UI" w:cs="Segoe UI"/>
          <w:sz w:val="22"/>
          <w:szCs w:val="20"/>
        </w:rPr>
        <w:t xml:space="preserve">Attuazione della direttiva 2014/95/UE del Parlamento europeo e del Consiglio del 22 ottobre 2014, </w:t>
      </w:r>
      <w:r w:rsidR="00A3284F" w:rsidRPr="00C44A50">
        <w:rPr>
          <w:rFonts w:ascii="Segoe UI" w:hAnsi="Segoe UI" w:cs="Segoe UI"/>
          <w:i/>
          <w:sz w:val="22"/>
          <w:szCs w:val="20"/>
        </w:rPr>
        <w:t>recante modifica alla direttiva 2013/34/UE per quanto riguarda la comunicazione di informazioni di carattere non finanziario e di informazioni sulla diversità da parte di talune imprese e di taluni gruppi di grandi dimensioni</w:t>
      </w:r>
      <w:r w:rsidR="00A3284F" w:rsidRPr="0067356F">
        <w:rPr>
          <w:rFonts w:ascii="Segoe UI" w:eastAsia="Times New Roman" w:hAnsi="Segoe UI" w:cs="Segoe UI"/>
          <w:bCs/>
          <w:iCs/>
          <w:sz w:val="22"/>
          <w:szCs w:val="20"/>
          <w:lang w:eastAsia="it-IT"/>
        </w:rPr>
        <w:t>;</w:t>
      </w:r>
    </w:p>
    <w:p w14:paraId="35A47EDD" w14:textId="69E2FE6D" w:rsidR="00A3284F" w:rsidRPr="00712025" w:rsidRDefault="00976F4C" w:rsidP="005938C8">
      <w:pPr>
        <w:pStyle w:val="Default"/>
        <w:numPr>
          <w:ilvl w:val="0"/>
          <w:numId w:val="16"/>
        </w:numPr>
        <w:tabs>
          <w:tab w:val="left" w:pos="567"/>
        </w:tabs>
        <w:spacing w:before="120" w:after="120"/>
        <w:ind w:left="568" w:hanging="284"/>
        <w:jc w:val="both"/>
        <w:rPr>
          <w:rFonts w:ascii="Segoe UI" w:eastAsia="Times New Roman" w:hAnsi="Segoe UI" w:cs="Segoe UI"/>
          <w:bCs/>
          <w:sz w:val="22"/>
          <w:szCs w:val="20"/>
          <w:lang w:eastAsia="it-IT"/>
        </w:rPr>
      </w:pPr>
      <w:r w:rsidRPr="0062207D">
        <w:rPr>
          <w:rFonts w:ascii="Segoe UI" w:eastAsia="Times New Roman" w:hAnsi="Segoe UI" w:cs="Segoe UI"/>
          <w:bCs/>
          <w:sz w:val="22"/>
          <w:szCs w:val="20"/>
          <w:lang w:eastAsia="it-IT"/>
        </w:rPr>
        <w:t>c</w:t>
      </w:r>
      <w:r w:rsidR="00A3284F" w:rsidRPr="0062207D">
        <w:rPr>
          <w:rFonts w:ascii="Segoe UI" w:eastAsia="Times New Roman" w:hAnsi="Segoe UI" w:cs="Segoe UI"/>
          <w:bCs/>
          <w:sz w:val="22"/>
          <w:szCs w:val="20"/>
          <w:lang w:eastAsia="it-IT"/>
        </w:rPr>
        <w:t xml:space="preserve">omunicazione </w:t>
      </w:r>
      <w:r w:rsidRPr="0062207D">
        <w:rPr>
          <w:rFonts w:ascii="Segoe UI" w:eastAsia="Times New Roman" w:hAnsi="Segoe UI" w:cs="Segoe UI"/>
          <w:bCs/>
          <w:sz w:val="22"/>
          <w:szCs w:val="20"/>
          <w:lang w:eastAsia="it-IT"/>
        </w:rPr>
        <w:t xml:space="preserve">della Commissione europea </w:t>
      </w:r>
      <w:r w:rsidR="00A3284F" w:rsidRPr="0062207D">
        <w:rPr>
          <w:rFonts w:ascii="Segoe UI" w:eastAsia="Times New Roman" w:hAnsi="Segoe UI" w:cs="Segoe UI"/>
          <w:bCs/>
          <w:sz w:val="22"/>
          <w:szCs w:val="20"/>
          <w:lang w:eastAsia="it-IT"/>
        </w:rPr>
        <w:t xml:space="preserve">del </w:t>
      </w:r>
      <w:r w:rsidR="00622013">
        <w:rPr>
          <w:rFonts w:ascii="Segoe UI" w:eastAsia="Times New Roman" w:hAnsi="Segoe UI" w:cs="Segoe UI"/>
          <w:bCs/>
          <w:sz w:val="22"/>
          <w:szCs w:val="20"/>
          <w:lang w:eastAsia="it-IT"/>
        </w:rPr>
        <w:t>5</w:t>
      </w:r>
      <w:r w:rsidR="00A3284F" w:rsidRPr="0062207D">
        <w:rPr>
          <w:rFonts w:ascii="Segoe UI" w:eastAsia="Times New Roman" w:hAnsi="Segoe UI" w:cs="Segoe UI"/>
          <w:bCs/>
          <w:sz w:val="22"/>
          <w:szCs w:val="20"/>
          <w:lang w:eastAsia="it-IT"/>
        </w:rPr>
        <w:t xml:space="preserve"> luglio 2017/C 215/01, “</w:t>
      </w:r>
      <w:r w:rsidR="00A3284F" w:rsidRPr="00067006">
        <w:rPr>
          <w:rFonts w:ascii="Segoe UI" w:eastAsia="Times New Roman" w:hAnsi="Segoe UI" w:cs="Segoe UI"/>
          <w:bCs/>
          <w:i/>
          <w:sz w:val="22"/>
          <w:szCs w:val="20"/>
          <w:lang w:eastAsia="it-IT"/>
        </w:rPr>
        <w:t>Orientamenti sulla comunicazione di informazioni di carattere non finanziario. Metodologia per la comunicazione di informazioni di carattere non finanziario</w:t>
      </w:r>
      <w:r w:rsidR="00A3284F" w:rsidRPr="0062207D">
        <w:rPr>
          <w:rFonts w:ascii="Segoe UI" w:eastAsia="Times New Roman" w:hAnsi="Segoe UI" w:cs="Segoe UI"/>
          <w:bCs/>
          <w:sz w:val="22"/>
          <w:szCs w:val="20"/>
          <w:lang w:eastAsia="it-IT"/>
        </w:rPr>
        <w:t xml:space="preserve">”, </w:t>
      </w:r>
      <w:r w:rsidR="00A3284F" w:rsidRPr="0062207D">
        <w:rPr>
          <w:rFonts w:ascii="Segoe UI" w:eastAsia="Times New Roman" w:hAnsi="Segoe UI" w:cs="Segoe UI"/>
          <w:bCs/>
          <w:iCs/>
          <w:sz w:val="22"/>
          <w:szCs w:val="20"/>
          <w:lang w:eastAsia="it-IT"/>
        </w:rPr>
        <w:t>Orientamenti “non vincolanti” formulati ai sensi dell’art. 2 della direttiva 2014/95/UE;</w:t>
      </w:r>
    </w:p>
    <w:p w14:paraId="660E5A8C" w14:textId="5AFBEE55" w:rsidR="00712025" w:rsidRPr="00712025" w:rsidRDefault="00712025" w:rsidP="00712025">
      <w:pPr>
        <w:pStyle w:val="Default"/>
        <w:numPr>
          <w:ilvl w:val="0"/>
          <w:numId w:val="16"/>
        </w:numPr>
        <w:tabs>
          <w:tab w:val="left" w:pos="567"/>
        </w:tabs>
        <w:spacing w:before="120" w:after="120"/>
        <w:ind w:left="568" w:hanging="284"/>
        <w:jc w:val="both"/>
        <w:rPr>
          <w:rFonts w:ascii="Segoe UI" w:eastAsia="Times New Roman" w:hAnsi="Segoe UI" w:cs="Segoe UI"/>
          <w:bCs/>
          <w:sz w:val="22"/>
          <w:szCs w:val="20"/>
          <w:lang w:eastAsia="it-IT"/>
        </w:rPr>
      </w:pPr>
      <w:r w:rsidRPr="00712025">
        <w:rPr>
          <w:rFonts w:ascii="Segoe UI" w:eastAsia="Times New Roman" w:hAnsi="Segoe UI" w:cs="Segoe UI"/>
          <w:bCs/>
          <w:sz w:val="22"/>
          <w:szCs w:val="20"/>
          <w:lang w:eastAsia="it-IT"/>
        </w:rPr>
        <w:t xml:space="preserve">Consob, Regolamento, </w:t>
      </w:r>
      <w:r w:rsidRPr="00712025">
        <w:rPr>
          <w:rFonts w:ascii="Segoe UI" w:eastAsia="Times New Roman" w:hAnsi="Segoe UI" w:cs="Segoe UI"/>
          <w:bCs/>
          <w:i/>
          <w:sz w:val="22"/>
          <w:szCs w:val="20"/>
          <w:lang w:eastAsia="it-IT"/>
        </w:rPr>
        <w:t>Disposizioni attuative del decreto legislativo 30 dicembre 2016, n. 254 relativo alla comunicazione di informazioni di carattere non finanziario</w:t>
      </w:r>
      <w:r w:rsidRPr="00712025">
        <w:rPr>
          <w:rFonts w:ascii="Segoe UI" w:eastAsia="Times New Roman" w:hAnsi="Segoe UI" w:cs="Segoe UI"/>
          <w:bCs/>
          <w:sz w:val="22"/>
          <w:szCs w:val="20"/>
          <w:lang w:eastAsia="it-IT"/>
        </w:rPr>
        <w:t>, documento di consultazione del 21 luglio 2017</w:t>
      </w:r>
      <w:r w:rsidR="0067356F">
        <w:rPr>
          <w:rFonts w:ascii="Segoe UI" w:eastAsia="Times New Roman" w:hAnsi="Segoe UI" w:cs="Segoe UI"/>
          <w:bCs/>
          <w:sz w:val="22"/>
          <w:szCs w:val="20"/>
          <w:lang w:eastAsia="it-IT"/>
        </w:rPr>
        <w:t>;</w:t>
      </w:r>
    </w:p>
    <w:p w14:paraId="4CAFACBA" w14:textId="6EE23271" w:rsidR="0067356F" w:rsidRPr="0067356F" w:rsidRDefault="0067356F" w:rsidP="0067356F">
      <w:pPr>
        <w:pStyle w:val="Default"/>
        <w:numPr>
          <w:ilvl w:val="0"/>
          <w:numId w:val="16"/>
        </w:numPr>
        <w:tabs>
          <w:tab w:val="left" w:pos="567"/>
        </w:tabs>
        <w:spacing w:before="120" w:after="120"/>
        <w:ind w:left="568" w:hanging="284"/>
        <w:jc w:val="both"/>
        <w:rPr>
          <w:rFonts w:ascii="Segoe UI" w:eastAsia="Times New Roman" w:hAnsi="Segoe UI" w:cs="Segoe UI"/>
          <w:bCs/>
          <w:sz w:val="22"/>
          <w:szCs w:val="20"/>
          <w:lang w:eastAsia="it-IT"/>
        </w:rPr>
      </w:pPr>
      <w:r w:rsidRPr="0067356F">
        <w:rPr>
          <w:rFonts w:ascii="Segoe UI" w:eastAsia="Times New Roman" w:hAnsi="Segoe UI" w:cs="Segoe UI"/>
          <w:bCs/>
          <w:sz w:val="22"/>
          <w:szCs w:val="20"/>
          <w:lang w:eastAsia="it-IT"/>
        </w:rPr>
        <w:t>Consob, “Relazione illustrativa degli esiti della consultazione, delle conseguenze sulla regolamentazione, sull’attività delle imprese e degli operatori e sugli interessi degli investitori e dei risparmiatori. Regolamento di attuazione del d.lgs. 30 dicembre 2016, n. 254 relativo alla comunicazione di informazioni di carattere non finanziario”, 19 gennaio 2018</w:t>
      </w:r>
      <w:r>
        <w:rPr>
          <w:rFonts w:ascii="Segoe UI" w:eastAsia="Times New Roman" w:hAnsi="Segoe UI" w:cs="Segoe UI"/>
          <w:bCs/>
          <w:sz w:val="22"/>
          <w:szCs w:val="20"/>
          <w:lang w:eastAsia="it-IT"/>
        </w:rPr>
        <w:t>;</w:t>
      </w:r>
    </w:p>
    <w:p w14:paraId="7841BA36" w14:textId="75288056" w:rsidR="00AE7528" w:rsidRPr="00F959FE" w:rsidRDefault="0067356F" w:rsidP="008536A9">
      <w:pPr>
        <w:pStyle w:val="Default"/>
        <w:numPr>
          <w:ilvl w:val="0"/>
          <w:numId w:val="16"/>
        </w:numPr>
        <w:tabs>
          <w:tab w:val="left" w:pos="567"/>
        </w:tabs>
        <w:spacing w:before="120" w:after="120"/>
        <w:ind w:left="568" w:hanging="284"/>
        <w:jc w:val="both"/>
        <w:rPr>
          <w:rFonts w:ascii="Segoe UI" w:eastAsia="Times New Roman" w:hAnsi="Segoe UI" w:cs="Segoe UI"/>
          <w:bCs/>
          <w:iCs/>
          <w:sz w:val="22"/>
          <w:szCs w:val="20"/>
          <w:lang w:eastAsia="it-IT"/>
        </w:rPr>
      </w:pPr>
      <w:r w:rsidRPr="00E63F77">
        <w:rPr>
          <w:rFonts w:ascii="Segoe UI" w:eastAsia="Times New Roman" w:hAnsi="Segoe UI" w:cs="Segoe UI"/>
          <w:bCs/>
          <w:sz w:val="22"/>
          <w:szCs w:val="20"/>
          <w:lang w:eastAsia="it-IT"/>
        </w:rPr>
        <w:t xml:space="preserve">Consob, </w:t>
      </w:r>
      <w:r w:rsidRPr="00E63F77">
        <w:rPr>
          <w:rFonts w:ascii="Segoe UI" w:eastAsia="Times New Roman" w:hAnsi="Segoe UI" w:cs="Segoe UI"/>
          <w:bCs/>
          <w:i/>
          <w:sz w:val="22"/>
          <w:szCs w:val="20"/>
          <w:lang w:eastAsia="it-IT"/>
        </w:rPr>
        <w:t>Regolamento di attuazione d.lgs. 30 dicembre 2016, n. 254, relativo alla comunicazione di informazioni di carattere non finanziario</w:t>
      </w:r>
      <w:r w:rsidRPr="00E63F77">
        <w:rPr>
          <w:rFonts w:ascii="Segoe UI" w:eastAsia="Times New Roman" w:hAnsi="Segoe UI" w:cs="Segoe UI"/>
          <w:bCs/>
          <w:sz w:val="22"/>
          <w:szCs w:val="20"/>
          <w:lang w:eastAsia="it-IT"/>
        </w:rPr>
        <w:t xml:space="preserve"> (pubblicato nella Gazzetta </w:t>
      </w:r>
      <w:r w:rsidR="007B2DDA">
        <w:rPr>
          <w:rFonts w:ascii="Segoe UI" w:eastAsia="Times New Roman" w:hAnsi="Segoe UI" w:cs="Segoe UI"/>
          <w:bCs/>
          <w:sz w:val="22"/>
          <w:szCs w:val="20"/>
          <w:lang w:eastAsia="it-IT"/>
        </w:rPr>
        <w:t>u</w:t>
      </w:r>
      <w:r w:rsidRPr="00E63F77">
        <w:rPr>
          <w:rFonts w:ascii="Segoe UI" w:eastAsia="Times New Roman" w:hAnsi="Segoe UI" w:cs="Segoe UI"/>
          <w:bCs/>
          <w:sz w:val="22"/>
          <w:szCs w:val="20"/>
          <w:lang w:eastAsia="it-IT"/>
        </w:rPr>
        <w:t>fficiale della Repubblica italiana n. 21 del 26 gennaio 2018)</w:t>
      </w:r>
      <w:r w:rsidR="00E63F77">
        <w:rPr>
          <w:rFonts w:ascii="Segoe UI" w:eastAsia="Times New Roman" w:hAnsi="Segoe UI" w:cs="Segoe UI"/>
          <w:bCs/>
          <w:sz w:val="22"/>
          <w:szCs w:val="20"/>
          <w:lang w:eastAsia="it-IT"/>
        </w:rPr>
        <w:t>;</w:t>
      </w:r>
    </w:p>
    <w:p w14:paraId="104B7AD5" w14:textId="646FB94F" w:rsidR="00F959FE" w:rsidRPr="00F959FE" w:rsidRDefault="00F959FE" w:rsidP="00F959FE">
      <w:pPr>
        <w:pStyle w:val="Default"/>
        <w:tabs>
          <w:tab w:val="left" w:pos="567"/>
        </w:tabs>
        <w:spacing w:before="120" w:after="120"/>
        <w:ind w:left="284"/>
        <w:jc w:val="both"/>
        <w:rPr>
          <w:rFonts w:ascii="Segoe UI" w:eastAsia="Times New Roman" w:hAnsi="Segoe UI" w:cs="Segoe UI"/>
          <w:bCs/>
          <w:i/>
          <w:iCs/>
          <w:sz w:val="22"/>
          <w:szCs w:val="20"/>
          <w:lang w:eastAsia="it-IT"/>
        </w:rPr>
      </w:pPr>
      <w:r w:rsidRPr="00F959FE">
        <w:rPr>
          <w:rFonts w:ascii="Segoe UI" w:eastAsia="Times New Roman" w:hAnsi="Segoe UI" w:cs="Segoe UI"/>
          <w:bCs/>
          <w:i/>
          <w:sz w:val="22"/>
          <w:szCs w:val="20"/>
          <w:lang w:eastAsia="it-IT"/>
        </w:rPr>
        <w:t xml:space="preserve">Linee guida e </w:t>
      </w:r>
      <w:r w:rsidRPr="00F959FE">
        <w:rPr>
          <w:rFonts w:ascii="Segoe UI" w:eastAsia="Times New Roman" w:hAnsi="Segoe UI" w:cs="Segoe UI"/>
          <w:bCs/>
          <w:sz w:val="22"/>
          <w:szCs w:val="20"/>
          <w:lang w:eastAsia="it-IT"/>
        </w:rPr>
        <w:t xml:space="preserve">standard </w:t>
      </w:r>
      <w:r w:rsidRPr="00F959FE">
        <w:rPr>
          <w:rFonts w:ascii="Segoe UI" w:eastAsia="Times New Roman" w:hAnsi="Segoe UI" w:cs="Segoe UI"/>
          <w:bCs/>
          <w:i/>
          <w:sz w:val="22"/>
          <w:szCs w:val="20"/>
          <w:lang w:eastAsia="it-IT"/>
        </w:rPr>
        <w:t>di rendicontazione</w:t>
      </w:r>
    </w:p>
    <w:p w14:paraId="6B0CF88E" w14:textId="77777777" w:rsidR="00E63F77" w:rsidRDefault="00E63F77" w:rsidP="00E63F77">
      <w:pPr>
        <w:pStyle w:val="Default"/>
        <w:numPr>
          <w:ilvl w:val="0"/>
          <w:numId w:val="16"/>
        </w:numPr>
        <w:tabs>
          <w:tab w:val="left" w:pos="567"/>
        </w:tabs>
        <w:spacing w:before="120" w:after="120"/>
        <w:ind w:left="568" w:hanging="284"/>
        <w:jc w:val="both"/>
        <w:rPr>
          <w:rFonts w:ascii="Segoe UI" w:eastAsia="Times New Roman" w:hAnsi="Segoe UI" w:cs="Segoe UI"/>
          <w:bCs/>
          <w:sz w:val="22"/>
          <w:szCs w:val="20"/>
          <w:lang w:eastAsia="it-IT"/>
        </w:rPr>
      </w:pPr>
      <w:r w:rsidRPr="00E63F77">
        <w:rPr>
          <w:rFonts w:ascii="Segoe UI" w:eastAsia="Times New Roman" w:hAnsi="Segoe UI" w:cs="Segoe UI"/>
          <w:bCs/>
          <w:sz w:val="22"/>
          <w:szCs w:val="20"/>
          <w:lang w:eastAsia="it-IT"/>
        </w:rPr>
        <w:t>Global Reporting Initiative (GRI), “Sustainability Reporting (SR) Guidelines”</w:t>
      </w:r>
      <w:r>
        <w:rPr>
          <w:rFonts w:ascii="Segoe UI" w:eastAsia="Times New Roman" w:hAnsi="Segoe UI" w:cs="Segoe UI"/>
          <w:bCs/>
          <w:sz w:val="22"/>
          <w:szCs w:val="20"/>
          <w:lang w:eastAsia="it-IT"/>
        </w:rPr>
        <w:t>;</w:t>
      </w:r>
    </w:p>
    <w:p w14:paraId="4909FCB2" w14:textId="090762EE" w:rsidR="00AE7528" w:rsidRPr="00EE55F4" w:rsidRDefault="00E63F77" w:rsidP="008536A9">
      <w:pPr>
        <w:pStyle w:val="Default"/>
        <w:numPr>
          <w:ilvl w:val="0"/>
          <w:numId w:val="16"/>
        </w:numPr>
        <w:tabs>
          <w:tab w:val="left" w:pos="567"/>
        </w:tabs>
        <w:spacing w:before="120" w:after="120"/>
        <w:ind w:left="568" w:hanging="284"/>
        <w:jc w:val="both"/>
        <w:rPr>
          <w:rFonts w:ascii="Segoe UI" w:eastAsia="Times New Roman" w:hAnsi="Segoe UI" w:cs="Segoe UI"/>
          <w:bCs/>
          <w:iCs/>
          <w:sz w:val="22"/>
          <w:szCs w:val="20"/>
          <w:lang w:eastAsia="it-IT"/>
        </w:rPr>
      </w:pPr>
      <w:r w:rsidRPr="00E63F77">
        <w:rPr>
          <w:rFonts w:ascii="Segoe UI" w:eastAsia="Times New Roman" w:hAnsi="Segoe UI" w:cs="Segoe UI"/>
          <w:bCs/>
          <w:sz w:val="22"/>
          <w:szCs w:val="20"/>
          <w:lang w:eastAsia="it-IT"/>
        </w:rPr>
        <w:t xml:space="preserve">International Integrated Reporting Council (IIRC), “International Integrated Reporting (IR) Framework”, </w:t>
      </w:r>
      <w:r w:rsidR="004F3142">
        <w:rPr>
          <w:rFonts w:ascii="Segoe UI" w:eastAsia="Times New Roman" w:hAnsi="Segoe UI" w:cs="Segoe UI"/>
          <w:bCs/>
          <w:sz w:val="22"/>
          <w:szCs w:val="20"/>
          <w:lang w:eastAsia="it-IT"/>
        </w:rPr>
        <w:t>d</w:t>
      </w:r>
      <w:r w:rsidRPr="00E63F77">
        <w:rPr>
          <w:rFonts w:ascii="Segoe UI" w:eastAsia="Times New Roman" w:hAnsi="Segoe UI" w:cs="Segoe UI"/>
          <w:bCs/>
          <w:sz w:val="22"/>
          <w:szCs w:val="20"/>
          <w:lang w:eastAsia="it-IT"/>
        </w:rPr>
        <w:t>icembre 2013.</w:t>
      </w:r>
    </w:p>
    <w:p w14:paraId="765AED62" w14:textId="77777777" w:rsidR="00EE55F4" w:rsidRDefault="00EE55F4" w:rsidP="00EE55F4">
      <w:pPr>
        <w:pStyle w:val="Default"/>
        <w:tabs>
          <w:tab w:val="left" w:pos="567"/>
        </w:tabs>
        <w:spacing w:before="120" w:after="120"/>
        <w:jc w:val="both"/>
        <w:rPr>
          <w:rFonts w:ascii="Segoe UI" w:eastAsia="Times New Roman" w:hAnsi="Segoe UI" w:cs="Segoe UI"/>
          <w:bCs/>
          <w:iCs/>
          <w:sz w:val="22"/>
          <w:szCs w:val="20"/>
          <w:lang w:eastAsia="it-IT"/>
        </w:rPr>
        <w:sectPr w:rsidR="00EE55F4" w:rsidSect="0002489A">
          <w:pgSz w:w="11906" w:h="16838" w:code="9"/>
          <w:pgMar w:top="1985" w:right="1134" w:bottom="1134" w:left="1134" w:header="709" w:footer="709" w:gutter="0"/>
          <w:cols w:space="708"/>
          <w:docGrid w:linePitch="360"/>
        </w:sectPr>
      </w:pPr>
    </w:p>
    <w:p w14:paraId="3D12DB63" w14:textId="13D34A14" w:rsidR="00976F4C" w:rsidRPr="0035266A" w:rsidRDefault="00793FE3" w:rsidP="0035266A">
      <w:pPr>
        <w:keepNext/>
        <w:keepLines/>
        <w:tabs>
          <w:tab w:val="left" w:pos="567"/>
        </w:tabs>
        <w:spacing w:before="1080" w:after="1080" w:line="240" w:lineRule="auto"/>
        <w:ind w:left="567" w:hanging="567"/>
        <w:jc w:val="both"/>
        <w:outlineLvl w:val="0"/>
        <w:rPr>
          <w:rFonts w:ascii="Segoe UI" w:eastAsiaTheme="minorHAnsi" w:hAnsi="Segoe UI" w:cs="Segoe UI"/>
          <w:sz w:val="32"/>
          <w:szCs w:val="32"/>
        </w:rPr>
      </w:pPr>
      <w:bookmarkStart w:id="10" w:name="_Toc507973943"/>
      <w:r w:rsidRPr="0035266A">
        <w:rPr>
          <w:rFonts w:ascii="Segoe UI" w:eastAsiaTheme="minorHAnsi" w:hAnsi="Segoe UI" w:cs="Segoe UI"/>
          <w:sz w:val="32"/>
          <w:szCs w:val="32"/>
        </w:rPr>
        <w:t>2</w:t>
      </w:r>
      <w:r w:rsidRPr="0035266A">
        <w:rPr>
          <w:rFonts w:ascii="Segoe UI" w:eastAsiaTheme="minorHAnsi" w:hAnsi="Segoe UI" w:cs="Segoe UI"/>
          <w:sz w:val="32"/>
          <w:szCs w:val="32"/>
        </w:rPr>
        <w:tab/>
        <w:t xml:space="preserve">Varietà </w:t>
      </w:r>
      <w:r w:rsidR="00DB6713" w:rsidRPr="0035266A">
        <w:rPr>
          <w:rFonts w:ascii="Segoe UI" w:eastAsiaTheme="minorHAnsi" w:hAnsi="Segoe UI" w:cs="Segoe UI"/>
          <w:sz w:val="32"/>
          <w:szCs w:val="32"/>
        </w:rPr>
        <w:t xml:space="preserve">terminologica </w:t>
      </w:r>
      <w:r w:rsidR="0030053E" w:rsidRPr="0035266A">
        <w:rPr>
          <w:rFonts w:ascii="Segoe UI" w:eastAsiaTheme="minorHAnsi" w:hAnsi="Segoe UI" w:cs="Segoe UI"/>
          <w:sz w:val="32"/>
          <w:szCs w:val="32"/>
        </w:rPr>
        <w:t xml:space="preserve">ed eterogeneità delle accezioni </w:t>
      </w:r>
      <w:r w:rsidR="0030053E">
        <w:rPr>
          <w:rFonts w:ascii="Segoe UI" w:eastAsiaTheme="minorHAnsi" w:hAnsi="Segoe UI" w:cs="Segoe UI"/>
          <w:sz w:val="32"/>
          <w:szCs w:val="32"/>
        </w:rPr>
        <w:t xml:space="preserve">nelle diverse </w:t>
      </w:r>
      <w:r w:rsidR="00DB6713" w:rsidRPr="0035266A">
        <w:rPr>
          <w:rFonts w:ascii="Segoe UI" w:eastAsiaTheme="minorHAnsi" w:hAnsi="Segoe UI" w:cs="Segoe UI"/>
          <w:sz w:val="32"/>
          <w:szCs w:val="32"/>
        </w:rPr>
        <w:t xml:space="preserve">versioni </w:t>
      </w:r>
      <w:r w:rsidR="00EF148F">
        <w:rPr>
          <w:rFonts w:ascii="Segoe UI" w:eastAsiaTheme="minorHAnsi" w:hAnsi="Segoe UI" w:cs="Segoe UI"/>
          <w:sz w:val="32"/>
          <w:szCs w:val="32"/>
        </w:rPr>
        <w:t>d</w:t>
      </w:r>
      <w:r w:rsidR="00B240EE" w:rsidRPr="0035266A">
        <w:rPr>
          <w:rFonts w:ascii="Segoe UI" w:eastAsiaTheme="minorHAnsi" w:hAnsi="Segoe UI" w:cs="Segoe UI"/>
          <w:sz w:val="32"/>
          <w:szCs w:val="32"/>
        </w:rPr>
        <w:t>e</w:t>
      </w:r>
      <w:r w:rsidR="00A84D53">
        <w:rPr>
          <w:rFonts w:ascii="Segoe UI" w:eastAsiaTheme="minorHAnsi" w:hAnsi="Segoe UI" w:cs="Segoe UI"/>
          <w:sz w:val="32"/>
          <w:szCs w:val="32"/>
        </w:rPr>
        <w:t xml:space="preserve">i provvedimenti </w:t>
      </w:r>
      <w:r w:rsidR="00B240EE" w:rsidRPr="0035266A">
        <w:rPr>
          <w:rFonts w:ascii="Segoe UI" w:eastAsiaTheme="minorHAnsi" w:hAnsi="Segoe UI" w:cs="Segoe UI"/>
          <w:sz w:val="32"/>
          <w:szCs w:val="32"/>
        </w:rPr>
        <w:t>normativ</w:t>
      </w:r>
      <w:r w:rsidR="00A84D53">
        <w:rPr>
          <w:rFonts w:ascii="Segoe UI" w:eastAsiaTheme="minorHAnsi" w:hAnsi="Segoe UI" w:cs="Segoe UI"/>
          <w:sz w:val="32"/>
          <w:szCs w:val="32"/>
        </w:rPr>
        <w:t>i</w:t>
      </w:r>
      <w:r w:rsidR="0030053E">
        <w:rPr>
          <w:rFonts w:ascii="Segoe UI" w:eastAsiaTheme="minorHAnsi" w:hAnsi="Segoe UI" w:cs="Segoe UI"/>
          <w:sz w:val="32"/>
          <w:szCs w:val="32"/>
        </w:rPr>
        <w:t xml:space="preserve"> europe</w:t>
      </w:r>
      <w:r w:rsidR="00A84D53">
        <w:rPr>
          <w:rFonts w:ascii="Segoe UI" w:eastAsiaTheme="minorHAnsi" w:hAnsi="Segoe UI" w:cs="Segoe UI"/>
          <w:sz w:val="32"/>
          <w:szCs w:val="32"/>
        </w:rPr>
        <w:t>i</w:t>
      </w:r>
      <w:bookmarkEnd w:id="10"/>
    </w:p>
    <w:p w14:paraId="00C1B2DC" w14:textId="1CD317EF" w:rsidR="009278E4" w:rsidRDefault="009278E4" w:rsidP="009278E4">
      <w:pPr>
        <w:spacing w:before="120" w:after="120" w:line="240" w:lineRule="auto"/>
        <w:jc w:val="both"/>
        <w:rPr>
          <w:rFonts w:ascii="Segoe UI" w:eastAsia="Times New Roman" w:hAnsi="Segoe UI" w:cs="Segoe UI"/>
        </w:rPr>
      </w:pPr>
      <w:r>
        <w:rPr>
          <w:rFonts w:ascii="Segoe UI" w:hAnsi="Segoe UI" w:cs="Segoe UI"/>
          <w:szCs w:val="20"/>
        </w:rPr>
        <w:t>N</w:t>
      </w:r>
      <w:r w:rsidRPr="009278E4">
        <w:rPr>
          <w:rFonts w:ascii="Segoe UI" w:eastAsia="Times New Roman" w:hAnsi="Segoe UI" w:cs="Segoe UI"/>
        </w:rPr>
        <w:t xml:space="preserve">el presente paragrafo sono riportati una serie di periodi o estratti di disposizioni di provvedimenti normativi vincolanti (c.d. </w:t>
      </w:r>
      <w:r w:rsidRPr="009278E4">
        <w:rPr>
          <w:rFonts w:ascii="Segoe UI" w:eastAsia="Times New Roman" w:hAnsi="Segoe UI" w:cs="Segoe UI"/>
          <w:i/>
        </w:rPr>
        <w:t>hard law</w:t>
      </w:r>
      <w:r w:rsidRPr="009278E4">
        <w:rPr>
          <w:rFonts w:ascii="Segoe UI" w:eastAsia="Times New Roman" w:hAnsi="Segoe UI" w:cs="Segoe UI"/>
        </w:rPr>
        <w:t>) o pr</w:t>
      </w:r>
      <w:r w:rsidR="00DB6713">
        <w:rPr>
          <w:rFonts w:ascii="Segoe UI" w:eastAsia="Times New Roman" w:hAnsi="Segoe UI" w:cs="Segoe UI"/>
        </w:rPr>
        <w:t>o</w:t>
      </w:r>
      <w:r w:rsidRPr="009278E4">
        <w:rPr>
          <w:rFonts w:ascii="Segoe UI" w:eastAsia="Times New Roman" w:hAnsi="Segoe UI" w:cs="Segoe UI"/>
        </w:rPr>
        <w:t xml:space="preserve">posizioni di strumenti normativi non vincolanti (c.d. </w:t>
      </w:r>
      <w:r w:rsidRPr="009278E4">
        <w:rPr>
          <w:rFonts w:ascii="Segoe UI" w:eastAsia="Times New Roman" w:hAnsi="Segoe UI" w:cs="Segoe UI"/>
          <w:i/>
        </w:rPr>
        <w:t>soft law</w:t>
      </w:r>
      <w:r w:rsidRPr="009278E4">
        <w:rPr>
          <w:rFonts w:ascii="Segoe UI" w:eastAsia="Times New Roman" w:hAnsi="Segoe UI" w:cs="Segoe UI"/>
        </w:rPr>
        <w:t>) esaminati in questo documento, che costituiscono esempi/casi in cui è possibile rilevare un</w:t>
      </w:r>
      <w:r>
        <w:rPr>
          <w:rFonts w:ascii="Segoe UI" w:eastAsia="Times New Roman" w:hAnsi="Segoe UI" w:cs="Segoe UI"/>
        </w:rPr>
        <w:t>’</w:t>
      </w:r>
      <w:r w:rsidRPr="009278E4">
        <w:rPr>
          <w:rFonts w:ascii="Segoe UI" w:eastAsia="Times New Roman" w:hAnsi="Segoe UI" w:cs="Segoe UI"/>
        </w:rPr>
        <w:t>approssimazione</w:t>
      </w:r>
      <w:r>
        <w:rPr>
          <w:rFonts w:ascii="Segoe UI" w:eastAsia="Times New Roman" w:hAnsi="Segoe UI" w:cs="Segoe UI"/>
        </w:rPr>
        <w:t>,</w:t>
      </w:r>
      <w:r w:rsidRPr="009278E4">
        <w:rPr>
          <w:rFonts w:ascii="Segoe UI" w:eastAsia="Times New Roman" w:hAnsi="Segoe UI" w:cs="Segoe UI"/>
        </w:rPr>
        <w:t xml:space="preserve"> o </w:t>
      </w:r>
      <w:r>
        <w:rPr>
          <w:rFonts w:ascii="Segoe UI" w:eastAsia="Times New Roman" w:hAnsi="Segoe UI" w:cs="Segoe UI"/>
        </w:rPr>
        <w:t>un’</w:t>
      </w:r>
      <w:r w:rsidRPr="009278E4">
        <w:rPr>
          <w:rFonts w:ascii="Segoe UI" w:eastAsia="Times New Roman" w:hAnsi="Segoe UI" w:cs="Segoe UI"/>
        </w:rPr>
        <w:t>incongruenza</w:t>
      </w:r>
      <w:r>
        <w:rPr>
          <w:rFonts w:ascii="Segoe UI" w:eastAsia="Times New Roman" w:hAnsi="Segoe UI" w:cs="Segoe UI"/>
        </w:rPr>
        <w:t>,</w:t>
      </w:r>
      <w:r w:rsidRPr="009278E4">
        <w:rPr>
          <w:rFonts w:ascii="Segoe UI" w:eastAsia="Times New Roman" w:hAnsi="Segoe UI" w:cs="Segoe UI"/>
        </w:rPr>
        <w:t xml:space="preserve"> o </w:t>
      </w:r>
      <w:r>
        <w:rPr>
          <w:rFonts w:ascii="Segoe UI" w:eastAsia="Times New Roman" w:hAnsi="Segoe UI" w:cs="Segoe UI"/>
        </w:rPr>
        <w:t>un’</w:t>
      </w:r>
      <w:r w:rsidRPr="009278E4">
        <w:rPr>
          <w:rFonts w:ascii="Segoe UI" w:eastAsia="Times New Roman" w:hAnsi="Segoe UI" w:cs="Segoe UI"/>
        </w:rPr>
        <w:t>inesattezza</w:t>
      </w:r>
      <w:r>
        <w:rPr>
          <w:rFonts w:ascii="Segoe UI" w:eastAsia="Times New Roman" w:hAnsi="Segoe UI" w:cs="Segoe UI"/>
        </w:rPr>
        <w:t>,</w:t>
      </w:r>
      <w:r w:rsidRPr="009278E4">
        <w:rPr>
          <w:rFonts w:ascii="Segoe UI" w:eastAsia="Times New Roman" w:hAnsi="Segoe UI" w:cs="Segoe UI"/>
        </w:rPr>
        <w:t xml:space="preserve"> nella corrispondenza o nella traduzione di alcuni termini (in particolare, “</w:t>
      </w:r>
      <w:r w:rsidRPr="009278E4">
        <w:rPr>
          <w:rFonts w:ascii="Segoe UI" w:eastAsia="Times New Roman" w:hAnsi="Segoe UI" w:cs="Segoe UI"/>
          <w:i/>
        </w:rPr>
        <w:t>significant</w:t>
      </w:r>
      <w:r w:rsidRPr="009278E4">
        <w:rPr>
          <w:rFonts w:ascii="Segoe UI" w:eastAsia="Times New Roman" w:hAnsi="Segoe UI" w:cs="Segoe UI"/>
        </w:rPr>
        <w:t>”, “</w:t>
      </w:r>
      <w:r w:rsidRPr="009278E4">
        <w:rPr>
          <w:rFonts w:ascii="Segoe UI" w:eastAsia="Times New Roman" w:hAnsi="Segoe UI" w:cs="Segoe UI"/>
          <w:i/>
        </w:rPr>
        <w:t>relevant</w:t>
      </w:r>
      <w:r w:rsidRPr="009278E4">
        <w:rPr>
          <w:rFonts w:ascii="Segoe UI" w:eastAsia="Times New Roman" w:hAnsi="Segoe UI" w:cs="Segoe UI"/>
        </w:rPr>
        <w:t>” e “</w:t>
      </w:r>
      <w:r w:rsidRPr="009278E4">
        <w:rPr>
          <w:rFonts w:ascii="Segoe UI" w:eastAsia="Times New Roman" w:hAnsi="Segoe UI" w:cs="Segoe UI"/>
          <w:i/>
        </w:rPr>
        <w:t>material</w:t>
      </w:r>
      <w:r w:rsidRPr="009278E4">
        <w:rPr>
          <w:rFonts w:ascii="Segoe UI" w:eastAsia="Times New Roman" w:hAnsi="Segoe UI" w:cs="Segoe UI"/>
        </w:rPr>
        <w:t xml:space="preserve">”) riconducibili ai concetti di rilevanza/materialità </w:t>
      </w:r>
      <w:r w:rsidR="00DB6713">
        <w:rPr>
          <w:rFonts w:ascii="Segoe UI" w:eastAsia="Times New Roman" w:hAnsi="Segoe UI" w:cs="Segoe UI"/>
        </w:rPr>
        <w:t xml:space="preserve">dei temi e/o </w:t>
      </w:r>
      <w:r w:rsidRPr="009278E4">
        <w:rPr>
          <w:rFonts w:ascii="Segoe UI" w:eastAsia="Times New Roman" w:hAnsi="Segoe UI" w:cs="Segoe UI"/>
        </w:rPr>
        <w:t xml:space="preserve">delle informazioni </w:t>
      </w:r>
      <w:r w:rsidR="00DB6713">
        <w:rPr>
          <w:rFonts w:ascii="Segoe UI" w:eastAsia="Times New Roman" w:hAnsi="Segoe UI" w:cs="Segoe UI"/>
        </w:rPr>
        <w:t>oggett</w:t>
      </w:r>
      <w:r w:rsidR="006F779A">
        <w:rPr>
          <w:rFonts w:ascii="Segoe UI" w:eastAsia="Times New Roman" w:hAnsi="Segoe UI" w:cs="Segoe UI"/>
        </w:rPr>
        <w:t>o della</w:t>
      </w:r>
      <w:r w:rsidRPr="009278E4">
        <w:rPr>
          <w:rFonts w:ascii="Segoe UI" w:eastAsia="Times New Roman" w:hAnsi="Segoe UI" w:cs="Segoe UI"/>
        </w:rPr>
        <w:t xml:space="preserve"> rendicontazione ovvero nell’accezione attribuita loro in sede di co-redazione (dei provvedimenti europei) o di recepimento (dei provvedimenti europei nell’ordinamento nazionale).</w:t>
      </w:r>
    </w:p>
    <w:p w14:paraId="77C2019A" w14:textId="1D56EB8C" w:rsidR="009278E4" w:rsidRDefault="009278E4" w:rsidP="009278E4">
      <w:pPr>
        <w:spacing w:before="120" w:after="120" w:line="240" w:lineRule="auto"/>
        <w:jc w:val="both"/>
        <w:rPr>
          <w:rFonts w:ascii="Segoe UI" w:hAnsi="Segoe UI" w:cs="Segoe UI"/>
          <w:szCs w:val="20"/>
        </w:rPr>
      </w:pPr>
      <w:r>
        <w:rPr>
          <w:rFonts w:ascii="Segoe UI" w:hAnsi="Segoe UI" w:cs="Segoe UI"/>
          <w:szCs w:val="20"/>
        </w:rPr>
        <w:t>I</w:t>
      </w:r>
      <w:r w:rsidRPr="0062207D">
        <w:rPr>
          <w:rFonts w:ascii="Segoe UI" w:hAnsi="Segoe UI" w:cs="Segoe UI"/>
          <w:szCs w:val="20"/>
        </w:rPr>
        <w:t>l significato intrinseco o tecnico dei termini cui si fa riferimento (e la natura dei concetti sottostanti)</w:t>
      </w:r>
      <w:r>
        <w:rPr>
          <w:rFonts w:ascii="Segoe UI" w:hAnsi="Segoe UI" w:cs="Segoe UI"/>
          <w:szCs w:val="20"/>
        </w:rPr>
        <w:t xml:space="preserve">, in quanto </w:t>
      </w:r>
      <w:r w:rsidRPr="0062207D">
        <w:rPr>
          <w:rFonts w:ascii="Segoe UI" w:hAnsi="Segoe UI" w:cs="Segoe UI"/>
          <w:szCs w:val="20"/>
        </w:rPr>
        <w:t xml:space="preserve">fondamentali nell’ambito della regolamentazione </w:t>
      </w:r>
      <w:r w:rsidR="00E865A3">
        <w:rPr>
          <w:rFonts w:ascii="Segoe UI" w:hAnsi="Segoe UI" w:cs="Segoe UI"/>
          <w:szCs w:val="20"/>
        </w:rPr>
        <w:t xml:space="preserve">sulla </w:t>
      </w:r>
      <w:r w:rsidRPr="0062207D">
        <w:rPr>
          <w:rFonts w:ascii="Segoe UI" w:hAnsi="Segoe UI" w:cs="Segoe UI"/>
          <w:i/>
          <w:szCs w:val="20"/>
        </w:rPr>
        <w:t>disclosure</w:t>
      </w:r>
      <w:r w:rsidRPr="006F779A">
        <w:rPr>
          <w:rFonts w:ascii="Segoe UI" w:hAnsi="Segoe UI" w:cs="Segoe UI"/>
          <w:szCs w:val="20"/>
        </w:rPr>
        <w:t>,</w:t>
      </w:r>
      <w:r w:rsidRPr="0062207D">
        <w:rPr>
          <w:rFonts w:ascii="Segoe UI" w:hAnsi="Segoe UI" w:cs="Segoe UI"/>
          <w:szCs w:val="20"/>
        </w:rPr>
        <w:t xml:space="preserve"> sia finanziaria sia non finanziaria</w:t>
      </w:r>
      <w:r>
        <w:rPr>
          <w:rFonts w:ascii="Segoe UI" w:hAnsi="Segoe UI" w:cs="Segoe UI"/>
          <w:szCs w:val="20"/>
        </w:rPr>
        <w:t>,</w:t>
      </w:r>
      <w:r w:rsidRPr="0062207D">
        <w:rPr>
          <w:rFonts w:ascii="Segoe UI" w:hAnsi="Segoe UI" w:cs="Segoe UI"/>
          <w:szCs w:val="20"/>
        </w:rPr>
        <w:t xml:space="preserve"> sarà approfondito successivamente </w:t>
      </w:r>
      <w:r>
        <w:rPr>
          <w:rFonts w:ascii="Segoe UI" w:hAnsi="Segoe UI" w:cs="Segoe UI"/>
          <w:szCs w:val="20"/>
        </w:rPr>
        <w:t xml:space="preserve">al fine di </w:t>
      </w:r>
      <w:r w:rsidRPr="0062207D">
        <w:rPr>
          <w:rFonts w:ascii="Segoe UI" w:hAnsi="Segoe UI" w:cs="Segoe UI"/>
          <w:szCs w:val="20"/>
        </w:rPr>
        <w:t>sviluppare un ragionamento funzionale a perseguire gli obiettivi di questo documento</w:t>
      </w:r>
      <w:r>
        <w:rPr>
          <w:rFonts w:ascii="Segoe UI" w:hAnsi="Segoe UI" w:cs="Segoe UI"/>
          <w:szCs w:val="20"/>
        </w:rPr>
        <w:t>.</w:t>
      </w:r>
    </w:p>
    <w:p w14:paraId="1C83B3AC" w14:textId="77777777" w:rsidR="00612770" w:rsidRPr="00CB7573" w:rsidRDefault="00612770" w:rsidP="00CB7573">
      <w:pPr>
        <w:spacing w:before="120" w:after="120" w:line="240" w:lineRule="auto"/>
        <w:jc w:val="both"/>
        <w:rPr>
          <w:rFonts w:ascii="Segoe UI" w:hAnsi="Segoe UI" w:cs="Segoe UI"/>
          <w:szCs w:val="20"/>
        </w:rPr>
      </w:pPr>
    </w:p>
    <w:tbl>
      <w:tblPr>
        <w:tblStyle w:val="Tabellaelenco7acolori-colore31"/>
        <w:tblW w:w="9639" w:type="dxa"/>
        <w:jc w:val="center"/>
        <w:tblLayout w:type="fixed"/>
        <w:tblLook w:val="04A0" w:firstRow="1" w:lastRow="0" w:firstColumn="1" w:lastColumn="0" w:noHBand="0" w:noVBand="1"/>
      </w:tblPr>
      <w:tblGrid>
        <w:gridCol w:w="9639"/>
      </w:tblGrid>
      <w:tr w:rsidR="00777C4F" w:rsidRPr="00777C4F" w14:paraId="7C45E9FD" w14:textId="77777777" w:rsidTr="00EE54C7">
        <w:trPr>
          <w:cnfStyle w:val="100000000000" w:firstRow="1" w:lastRow="0" w:firstColumn="0" w:lastColumn="0" w:oddVBand="0" w:evenVBand="0" w:oddHBand="0" w:evenHBand="0" w:firstRowFirstColumn="0" w:firstRowLastColumn="0" w:lastRowFirstColumn="0" w:lastRowLastColumn="0"/>
          <w:cantSplit/>
          <w:jc w:val="center"/>
        </w:trPr>
        <w:tc>
          <w:tcPr>
            <w:cnfStyle w:val="001000000100" w:firstRow="0" w:lastRow="0" w:firstColumn="1" w:lastColumn="0" w:oddVBand="0" w:evenVBand="0" w:oddHBand="0" w:evenHBand="0" w:firstRowFirstColumn="1" w:firstRowLastColumn="0" w:lastRowFirstColumn="0" w:lastRowLastColumn="0"/>
            <w:tcW w:w="9639" w:type="dxa"/>
            <w:tcBorders>
              <w:bottom w:val="single" w:sz="12" w:space="0" w:color="525252" w:themeColor="accent3" w:themeShade="80"/>
            </w:tcBorders>
          </w:tcPr>
          <w:p w14:paraId="0DC93D6B" w14:textId="2F7EA9F9" w:rsidR="009278E4" w:rsidRPr="00D81B6E" w:rsidRDefault="00D81B6E" w:rsidP="00A42E62">
            <w:pPr>
              <w:keepNext/>
              <w:keepLines/>
              <w:spacing w:before="120" w:after="120" w:line="240" w:lineRule="auto"/>
              <w:jc w:val="both"/>
              <w:rPr>
                <w:rFonts w:ascii="Segoe UI" w:hAnsi="Segoe UI" w:cs="Segoe UI"/>
                <w:color w:val="525252" w:themeColor="accent3" w:themeShade="80"/>
              </w:rPr>
            </w:pPr>
            <w:r w:rsidRPr="00D81B6E">
              <w:rPr>
                <w:rFonts w:ascii="Segoe UI" w:hAnsi="Segoe UI" w:cs="Segoe UI"/>
                <w:color w:val="525252" w:themeColor="accent3" w:themeShade="80"/>
              </w:rPr>
              <w:t>AVVERTENZA</w:t>
            </w:r>
          </w:p>
        </w:tc>
      </w:tr>
      <w:tr w:rsidR="00777C4F" w:rsidRPr="00777C4F" w14:paraId="5F8EAAE9" w14:textId="77777777" w:rsidTr="00EE54C7">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9639" w:type="dxa"/>
            <w:tcBorders>
              <w:top w:val="single" w:sz="12" w:space="0" w:color="525252" w:themeColor="accent3" w:themeShade="80"/>
              <w:right w:val="single" w:sz="12" w:space="0" w:color="525252" w:themeColor="accent3" w:themeShade="80"/>
            </w:tcBorders>
          </w:tcPr>
          <w:p w14:paraId="127CF9FA" w14:textId="06AF31A5" w:rsidR="009278E4" w:rsidRPr="00777C4F" w:rsidRDefault="009278E4" w:rsidP="006D624F">
            <w:pPr>
              <w:keepLines/>
              <w:spacing w:before="120" w:after="120" w:line="240" w:lineRule="auto"/>
              <w:jc w:val="both"/>
              <w:rPr>
                <w:rFonts w:ascii="Segoe UI" w:hAnsi="Segoe UI" w:cs="Segoe UI"/>
                <w:color w:val="525252" w:themeColor="accent3" w:themeShade="80"/>
              </w:rPr>
            </w:pPr>
            <w:r w:rsidRPr="00777C4F">
              <w:rPr>
                <w:rFonts w:ascii="Segoe UI" w:eastAsia="Times New Roman" w:hAnsi="Segoe UI" w:cs="Segoe UI"/>
                <w:color w:val="525252" w:themeColor="accent3" w:themeShade="80"/>
              </w:rPr>
              <w:t>Se per la verifica della corrispondenza dei termini nelle diverse lingue l’esercizio risulta naturalmente pacifico, l’individuazione dell’accezione che il legislatore/estensore/redattore abbia inteso di volta in volta attribuire ai singoli termini non può esserlo sempre altrettanto. Nondimeno, al fine di mostrare la varietà delle soluzioni terminologiche e interpretative adottate, nella consapevolezza del rischio di essere andati talvolta oltre le intenzioni del legislatore/estensore/redattore, si è cercato di</w:t>
            </w:r>
            <w:r w:rsidR="00990E17">
              <w:rPr>
                <w:rFonts w:ascii="Segoe UI" w:eastAsia="Times New Roman" w:hAnsi="Segoe UI" w:cs="Segoe UI"/>
                <w:color w:val="525252" w:themeColor="accent3" w:themeShade="80"/>
              </w:rPr>
              <w:t xml:space="preserve"> identificare </w:t>
            </w:r>
            <w:r w:rsidRPr="00777C4F">
              <w:rPr>
                <w:rFonts w:ascii="Segoe UI" w:eastAsia="Times New Roman" w:hAnsi="Segoe UI" w:cs="Segoe UI"/>
                <w:color w:val="525252" w:themeColor="accent3" w:themeShade="80"/>
              </w:rPr>
              <w:t>ciascun</w:t>
            </w:r>
            <w:r w:rsidR="00990E17">
              <w:rPr>
                <w:rFonts w:ascii="Segoe UI" w:eastAsia="Times New Roman" w:hAnsi="Segoe UI" w:cs="Segoe UI"/>
                <w:color w:val="525252" w:themeColor="accent3" w:themeShade="80"/>
              </w:rPr>
              <w:t xml:space="preserve"> singolo</w:t>
            </w:r>
            <w:r w:rsidRPr="00777C4F">
              <w:rPr>
                <w:rFonts w:ascii="Segoe UI" w:eastAsia="Times New Roman" w:hAnsi="Segoe UI" w:cs="Segoe UI"/>
                <w:color w:val="525252" w:themeColor="accent3" w:themeShade="80"/>
              </w:rPr>
              <w:t xml:space="preserve"> esempio</w:t>
            </w:r>
            <w:r w:rsidR="00990E17">
              <w:rPr>
                <w:rFonts w:ascii="Segoe UI" w:eastAsia="Times New Roman" w:hAnsi="Segoe UI" w:cs="Segoe UI"/>
                <w:color w:val="525252" w:themeColor="accent3" w:themeShade="80"/>
              </w:rPr>
              <w:t>, assegnandogli</w:t>
            </w:r>
            <w:r w:rsidRPr="00777C4F">
              <w:rPr>
                <w:rFonts w:ascii="Segoe UI" w:eastAsia="Times New Roman" w:hAnsi="Segoe UI" w:cs="Segoe UI"/>
                <w:color w:val="525252" w:themeColor="accent3" w:themeShade="80"/>
              </w:rPr>
              <w:t xml:space="preserve"> un numero, con riguardo sia all’opzione terminologica adottata nella corrispondenza tra le parole in lingua inglese e in lingua italiana (“Traduzione: opzione x”) sia alla componente semantica della parola (“Accezione: opzione x”), senza peraltro la pretesa di esservi sempre riusciti: traduzioni e accezioni contraddistinti da uno stesso numero sono, nel primo caso, identiche, nel secondo caso, quando non identiche, quantomeno simili.</w:t>
            </w:r>
          </w:p>
        </w:tc>
      </w:tr>
    </w:tbl>
    <w:p w14:paraId="001FA53F" w14:textId="11C8B1F0" w:rsidR="004326C0" w:rsidRPr="00A42E62" w:rsidRDefault="00793FE3" w:rsidP="00A42E62">
      <w:pPr>
        <w:keepNext/>
        <w:keepLines/>
        <w:tabs>
          <w:tab w:val="left" w:pos="567"/>
        </w:tabs>
        <w:spacing w:before="1080" w:after="720" w:line="240" w:lineRule="auto"/>
        <w:ind w:left="567" w:hanging="567"/>
        <w:outlineLvl w:val="1"/>
        <w:rPr>
          <w:rFonts w:ascii="Segoe UI" w:eastAsiaTheme="minorHAnsi" w:hAnsi="Segoe UI" w:cs="Segoe UI"/>
          <w:bCs/>
          <w:sz w:val="28"/>
          <w:szCs w:val="28"/>
        </w:rPr>
      </w:pPr>
      <w:bookmarkStart w:id="11" w:name="_Toc507973944"/>
      <w:r w:rsidRPr="00A42E62">
        <w:rPr>
          <w:rFonts w:ascii="Segoe UI" w:eastAsiaTheme="minorHAnsi" w:hAnsi="Segoe UI" w:cs="Segoe UI"/>
          <w:bCs/>
          <w:sz w:val="28"/>
          <w:szCs w:val="28"/>
        </w:rPr>
        <w:t>2.1</w:t>
      </w:r>
      <w:r w:rsidRPr="00A42E62">
        <w:rPr>
          <w:rFonts w:ascii="Segoe UI" w:eastAsiaTheme="minorHAnsi" w:hAnsi="Segoe UI" w:cs="Segoe UI"/>
          <w:bCs/>
          <w:sz w:val="28"/>
          <w:szCs w:val="28"/>
        </w:rPr>
        <w:tab/>
      </w:r>
      <w:r w:rsidR="00D50C53" w:rsidRPr="00A42E62">
        <w:rPr>
          <w:rFonts w:ascii="Segoe UI" w:eastAsiaTheme="minorHAnsi" w:hAnsi="Segoe UI" w:cs="Segoe UI"/>
          <w:bCs/>
          <w:sz w:val="28"/>
          <w:szCs w:val="28"/>
        </w:rPr>
        <w:t>Rendicontazione finanziaria: d</w:t>
      </w:r>
      <w:r w:rsidR="004326C0" w:rsidRPr="00A42E62">
        <w:rPr>
          <w:rFonts w:ascii="Segoe UI" w:eastAsiaTheme="minorHAnsi" w:hAnsi="Segoe UI" w:cs="Segoe UI"/>
          <w:bCs/>
          <w:sz w:val="28"/>
          <w:szCs w:val="28"/>
        </w:rPr>
        <w:t>irettiva 2013/34/UE</w:t>
      </w:r>
      <w:bookmarkEnd w:id="11"/>
    </w:p>
    <w:p w14:paraId="1B9E3367" w14:textId="20F019A6" w:rsidR="00935B27" w:rsidRPr="0062207D" w:rsidRDefault="00432A58" w:rsidP="00E10D4A">
      <w:pPr>
        <w:spacing w:before="120" w:after="120" w:line="240" w:lineRule="auto"/>
        <w:jc w:val="both"/>
        <w:rPr>
          <w:rFonts w:ascii="Segoe UI" w:hAnsi="Segoe UI" w:cs="Segoe UI"/>
          <w:szCs w:val="20"/>
        </w:rPr>
      </w:pPr>
      <w:r w:rsidRPr="0062207D">
        <w:rPr>
          <w:rFonts w:ascii="Segoe UI" w:hAnsi="Segoe UI" w:cs="Segoe UI"/>
          <w:szCs w:val="20"/>
        </w:rPr>
        <w:t xml:space="preserve">Con riguardo alla rendicontazione finanziaria, </w:t>
      </w:r>
      <w:r w:rsidR="000C5E74" w:rsidRPr="0062207D">
        <w:rPr>
          <w:rFonts w:ascii="Segoe UI" w:hAnsi="Segoe UI" w:cs="Segoe UI"/>
          <w:szCs w:val="20"/>
        </w:rPr>
        <w:t xml:space="preserve">nell’ambito normativo dell’Unione europea, </w:t>
      </w:r>
      <w:r w:rsidR="00935B27" w:rsidRPr="0062207D">
        <w:rPr>
          <w:rFonts w:ascii="Segoe UI" w:hAnsi="Segoe UI" w:cs="Segoe UI"/>
          <w:szCs w:val="20"/>
        </w:rPr>
        <w:t>il concetto di “</w:t>
      </w:r>
      <w:r w:rsidR="000C5E74" w:rsidRPr="0062207D">
        <w:rPr>
          <w:rFonts w:ascii="Segoe UI" w:hAnsi="Segoe UI" w:cs="Segoe UI"/>
          <w:i/>
          <w:szCs w:val="20"/>
        </w:rPr>
        <w:t>m</w:t>
      </w:r>
      <w:r w:rsidRPr="0062207D">
        <w:rPr>
          <w:rFonts w:ascii="Segoe UI" w:hAnsi="Segoe UI" w:cs="Segoe UI"/>
          <w:i/>
          <w:szCs w:val="20"/>
        </w:rPr>
        <w:t>ateriality</w:t>
      </w:r>
      <w:r w:rsidR="00935B27" w:rsidRPr="0062207D">
        <w:rPr>
          <w:rFonts w:ascii="Segoe UI" w:hAnsi="Segoe UI" w:cs="Segoe UI"/>
          <w:szCs w:val="20"/>
        </w:rPr>
        <w:t>”</w:t>
      </w:r>
      <w:r w:rsidR="0011479F" w:rsidRPr="0062207D">
        <w:rPr>
          <w:rFonts w:ascii="Segoe UI" w:hAnsi="Segoe UI" w:cs="Segoe UI"/>
          <w:szCs w:val="20"/>
        </w:rPr>
        <w:t xml:space="preserve"> e i termini “</w:t>
      </w:r>
      <w:r w:rsidR="0011479F" w:rsidRPr="0062207D">
        <w:rPr>
          <w:rFonts w:ascii="Segoe UI" w:hAnsi="Segoe UI" w:cs="Segoe UI"/>
          <w:i/>
          <w:szCs w:val="20"/>
        </w:rPr>
        <w:t>material</w:t>
      </w:r>
      <w:r w:rsidR="0011479F" w:rsidRPr="00AE2131">
        <w:rPr>
          <w:rFonts w:ascii="Segoe UI" w:hAnsi="Segoe UI" w:cs="Segoe UI"/>
          <w:szCs w:val="20"/>
        </w:rPr>
        <w:t>”</w:t>
      </w:r>
      <w:r w:rsidR="0011479F" w:rsidRPr="0062207D">
        <w:rPr>
          <w:rFonts w:ascii="Segoe UI" w:hAnsi="Segoe UI" w:cs="Segoe UI"/>
          <w:szCs w:val="20"/>
        </w:rPr>
        <w:t xml:space="preserve"> e “</w:t>
      </w:r>
      <w:r w:rsidR="0011479F" w:rsidRPr="0062207D">
        <w:rPr>
          <w:rFonts w:ascii="Segoe UI" w:hAnsi="Segoe UI" w:cs="Segoe UI"/>
          <w:i/>
          <w:szCs w:val="20"/>
        </w:rPr>
        <w:t>relevant</w:t>
      </w:r>
      <w:r w:rsidR="0011479F" w:rsidRPr="0062207D">
        <w:rPr>
          <w:rFonts w:ascii="Segoe UI" w:hAnsi="Segoe UI" w:cs="Segoe UI"/>
          <w:szCs w:val="20"/>
        </w:rPr>
        <w:t xml:space="preserve">” sono variamente </w:t>
      </w:r>
      <w:r w:rsidR="00935B27" w:rsidRPr="0062207D">
        <w:rPr>
          <w:rFonts w:ascii="Segoe UI" w:hAnsi="Segoe UI" w:cs="Segoe UI"/>
          <w:szCs w:val="20"/>
        </w:rPr>
        <w:t>esplicitat</w:t>
      </w:r>
      <w:r w:rsidR="0011479F" w:rsidRPr="0062207D">
        <w:rPr>
          <w:rFonts w:ascii="Segoe UI" w:hAnsi="Segoe UI" w:cs="Segoe UI"/>
          <w:szCs w:val="20"/>
        </w:rPr>
        <w:t xml:space="preserve">i o adottati </w:t>
      </w:r>
      <w:r w:rsidR="00935B27" w:rsidRPr="0062207D">
        <w:rPr>
          <w:rFonts w:ascii="Segoe UI" w:hAnsi="Segoe UI" w:cs="Segoe UI"/>
          <w:szCs w:val="20"/>
        </w:rPr>
        <w:t>nella direttiva 2013/34/UE.</w:t>
      </w:r>
    </w:p>
    <w:p w14:paraId="6DA6B649" w14:textId="77777777" w:rsidR="008F338B" w:rsidRDefault="008F338B" w:rsidP="00E10D4A">
      <w:pPr>
        <w:spacing w:before="120" w:after="120" w:line="240" w:lineRule="auto"/>
        <w:jc w:val="both"/>
        <w:rPr>
          <w:rFonts w:ascii="Segoe UI" w:hAnsi="Segoe UI" w:cs="Segoe UI"/>
          <w:szCs w:val="20"/>
        </w:rPr>
      </w:pPr>
    </w:p>
    <w:p w14:paraId="5828F496" w14:textId="77777777" w:rsidR="00564B61" w:rsidRDefault="00564B61" w:rsidP="00E10D4A">
      <w:pPr>
        <w:spacing w:before="120" w:after="120" w:line="240" w:lineRule="auto"/>
        <w:jc w:val="both"/>
        <w:rPr>
          <w:rFonts w:ascii="Segoe UI" w:hAnsi="Segoe UI" w:cs="Segoe UI"/>
          <w:noProof/>
          <w:szCs w:val="20"/>
          <w:lang w:eastAsia="it-IT"/>
        </w:rPr>
      </w:pPr>
    </w:p>
    <w:p w14:paraId="06AE6A4A" w14:textId="1EF396DE" w:rsidR="0080248C" w:rsidRPr="00564B61" w:rsidRDefault="00D72811" w:rsidP="00564B61">
      <w:pPr>
        <w:keepNext/>
        <w:keepLines/>
        <w:tabs>
          <w:tab w:val="left" w:pos="284"/>
        </w:tabs>
        <w:spacing w:before="120" w:after="120" w:line="240" w:lineRule="auto"/>
        <w:jc w:val="both"/>
        <w:rPr>
          <w:rFonts w:ascii="Segoe UI" w:hAnsi="Segoe UI" w:cs="Segoe UI"/>
          <w:szCs w:val="20"/>
        </w:rPr>
      </w:pPr>
      <w:r>
        <w:rPr>
          <w:rFonts w:ascii="Segoe UI" w:hAnsi="Segoe UI" w:cs="Segoe UI"/>
          <w:szCs w:val="20"/>
        </w:rPr>
        <w:t>A</w:t>
      </w:r>
      <w:r w:rsidR="00564B61">
        <w:rPr>
          <w:rFonts w:ascii="Segoe UI" w:hAnsi="Segoe UI" w:cs="Segoe UI"/>
          <w:szCs w:val="20"/>
        </w:rPr>
        <w:t>.</w:t>
      </w:r>
      <w:r w:rsidR="00564B61">
        <w:rPr>
          <w:rFonts w:ascii="Segoe UI" w:hAnsi="Segoe UI" w:cs="Segoe UI"/>
          <w:szCs w:val="20"/>
        </w:rPr>
        <w:tab/>
      </w:r>
      <w:r w:rsidR="0080248C" w:rsidRPr="00EE1972">
        <w:rPr>
          <w:rFonts w:ascii="Segoe UI" w:hAnsi="Segoe UI" w:cs="Segoe UI"/>
          <w:i/>
          <w:szCs w:val="20"/>
        </w:rPr>
        <w:t>Relevant</w:t>
      </w:r>
    </w:p>
    <w:p w14:paraId="755E754E" w14:textId="77777777" w:rsidR="0080248C" w:rsidRDefault="0080248C" w:rsidP="0080248C">
      <w:pPr>
        <w:keepNext/>
        <w:keepLines/>
        <w:spacing w:before="120" w:after="120" w:line="240" w:lineRule="auto"/>
        <w:jc w:val="both"/>
        <w:rPr>
          <w:rFonts w:ascii="Segoe UI" w:hAnsi="Segoe UI" w:cs="Segoe UI"/>
          <w:noProof/>
          <w:szCs w:val="20"/>
          <w:lang w:eastAsia="it-IT"/>
        </w:rPr>
      </w:pPr>
    </w:p>
    <w:p w14:paraId="11BC7CDD" w14:textId="3894BA3B" w:rsidR="00EB3E68" w:rsidRDefault="007041A8" w:rsidP="00E10D4A">
      <w:pPr>
        <w:keepNext/>
        <w:keepLines/>
        <w:spacing w:before="120" w:after="120" w:line="240" w:lineRule="auto"/>
        <w:jc w:val="both"/>
        <w:rPr>
          <w:rFonts w:ascii="Segoe UI" w:hAnsi="Segoe UI" w:cs="Segoe UI"/>
          <w:szCs w:val="20"/>
        </w:rPr>
      </w:pPr>
      <w:r>
        <w:rPr>
          <w:rFonts w:ascii="Segoe UI" w:hAnsi="Segoe UI" w:cs="Segoe UI"/>
          <w:szCs w:val="20"/>
        </w:rPr>
        <w:t>Traduzione</w:t>
      </w:r>
      <w:r w:rsidR="00337A01">
        <w:rPr>
          <w:rFonts w:ascii="Segoe UI" w:hAnsi="Segoe UI" w:cs="Segoe UI"/>
          <w:szCs w:val="20"/>
        </w:rPr>
        <w:t>:</w:t>
      </w:r>
      <w:r>
        <w:rPr>
          <w:rFonts w:ascii="Segoe UI" w:hAnsi="Segoe UI" w:cs="Segoe UI"/>
          <w:szCs w:val="20"/>
        </w:rPr>
        <w:t xml:space="preserve"> opzione </w:t>
      </w:r>
      <w:r w:rsidR="0080248C">
        <w:rPr>
          <w:rFonts w:ascii="Segoe UI" w:hAnsi="Segoe UI" w:cs="Segoe UI"/>
          <w:szCs w:val="20"/>
        </w:rPr>
        <w:t>1</w:t>
      </w:r>
      <w:r>
        <w:rPr>
          <w:rFonts w:ascii="Segoe UI" w:hAnsi="Segoe UI" w:cs="Segoe UI"/>
          <w:szCs w:val="20"/>
        </w:rPr>
        <w:t xml:space="preserve"> / </w:t>
      </w:r>
      <w:r w:rsidR="00BD2F81">
        <w:rPr>
          <w:rFonts w:ascii="Segoe UI" w:hAnsi="Segoe UI" w:cs="Segoe UI"/>
          <w:szCs w:val="20"/>
        </w:rPr>
        <w:t>A</w:t>
      </w:r>
      <w:r>
        <w:rPr>
          <w:rFonts w:ascii="Segoe UI" w:hAnsi="Segoe UI" w:cs="Segoe UI"/>
          <w:szCs w:val="20"/>
        </w:rPr>
        <w:t>ccezione</w:t>
      </w:r>
      <w:r w:rsidR="00337A01">
        <w:rPr>
          <w:rFonts w:ascii="Segoe UI" w:hAnsi="Segoe UI" w:cs="Segoe UI"/>
          <w:szCs w:val="20"/>
        </w:rPr>
        <w:t>: opzione</w:t>
      </w:r>
      <w:r>
        <w:rPr>
          <w:rFonts w:ascii="Segoe UI" w:hAnsi="Segoe UI" w:cs="Segoe UI"/>
          <w:szCs w:val="20"/>
        </w:rPr>
        <w:t xml:space="preserve"> </w:t>
      </w:r>
      <w:r w:rsidR="0080248C">
        <w:rPr>
          <w:rFonts w:ascii="Segoe UI" w:hAnsi="Segoe UI" w:cs="Segoe UI"/>
          <w:szCs w:val="20"/>
        </w:rPr>
        <w:t>1</w:t>
      </w:r>
    </w:p>
    <w:p w14:paraId="464188D3" w14:textId="7FD7A05D" w:rsidR="005B6C3B" w:rsidRPr="0062207D" w:rsidRDefault="00E63374" w:rsidP="00E10D4A">
      <w:pPr>
        <w:keepNext/>
        <w:keepLines/>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I</w:t>
      </w:r>
      <w:r w:rsidR="004326C0" w:rsidRPr="0062207D">
        <w:rPr>
          <w:rFonts w:ascii="Segoe UI" w:hAnsi="Segoe UI" w:cs="Segoe UI"/>
          <w:noProof/>
          <w:szCs w:val="20"/>
          <w:lang w:eastAsia="it-IT"/>
        </w:rPr>
        <w:t>l termine “</w:t>
      </w:r>
      <w:r w:rsidR="004326C0" w:rsidRPr="0062207D">
        <w:rPr>
          <w:rFonts w:ascii="Segoe UI" w:hAnsi="Segoe UI" w:cs="Segoe UI"/>
          <w:i/>
          <w:noProof/>
          <w:szCs w:val="20"/>
          <w:lang w:eastAsia="it-IT"/>
        </w:rPr>
        <w:t>relevant</w:t>
      </w:r>
      <w:r w:rsidR="004326C0" w:rsidRPr="0062207D">
        <w:rPr>
          <w:rFonts w:ascii="Segoe UI" w:hAnsi="Segoe UI" w:cs="Segoe UI"/>
          <w:noProof/>
          <w:szCs w:val="20"/>
          <w:lang w:eastAsia="it-IT"/>
        </w:rPr>
        <w:t xml:space="preserve">” è utilizzato </w:t>
      </w:r>
      <w:r w:rsidR="008D4D34" w:rsidRPr="0062207D">
        <w:rPr>
          <w:rFonts w:ascii="Segoe UI" w:hAnsi="Segoe UI" w:cs="Segoe UI"/>
          <w:noProof/>
          <w:szCs w:val="20"/>
          <w:lang w:eastAsia="it-IT"/>
        </w:rPr>
        <w:t xml:space="preserve">diverse volte </w:t>
      </w:r>
      <w:r w:rsidR="004326C0" w:rsidRPr="0062207D">
        <w:rPr>
          <w:rFonts w:ascii="Segoe UI" w:hAnsi="Segoe UI" w:cs="Segoe UI"/>
          <w:noProof/>
          <w:szCs w:val="20"/>
          <w:lang w:eastAsia="it-IT"/>
        </w:rPr>
        <w:t xml:space="preserve">nella </w:t>
      </w:r>
      <w:r w:rsidR="008D4D34" w:rsidRPr="0062207D">
        <w:rPr>
          <w:rFonts w:ascii="Segoe UI" w:hAnsi="Segoe UI" w:cs="Segoe UI"/>
          <w:noProof/>
          <w:szCs w:val="20"/>
          <w:lang w:eastAsia="it-IT"/>
        </w:rPr>
        <w:t>di</w:t>
      </w:r>
      <w:r w:rsidR="004326C0" w:rsidRPr="0062207D">
        <w:rPr>
          <w:rFonts w:ascii="Segoe UI" w:hAnsi="Segoe UI" w:cs="Segoe UI"/>
          <w:noProof/>
          <w:szCs w:val="20"/>
          <w:lang w:eastAsia="it-IT"/>
        </w:rPr>
        <w:t>rettiva 2013/34/UE</w:t>
      </w:r>
      <w:r w:rsidR="008D4D34" w:rsidRPr="0062207D">
        <w:rPr>
          <w:rFonts w:ascii="Segoe UI" w:hAnsi="Segoe UI" w:cs="Segoe UI"/>
          <w:noProof/>
          <w:szCs w:val="20"/>
          <w:lang w:eastAsia="it-IT"/>
        </w:rPr>
        <w:t>. Nell’articolato normativo, per tutte, nella versione inglese, l’art</w:t>
      </w:r>
      <w:r w:rsidR="003C3C06">
        <w:rPr>
          <w:rFonts w:ascii="Segoe UI" w:hAnsi="Segoe UI" w:cs="Segoe UI"/>
          <w:noProof/>
          <w:szCs w:val="20"/>
          <w:lang w:eastAsia="it-IT"/>
        </w:rPr>
        <w:t>.</w:t>
      </w:r>
      <w:r w:rsidR="008D4D34" w:rsidRPr="0062207D">
        <w:rPr>
          <w:rFonts w:ascii="Segoe UI" w:hAnsi="Segoe UI" w:cs="Segoe UI"/>
          <w:noProof/>
          <w:szCs w:val="20"/>
          <w:lang w:eastAsia="it-IT"/>
        </w:rPr>
        <w:t xml:space="preserve"> 19, </w:t>
      </w:r>
      <w:r w:rsidR="008D4D34" w:rsidRPr="0046221A">
        <w:rPr>
          <w:rFonts w:ascii="Segoe UI" w:hAnsi="Segoe UI" w:cs="Segoe UI"/>
          <w:noProof/>
          <w:szCs w:val="20"/>
          <w:lang w:eastAsia="it-IT"/>
        </w:rPr>
        <w:t>“</w:t>
      </w:r>
      <w:r w:rsidR="005B6C3B" w:rsidRPr="0046221A">
        <w:rPr>
          <w:rFonts w:ascii="Segoe UI" w:hAnsi="Segoe UI" w:cs="Segoe UI"/>
          <w:noProof/>
          <w:szCs w:val="20"/>
          <w:lang w:eastAsia="it-IT"/>
        </w:rPr>
        <w:t>Contents of the management report</w:t>
      </w:r>
      <w:r w:rsidR="008D4D34" w:rsidRPr="0046221A">
        <w:rPr>
          <w:rFonts w:ascii="Segoe UI" w:hAnsi="Segoe UI" w:cs="Segoe UI"/>
          <w:noProof/>
          <w:szCs w:val="20"/>
          <w:lang w:eastAsia="it-IT"/>
        </w:rPr>
        <w:t>”</w:t>
      </w:r>
      <w:r w:rsidR="008D4D34" w:rsidRPr="0062207D">
        <w:rPr>
          <w:rFonts w:ascii="Segoe UI" w:hAnsi="Segoe UI" w:cs="Segoe UI"/>
          <w:noProof/>
          <w:szCs w:val="20"/>
          <w:lang w:eastAsia="it-IT"/>
        </w:rPr>
        <w:t>, co</w:t>
      </w:r>
      <w:r w:rsidR="00EE1972">
        <w:rPr>
          <w:rFonts w:ascii="Segoe UI" w:hAnsi="Segoe UI" w:cs="Segoe UI"/>
          <w:noProof/>
          <w:szCs w:val="20"/>
          <w:lang w:eastAsia="it-IT"/>
        </w:rPr>
        <w:t>.</w:t>
      </w:r>
      <w:r w:rsidR="008D4D34" w:rsidRPr="0062207D">
        <w:rPr>
          <w:rFonts w:ascii="Segoe UI" w:hAnsi="Segoe UI" w:cs="Segoe UI"/>
          <w:noProof/>
          <w:szCs w:val="20"/>
          <w:lang w:eastAsia="it-IT"/>
        </w:rPr>
        <w:t xml:space="preserve"> 1, recita:</w:t>
      </w:r>
    </w:p>
    <w:p w14:paraId="5167A674" w14:textId="14FDE717" w:rsidR="005B6C3B" w:rsidRPr="00D92BFB" w:rsidRDefault="008D4D34" w:rsidP="00FA38F1">
      <w:pPr>
        <w:spacing w:before="120" w:after="120" w:line="240" w:lineRule="auto"/>
        <w:ind w:left="284" w:right="284"/>
        <w:jc w:val="both"/>
        <w:rPr>
          <w:rFonts w:ascii="Segoe UI" w:hAnsi="Segoe UI" w:cs="Segoe UI"/>
          <w:color w:val="525252" w:themeColor="accent3" w:themeShade="80"/>
          <w:sz w:val="20"/>
          <w:szCs w:val="20"/>
        </w:rPr>
      </w:pPr>
      <w:r w:rsidRPr="0066557C">
        <w:rPr>
          <w:rFonts w:ascii="Segoe UI" w:hAnsi="Segoe UI" w:cs="Segoe UI"/>
          <w:color w:val="525252" w:themeColor="accent3" w:themeShade="80"/>
          <w:sz w:val="20"/>
          <w:szCs w:val="20"/>
          <w:lang w:val="en-US"/>
        </w:rPr>
        <w:t>“[...]</w:t>
      </w:r>
      <w:r w:rsidRPr="00FA38F1">
        <w:rPr>
          <w:rFonts w:ascii="Segoe UI" w:hAnsi="Segoe UI" w:cs="Segoe UI"/>
          <w:i/>
          <w:color w:val="525252" w:themeColor="accent3" w:themeShade="80"/>
          <w:sz w:val="20"/>
          <w:szCs w:val="20"/>
          <w:lang w:val="en-US"/>
        </w:rPr>
        <w:t xml:space="preserve"> </w:t>
      </w:r>
      <w:r w:rsidR="005B6C3B" w:rsidRPr="00FA38F1">
        <w:rPr>
          <w:rFonts w:ascii="Segoe UI" w:hAnsi="Segoe UI" w:cs="Segoe UI"/>
          <w:i/>
          <w:color w:val="525252" w:themeColor="accent3" w:themeShade="80"/>
          <w:sz w:val="20"/>
          <w:szCs w:val="20"/>
          <w:lang w:val="en-US"/>
        </w:rPr>
        <w:t>To the extent necessary for an understanding of the undertaking's development, performance or position, the analysis shall include both financial and, where appropriate, non- financial key performance indicators relevant to the particular business, including information relating to environmental and employee matters</w:t>
      </w:r>
      <w:r w:rsidR="005B6C3B" w:rsidRPr="0066557C">
        <w:rPr>
          <w:rFonts w:ascii="Segoe UI" w:hAnsi="Segoe UI" w:cs="Segoe UI"/>
          <w:i/>
          <w:color w:val="525252" w:themeColor="accent3" w:themeShade="80"/>
          <w:sz w:val="20"/>
          <w:szCs w:val="20"/>
          <w:lang w:val="en-US"/>
        </w:rPr>
        <w:t>.</w:t>
      </w:r>
      <w:r w:rsidRPr="0066557C">
        <w:rPr>
          <w:rFonts w:ascii="Segoe UI" w:hAnsi="Segoe UI" w:cs="Segoe UI"/>
          <w:color w:val="525252" w:themeColor="accent3" w:themeShade="80"/>
          <w:sz w:val="20"/>
          <w:szCs w:val="20"/>
          <w:lang w:val="en-US"/>
        </w:rPr>
        <w:t xml:space="preserve"> </w:t>
      </w:r>
      <w:r w:rsidRPr="00D92BFB">
        <w:rPr>
          <w:rFonts w:ascii="Segoe UI" w:hAnsi="Segoe UI" w:cs="Segoe UI"/>
          <w:color w:val="525252" w:themeColor="accent3" w:themeShade="80"/>
          <w:sz w:val="20"/>
          <w:szCs w:val="20"/>
        </w:rPr>
        <w:t>[...]”.</w:t>
      </w:r>
    </w:p>
    <w:p w14:paraId="6FF73816" w14:textId="4F5F503F" w:rsidR="005B6C3B" w:rsidRPr="0062207D" w:rsidRDefault="008D4D34" w:rsidP="00E10D4A">
      <w:pPr>
        <w:keepNext/>
        <w:keepLines/>
        <w:spacing w:before="120" w:after="120" w:line="240" w:lineRule="auto"/>
        <w:jc w:val="both"/>
        <w:rPr>
          <w:rFonts w:ascii="Segoe UI" w:hAnsi="Segoe UI" w:cs="Segoe UI"/>
          <w:i/>
          <w:szCs w:val="20"/>
        </w:rPr>
      </w:pPr>
      <w:r w:rsidRPr="0062207D">
        <w:rPr>
          <w:rFonts w:ascii="Segoe UI" w:hAnsi="Segoe UI" w:cs="Segoe UI"/>
          <w:noProof/>
          <w:szCs w:val="20"/>
          <w:lang w:eastAsia="it-IT"/>
        </w:rPr>
        <w:t>Nella versione italiana, l’art</w:t>
      </w:r>
      <w:r w:rsidR="005C40A3">
        <w:rPr>
          <w:rFonts w:ascii="Segoe UI" w:hAnsi="Segoe UI" w:cs="Segoe UI"/>
          <w:noProof/>
          <w:szCs w:val="20"/>
          <w:lang w:eastAsia="it-IT"/>
        </w:rPr>
        <w:t>.</w:t>
      </w:r>
      <w:r w:rsidRPr="0062207D">
        <w:rPr>
          <w:rFonts w:ascii="Segoe UI" w:hAnsi="Segoe UI" w:cs="Segoe UI"/>
          <w:noProof/>
          <w:szCs w:val="20"/>
          <w:lang w:eastAsia="it-IT"/>
        </w:rPr>
        <w:t xml:space="preserve"> 19, “</w:t>
      </w:r>
      <w:r w:rsidRPr="0062207D">
        <w:rPr>
          <w:rFonts w:ascii="Segoe UI" w:hAnsi="Segoe UI" w:cs="Segoe UI"/>
          <w:bCs/>
          <w:color w:val="000000"/>
          <w:szCs w:val="20"/>
          <w:lang w:eastAsia="it-IT"/>
        </w:rPr>
        <w:t>Contenuto della relazione sulla gestione”</w:t>
      </w:r>
      <w:r w:rsidRPr="0062207D">
        <w:rPr>
          <w:rFonts w:ascii="Segoe UI" w:hAnsi="Segoe UI" w:cs="Segoe UI"/>
          <w:noProof/>
          <w:szCs w:val="20"/>
          <w:lang w:eastAsia="it-IT"/>
        </w:rPr>
        <w:t>, co</w:t>
      </w:r>
      <w:r w:rsidR="00C501F5">
        <w:rPr>
          <w:rFonts w:ascii="Segoe UI" w:hAnsi="Segoe UI" w:cs="Segoe UI"/>
          <w:noProof/>
          <w:szCs w:val="20"/>
          <w:lang w:eastAsia="it-IT"/>
        </w:rPr>
        <w:t>.</w:t>
      </w:r>
      <w:r w:rsidRPr="0062207D">
        <w:rPr>
          <w:rFonts w:ascii="Segoe UI" w:hAnsi="Segoe UI" w:cs="Segoe UI"/>
          <w:noProof/>
          <w:szCs w:val="20"/>
          <w:lang w:eastAsia="it-IT"/>
        </w:rPr>
        <w:t xml:space="preserve"> 1, recita:</w:t>
      </w:r>
    </w:p>
    <w:p w14:paraId="7C399D4C" w14:textId="5DFE19EF" w:rsidR="005B6C3B" w:rsidRPr="00B9065C" w:rsidRDefault="008D4D34" w:rsidP="00FA38F1">
      <w:pPr>
        <w:spacing w:before="120" w:after="120" w:line="240" w:lineRule="auto"/>
        <w:ind w:left="284" w:right="284"/>
        <w:jc w:val="both"/>
        <w:rPr>
          <w:rFonts w:ascii="Segoe UI" w:hAnsi="Segoe UI" w:cs="Segoe UI"/>
          <w:i/>
          <w:color w:val="525252" w:themeColor="accent3" w:themeShade="80"/>
          <w:sz w:val="20"/>
          <w:szCs w:val="20"/>
        </w:rPr>
      </w:pPr>
      <w:r w:rsidRPr="0066557C">
        <w:rPr>
          <w:rFonts w:ascii="Segoe UI" w:hAnsi="Segoe UI" w:cs="Segoe UI"/>
          <w:color w:val="525252" w:themeColor="accent3" w:themeShade="80"/>
          <w:sz w:val="20"/>
          <w:szCs w:val="20"/>
        </w:rPr>
        <w:t>“[...]</w:t>
      </w:r>
      <w:r w:rsidRPr="007F5442">
        <w:rPr>
          <w:rFonts w:ascii="Segoe UI" w:hAnsi="Segoe UI" w:cs="Segoe UI"/>
          <w:i/>
          <w:color w:val="525252" w:themeColor="accent3" w:themeShade="80"/>
          <w:sz w:val="20"/>
          <w:szCs w:val="20"/>
        </w:rPr>
        <w:t xml:space="preserve"> </w:t>
      </w:r>
      <w:r w:rsidR="005B6C3B" w:rsidRPr="007F5442">
        <w:rPr>
          <w:rFonts w:ascii="Segoe UI" w:hAnsi="Segoe UI" w:cs="Segoe UI"/>
          <w:i/>
          <w:color w:val="525252" w:themeColor="accent3" w:themeShade="80"/>
          <w:sz w:val="20"/>
          <w:szCs w:val="20"/>
        </w:rPr>
        <w:t>L'analisi comporta, nella misura necessaria alla comprensione dell'andamento, dei risultati dell’attività o della situazione dell'impresa, sia i fondamentali indicatori di risultato finanziari sia, se del caso, quelli non finanziari pertinenti per l'attività specifica dell'impresa, comprese le informazioni attinenti all'ambiente e al personale.</w:t>
      </w:r>
      <w:r w:rsidRPr="0066557C">
        <w:rPr>
          <w:rFonts w:ascii="Segoe UI" w:hAnsi="Segoe UI" w:cs="Segoe UI"/>
          <w:color w:val="525252" w:themeColor="accent3" w:themeShade="80"/>
          <w:sz w:val="20"/>
          <w:szCs w:val="20"/>
        </w:rPr>
        <w:t xml:space="preserve"> [...]”.</w:t>
      </w:r>
    </w:p>
    <w:p w14:paraId="73BB439C" w14:textId="0356BE47" w:rsidR="008F338B" w:rsidRDefault="00AE415C" w:rsidP="00E10D4A">
      <w:pPr>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Conclusione:</w:t>
      </w:r>
      <w:r w:rsidR="00E63374" w:rsidRPr="0062207D">
        <w:rPr>
          <w:rFonts w:ascii="Segoe UI" w:hAnsi="Segoe UI" w:cs="Segoe UI"/>
          <w:noProof/>
          <w:szCs w:val="20"/>
          <w:lang w:eastAsia="it-IT"/>
        </w:rPr>
        <w:t xml:space="preserve"> in questo contesto, il termine “</w:t>
      </w:r>
      <w:r w:rsidR="00E63374" w:rsidRPr="0062207D">
        <w:rPr>
          <w:rFonts w:ascii="Segoe UI" w:hAnsi="Segoe UI" w:cs="Segoe UI"/>
          <w:b/>
          <w:i/>
          <w:noProof/>
          <w:szCs w:val="20"/>
          <w:lang w:eastAsia="it-IT"/>
        </w:rPr>
        <w:t>relevant</w:t>
      </w:r>
      <w:r w:rsidR="00E63374" w:rsidRPr="0062207D">
        <w:rPr>
          <w:rFonts w:ascii="Segoe UI" w:hAnsi="Segoe UI" w:cs="Segoe UI"/>
          <w:noProof/>
          <w:szCs w:val="20"/>
          <w:lang w:eastAsia="it-IT"/>
        </w:rPr>
        <w:t>” corrisponde al termine “</w:t>
      </w:r>
      <w:r w:rsidR="00E63374" w:rsidRPr="0062207D">
        <w:rPr>
          <w:rFonts w:ascii="Segoe UI" w:hAnsi="Segoe UI" w:cs="Segoe UI"/>
          <w:b/>
          <w:noProof/>
          <w:szCs w:val="20"/>
          <w:lang w:eastAsia="it-IT"/>
        </w:rPr>
        <w:t>pertinente</w:t>
      </w:r>
      <w:r w:rsidR="00E63374" w:rsidRPr="0062207D">
        <w:rPr>
          <w:rFonts w:ascii="Segoe UI" w:hAnsi="Segoe UI" w:cs="Segoe UI"/>
          <w:noProof/>
          <w:szCs w:val="20"/>
          <w:lang w:eastAsia="it-IT"/>
        </w:rPr>
        <w:t xml:space="preserve">“ e, per estensione, il concetto di </w:t>
      </w:r>
      <w:r w:rsidR="00E63374" w:rsidRPr="00F855BF">
        <w:rPr>
          <w:rFonts w:ascii="Segoe UI" w:hAnsi="Segoe UI" w:cs="Segoe UI"/>
          <w:noProof/>
          <w:szCs w:val="20"/>
          <w:lang w:eastAsia="it-IT"/>
        </w:rPr>
        <w:t>“</w:t>
      </w:r>
      <w:r w:rsidR="00E63374" w:rsidRPr="00F855BF">
        <w:rPr>
          <w:rFonts w:ascii="Segoe UI" w:hAnsi="Segoe UI" w:cs="Segoe UI"/>
          <w:i/>
          <w:noProof/>
          <w:szCs w:val="20"/>
          <w:lang w:eastAsia="it-IT"/>
        </w:rPr>
        <w:t>relevance</w:t>
      </w:r>
      <w:r w:rsidR="00E63374" w:rsidRPr="0062207D">
        <w:rPr>
          <w:rFonts w:ascii="Segoe UI" w:hAnsi="Segoe UI" w:cs="Segoe UI"/>
          <w:noProof/>
          <w:szCs w:val="20"/>
          <w:lang w:eastAsia="it-IT"/>
        </w:rPr>
        <w:t xml:space="preserve">” corrisponderebbe a quello di </w:t>
      </w:r>
      <w:r w:rsidR="00EA4017" w:rsidRPr="0062207D">
        <w:rPr>
          <w:rFonts w:ascii="Segoe UI" w:hAnsi="Segoe UI" w:cs="Segoe UI"/>
          <w:noProof/>
          <w:szCs w:val="20"/>
          <w:lang w:eastAsia="it-IT"/>
        </w:rPr>
        <w:t>“</w:t>
      </w:r>
      <w:r w:rsidR="00E63374" w:rsidRPr="00F855BF">
        <w:rPr>
          <w:rFonts w:ascii="Segoe UI" w:hAnsi="Segoe UI" w:cs="Segoe UI"/>
          <w:noProof/>
          <w:szCs w:val="20"/>
          <w:lang w:eastAsia="it-IT"/>
        </w:rPr>
        <w:t>pertinenza</w:t>
      </w:r>
      <w:r w:rsidR="00EA4017" w:rsidRPr="0062207D">
        <w:rPr>
          <w:rFonts w:ascii="Segoe UI" w:hAnsi="Segoe UI" w:cs="Segoe UI"/>
          <w:noProof/>
          <w:szCs w:val="20"/>
          <w:lang w:eastAsia="it-IT"/>
        </w:rPr>
        <w:t>” (nel senso di relazione, attinenza, inerenza)</w:t>
      </w:r>
      <w:r w:rsidR="00E63374" w:rsidRPr="0062207D">
        <w:rPr>
          <w:rFonts w:ascii="Segoe UI" w:hAnsi="Segoe UI" w:cs="Segoe UI"/>
          <w:noProof/>
          <w:szCs w:val="20"/>
          <w:lang w:eastAsia="it-IT"/>
        </w:rPr>
        <w:t>.</w:t>
      </w:r>
    </w:p>
    <w:p w14:paraId="0EF51307" w14:textId="77777777" w:rsidR="0046221A" w:rsidRPr="0062207D" w:rsidRDefault="0046221A" w:rsidP="00E10D4A">
      <w:pPr>
        <w:spacing w:before="120" w:after="120" w:line="240" w:lineRule="auto"/>
        <w:jc w:val="both"/>
        <w:rPr>
          <w:rFonts w:ascii="Segoe UI" w:hAnsi="Segoe UI" w:cs="Segoe UI"/>
          <w:noProof/>
          <w:szCs w:val="20"/>
          <w:lang w:eastAsia="it-IT"/>
        </w:rPr>
      </w:pPr>
    </w:p>
    <w:p w14:paraId="3D031B7D" w14:textId="450E7D68" w:rsidR="00EB3E68" w:rsidRDefault="007041A8" w:rsidP="00E10D4A">
      <w:pPr>
        <w:keepNext/>
        <w:keepLines/>
        <w:spacing w:before="120" w:after="120" w:line="240" w:lineRule="auto"/>
        <w:jc w:val="both"/>
        <w:rPr>
          <w:rFonts w:ascii="Segoe UI" w:hAnsi="Segoe UI" w:cs="Segoe UI"/>
          <w:szCs w:val="20"/>
        </w:rPr>
      </w:pPr>
      <w:r>
        <w:rPr>
          <w:rFonts w:ascii="Segoe UI" w:hAnsi="Segoe UI" w:cs="Segoe UI"/>
          <w:szCs w:val="20"/>
        </w:rPr>
        <w:t>Traduzione</w:t>
      </w:r>
      <w:r w:rsidR="00BD2F81">
        <w:rPr>
          <w:rFonts w:ascii="Segoe UI" w:hAnsi="Segoe UI" w:cs="Segoe UI"/>
          <w:szCs w:val="20"/>
        </w:rPr>
        <w:t>:</w:t>
      </w:r>
      <w:r>
        <w:rPr>
          <w:rFonts w:ascii="Segoe UI" w:hAnsi="Segoe UI" w:cs="Segoe UI"/>
          <w:szCs w:val="20"/>
        </w:rPr>
        <w:t xml:space="preserve"> opzione </w:t>
      </w:r>
      <w:r w:rsidR="0080248C">
        <w:rPr>
          <w:rFonts w:ascii="Segoe UI" w:hAnsi="Segoe UI" w:cs="Segoe UI"/>
          <w:szCs w:val="20"/>
        </w:rPr>
        <w:t>2</w:t>
      </w:r>
      <w:r>
        <w:rPr>
          <w:rFonts w:ascii="Segoe UI" w:hAnsi="Segoe UI" w:cs="Segoe UI"/>
          <w:szCs w:val="20"/>
        </w:rPr>
        <w:t xml:space="preserve"> / </w:t>
      </w:r>
      <w:r w:rsidR="00BD2F81">
        <w:rPr>
          <w:rFonts w:ascii="Segoe UI" w:hAnsi="Segoe UI" w:cs="Segoe UI"/>
          <w:szCs w:val="20"/>
        </w:rPr>
        <w:t>A</w:t>
      </w:r>
      <w:r>
        <w:rPr>
          <w:rFonts w:ascii="Segoe UI" w:hAnsi="Segoe UI" w:cs="Segoe UI"/>
          <w:szCs w:val="20"/>
        </w:rPr>
        <w:t>ccezione</w:t>
      </w:r>
      <w:r w:rsidR="00BD2F81">
        <w:rPr>
          <w:rFonts w:ascii="Segoe UI" w:hAnsi="Segoe UI" w:cs="Segoe UI"/>
          <w:szCs w:val="20"/>
        </w:rPr>
        <w:t>: opzione</w:t>
      </w:r>
      <w:r>
        <w:rPr>
          <w:rFonts w:ascii="Segoe UI" w:hAnsi="Segoe UI" w:cs="Segoe UI"/>
          <w:szCs w:val="20"/>
        </w:rPr>
        <w:t xml:space="preserve"> </w:t>
      </w:r>
      <w:r w:rsidR="0080248C">
        <w:rPr>
          <w:rFonts w:ascii="Segoe UI" w:hAnsi="Segoe UI" w:cs="Segoe UI"/>
          <w:szCs w:val="20"/>
        </w:rPr>
        <w:t xml:space="preserve">2 (simile a </w:t>
      </w:r>
      <w:r w:rsidR="0080248C" w:rsidRPr="00BD2F81">
        <w:rPr>
          <w:rFonts w:ascii="Segoe UI" w:hAnsi="Segoe UI" w:cs="Segoe UI"/>
          <w:szCs w:val="20"/>
        </w:rPr>
        <w:t>“</w:t>
      </w:r>
      <w:r w:rsidR="0080248C" w:rsidRPr="00EE1972">
        <w:rPr>
          <w:rFonts w:ascii="Segoe UI" w:hAnsi="Segoe UI" w:cs="Segoe UI"/>
          <w:i/>
          <w:szCs w:val="20"/>
        </w:rPr>
        <w:t>Material</w:t>
      </w:r>
      <w:r w:rsidR="0080248C" w:rsidRPr="00BD2F81">
        <w:rPr>
          <w:rFonts w:ascii="Segoe UI" w:hAnsi="Segoe UI" w:cs="Segoe UI"/>
          <w:szCs w:val="20"/>
        </w:rPr>
        <w:t>”</w:t>
      </w:r>
      <w:r w:rsidR="00BD2F81">
        <w:rPr>
          <w:rFonts w:ascii="Segoe UI" w:hAnsi="Segoe UI" w:cs="Segoe UI"/>
          <w:szCs w:val="20"/>
        </w:rPr>
        <w:t xml:space="preserve"> in A</w:t>
      </w:r>
      <w:r w:rsidR="0080248C">
        <w:rPr>
          <w:rFonts w:ascii="Segoe UI" w:hAnsi="Segoe UI" w:cs="Segoe UI"/>
          <w:szCs w:val="20"/>
        </w:rPr>
        <w:t>ccezione</w:t>
      </w:r>
      <w:r w:rsidR="00BD2F81">
        <w:rPr>
          <w:rFonts w:ascii="Segoe UI" w:hAnsi="Segoe UI" w:cs="Segoe UI"/>
          <w:szCs w:val="20"/>
        </w:rPr>
        <w:t>:</w:t>
      </w:r>
      <w:r w:rsidR="0080248C">
        <w:rPr>
          <w:rFonts w:ascii="Segoe UI" w:hAnsi="Segoe UI" w:cs="Segoe UI"/>
          <w:szCs w:val="20"/>
        </w:rPr>
        <w:t xml:space="preserve"> </w:t>
      </w:r>
      <w:r w:rsidR="00BD2F81">
        <w:rPr>
          <w:rFonts w:ascii="Segoe UI" w:hAnsi="Segoe UI" w:cs="Segoe UI"/>
          <w:szCs w:val="20"/>
        </w:rPr>
        <w:t xml:space="preserve">opzione </w:t>
      </w:r>
      <w:r w:rsidR="0080248C">
        <w:rPr>
          <w:rFonts w:ascii="Segoe UI" w:hAnsi="Segoe UI" w:cs="Segoe UI"/>
          <w:szCs w:val="20"/>
        </w:rPr>
        <w:t>1)</w:t>
      </w:r>
    </w:p>
    <w:p w14:paraId="4DA66CB7" w14:textId="1C1BBBAD" w:rsidR="008B07C6" w:rsidRPr="0062207D" w:rsidRDefault="0066557C" w:rsidP="00E10D4A">
      <w:pPr>
        <w:keepNext/>
        <w:keepLines/>
        <w:spacing w:before="120" w:after="120" w:line="240" w:lineRule="auto"/>
        <w:jc w:val="both"/>
        <w:rPr>
          <w:rFonts w:ascii="Segoe UI" w:hAnsi="Segoe UI" w:cs="Segoe UI"/>
          <w:noProof/>
          <w:szCs w:val="20"/>
          <w:lang w:eastAsia="it-IT"/>
        </w:rPr>
      </w:pPr>
      <w:r>
        <w:rPr>
          <w:rFonts w:ascii="Segoe UI" w:hAnsi="Segoe UI" w:cs="Segoe UI"/>
          <w:noProof/>
          <w:szCs w:val="20"/>
          <w:lang w:eastAsia="it-IT"/>
        </w:rPr>
        <w:t>N</w:t>
      </w:r>
      <w:r w:rsidR="008B07C6" w:rsidRPr="0062207D">
        <w:rPr>
          <w:rFonts w:ascii="Segoe UI" w:hAnsi="Segoe UI" w:cs="Segoe UI"/>
          <w:noProof/>
          <w:szCs w:val="20"/>
          <w:lang w:eastAsia="it-IT"/>
        </w:rPr>
        <w:t xml:space="preserve">on giova alla chiarezza terminologica </w:t>
      </w:r>
      <w:r w:rsidR="004E0271" w:rsidRPr="0062207D">
        <w:rPr>
          <w:rFonts w:ascii="Segoe UI" w:hAnsi="Segoe UI" w:cs="Segoe UI"/>
          <w:noProof/>
          <w:szCs w:val="20"/>
          <w:lang w:eastAsia="it-IT"/>
        </w:rPr>
        <w:t>una seconda accezione identificabile nell</w:t>
      </w:r>
      <w:r w:rsidR="008B07C6" w:rsidRPr="0062207D">
        <w:rPr>
          <w:rFonts w:ascii="Segoe UI" w:hAnsi="Segoe UI" w:cs="Segoe UI"/>
          <w:noProof/>
          <w:szCs w:val="20"/>
          <w:lang w:eastAsia="it-IT"/>
        </w:rPr>
        <w:t>’utilizzo che viene fatto del termine “</w:t>
      </w:r>
      <w:r w:rsidR="008B07C6" w:rsidRPr="0062207D">
        <w:rPr>
          <w:rFonts w:ascii="Segoe UI" w:hAnsi="Segoe UI" w:cs="Segoe UI"/>
          <w:i/>
          <w:noProof/>
          <w:szCs w:val="20"/>
          <w:lang w:eastAsia="it-IT"/>
        </w:rPr>
        <w:t>relevance</w:t>
      </w:r>
      <w:r w:rsidR="008B07C6" w:rsidRPr="0062207D">
        <w:rPr>
          <w:rFonts w:ascii="Segoe UI" w:hAnsi="Segoe UI" w:cs="Segoe UI"/>
          <w:noProof/>
          <w:szCs w:val="20"/>
          <w:lang w:eastAsia="it-IT"/>
        </w:rPr>
        <w:t xml:space="preserve">” nell’ambito dei </w:t>
      </w:r>
      <w:r w:rsidR="008B07C6" w:rsidRPr="0062207D">
        <w:rPr>
          <w:rFonts w:ascii="Segoe UI" w:hAnsi="Segoe UI" w:cs="Segoe UI"/>
          <w:i/>
          <w:noProof/>
          <w:szCs w:val="20"/>
          <w:lang w:eastAsia="it-IT"/>
        </w:rPr>
        <w:t>consideran</w:t>
      </w:r>
      <w:r>
        <w:rPr>
          <w:rFonts w:ascii="Segoe UI" w:hAnsi="Segoe UI" w:cs="Segoe UI"/>
          <w:i/>
          <w:noProof/>
          <w:szCs w:val="20"/>
          <w:lang w:eastAsia="it-IT"/>
        </w:rPr>
        <w:t>d</w:t>
      </w:r>
      <w:r w:rsidR="008B07C6" w:rsidRPr="0062207D">
        <w:rPr>
          <w:rFonts w:ascii="Segoe UI" w:hAnsi="Segoe UI" w:cs="Segoe UI"/>
          <w:i/>
          <w:noProof/>
          <w:szCs w:val="20"/>
          <w:lang w:eastAsia="it-IT"/>
        </w:rPr>
        <w:t>o</w:t>
      </w:r>
      <w:r w:rsidR="008B07C6" w:rsidRPr="0062207D">
        <w:rPr>
          <w:rFonts w:ascii="Segoe UI" w:hAnsi="Segoe UI" w:cs="Segoe UI"/>
          <w:noProof/>
          <w:szCs w:val="20"/>
          <w:lang w:eastAsia="it-IT"/>
        </w:rPr>
        <w:t xml:space="preserve"> della stessa direttiva, dove nella versione inglese, il paragrafo 19 recita:</w:t>
      </w:r>
    </w:p>
    <w:p w14:paraId="5ACD6782" w14:textId="0A5772BD" w:rsidR="004326C0" w:rsidRPr="00B9065C" w:rsidRDefault="008B07C6" w:rsidP="007F5442">
      <w:pPr>
        <w:spacing w:before="120" w:after="120" w:line="240" w:lineRule="auto"/>
        <w:ind w:left="284" w:right="284"/>
        <w:jc w:val="both"/>
        <w:rPr>
          <w:rFonts w:ascii="Segoe UI" w:hAnsi="Segoe UI" w:cs="Segoe UI"/>
          <w:i/>
          <w:color w:val="525252" w:themeColor="accent3" w:themeShade="80"/>
          <w:sz w:val="20"/>
          <w:szCs w:val="20"/>
        </w:rPr>
      </w:pPr>
      <w:r w:rsidRPr="0066557C">
        <w:rPr>
          <w:rFonts w:ascii="Segoe UI" w:hAnsi="Segoe UI" w:cs="Segoe UI"/>
          <w:color w:val="525252" w:themeColor="accent3" w:themeShade="80"/>
          <w:sz w:val="20"/>
          <w:szCs w:val="20"/>
          <w:lang w:val="en-US"/>
        </w:rPr>
        <w:t>“[...]</w:t>
      </w:r>
      <w:r w:rsidRPr="007F5442">
        <w:rPr>
          <w:rFonts w:ascii="Segoe UI" w:hAnsi="Segoe UI" w:cs="Segoe UI"/>
          <w:i/>
          <w:color w:val="525252" w:themeColor="accent3" w:themeShade="80"/>
          <w:sz w:val="20"/>
          <w:szCs w:val="20"/>
          <w:lang w:val="en-US"/>
        </w:rPr>
        <w:t xml:space="preserve"> </w:t>
      </w:r>
      <w:r w:rsidR="004326C0" w:rsidRPr="007F5442">
        <w:rPr>
          <w:rFonts w:ascii="Segoe UI" w:hAnsi="Segoe UI" w:cs="Segoe UI"/>
          <w:i/>
          <w:color w:val="525252" w:themeColor="accent3" w:themeShade="80"/>
          <w:sz w:val="20"/>
          <w:szCs w:val="20"/>
          <w:lang w:val="en-US"/>
        </w:rPr>
        <w:t>Furthermore, systems of fair value accounting provide information that can be of more relevance to the users of financial statements than purchase price or production cost</w:t>
      </w:r>
      <w:r w:rsidR="00273DF3" w:rsidRPr="007F5442">
        <w:rPr>
          <w:rFonts w:ascii="Segoe UI" w:hAnsi="Segoe UI" w:cs="Segoe UI"/>
          <w:i/>
          <w:color w:val="525252" w:themeColor="accent3" w:themeShade="80"/>
          <w:sz w:val="20"/>
          <w:szCs w:val="20"/>
          <w:lang w:val="en-US"/>
        </w:rPr>
        <w:t>-based information</w:t>
      </w:r>
      <w:r w:rsidR="001C6AF2" w:rsidRPr="007F5442">
        <w:rPr>
          <w:rFonts w:ascii="Segoe UI" w:hAnsi="Segoe UI" w:cs="Segoe UI"/>
          <w:i/>
          <w:color w:val="525252" w:themeColor="accent3" w:themeShade="80"/>
          <w:sz w:val="20"/>
          <w:szCs w:val="20"/>
          <w:lang w:val="en-US"/>
        </w:rPr>
        <w:t>.</w:t>
      </w:r>
      <w:r w:rsidR="00EA4017" w:rsidRPr="0066557C">
        <w:rPr>
          <w:rFonts w:ascii="Segoe UI" w:hAnsi="Segoe UI" w:cs="Segoe UI"/>
          <w:color w:val="525252" w:themeColor="accent3" w:themeShade="80"/>
          <w:sz w:val="20"/>
          <w:szCs w:val="20"/>
          <w:lang w:val="en-US"/>
        </w:rPr>
        <w:t xml:space="preserve"> </w:t>
      </w:r>
      <w:r w:rsidR="00EA4017" w:rsidRPr="0066557C">
        <w:rPr>
          <w:rFonts w:ascii="Segoe UI" w:hAnsi="Segoe UI" w:cs="Segoe UI"/>
          <w:color w:val="525252" w:themeColor="accent3" w:themeShade="80"/>
          <w:sz w:val="20"/>
          <w:szCs w:val="20"/>
        </w:rPr>
        <w:t>[...]”.</w:t>
      </w:r>
    </w:p>
    <w:p w14:paraId="1ACE8746" w14:textId="77777777" w:rsidR="00EA4017" w:rsidRPr="0062207D" w:rsidRDefault="00EA4017" w:rsidP="00E10D4A">
      <w:pPr>
        <w:keepNext/>
        <w:keepLines/>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Nella versione italiana, infatti, il paragrafo è tradotto come segue:</w:t>
      </w:r>
    </w:p>
    <w:p w14:paraId="575DCC93" w14:textId="57D968B8" w:rsidR="004326C0" w:rsidRPr="00B9065C" w:rsidRDefault="00EA4017" w:rsidP="007F5442">
      <w:pPr>
        <w:spacing w:before="120" w:after="120" w:line="240" w:lineRule="auto"/>
        <w:ind w:left="284" w:right="284"/>
        <w:jc w:val="both"/>
        <w:rPr>
          <w:rFonts w:ascii="Segoe UI" w:hAnsi="Segoe UI" w:cs="Segoe UI"/>
          <w:i/>
          <w:color w:val="525252" w:themeColor="accent3" w:themeShade="80"/>
          <w:sz w:val="20"/>
          <w:szCs w:val="20"/>
        </w:rPr>
      </w:pPr>
      <w:r w:rsidRPr="0066557C">
        <w:rPr>
          <w:rFonts w:ascii="Segoe UI" w:hAnsi="Segoe UI" w:cs="Segoe UI"/>
          <w:color w:val="525252" w:themeColor="accent3" w:themeShade="80"/>
          <w:sz w:val="20"/>
          <w:szCs w:val="20"/>
        </w:rPr>
        <w:t>“[...]</w:t>
      </w:r>
      <w:r w:rsidRPr="007F5442">
        <w:rPr>
          <w:rFonts w:ascii="Segoe UI" w:hAnsi="Segoe UI" w:cs="Segoe UI"/>
          <w:i/>
          <w:color w:val="525252" w:themeColor="accent3" w:themeShade="80"/>
          <w:sz w:val="20"/>
          <w:szCs w:val="20"/>
        </w:rPr>
        <w:t xml:space="preserve"> </w:t>
      </w:r>
      <w:r w:rsidR="004326C0" w:rsidRPr="007F5442">
        <w:rPr>
          <w:rFonts w:ascii="Segoe UI" w:hAnsi="Segoe UI" w:cs="Segoe UI"/>
          <w:i/>
          <w:color w:val="525252" w:themeColor="accent3" w:themeShade="80"/>
          <w:sz w:val="20"/>
          <w:szCs w:val="20"/>
        </w:rPr>
        <w:t>La valutazione al valore netto, inoltre, fornisce informazioni che per gli utilizzatori dei bilanci possono essere più rilevanti delle informazioni basate sul prezzo d'ac</w:t>
      </w:r>
      <w:r w:rsidR="00273DF3" w:rsidRPr="007F5442">
        <w:rPr>
          <w:rFonts w:ascii="Segoe UI" w:hAnsi="Segoe UI" w:cs="Segoe UI"/>
          <w:i/>
          <w:color w:val="525252" w:themeColor="accent3" w:themeShade="80"/>
          <w:sz w:val="20"/>
          <w:szCs w:val="20"/>
        </w:rPr>
        <w:t>quisto o sul costo di produzione</w:t>
      </w:r>
      <w:r w:rsidR="001C6AF2" w:rsidRPr="007F5442">
        <w:rPr>
          <w:rFonts w:ascii="Segoe UI" w:hAnsi="Segoe UI" w:cs="Segoe UI"/>
          <w:i/>
          <w:color w:val="525252" w:themeColor="accent3" w:themeShade="80"/>
          <w:sz w:val="20"/>
          <w:szCs w:val="20"/>
        </w:rPr>
        <w:t>.</w:t>
      </w:r>
      <w:r w:rsidRPr="007F5442">
        <w:rPr>
          <w:rFonts w:ascii="Segoe UI" w:hAnsi="Segoe UI" w:cs="Segoe UI"/>
          <w:i/>
          <w:color w:val="525252" w:themeColor="accent3" w:themeShade="80"/>
          <w:sz w:val="20"/>
          <w:szCs w:val="20"/>
        </w:rPr>
        <w:t xml:space="preserve"> </w:t>
      </w:r>
      <w:r w:rsidRPr="0066557C">
        <w:rPr>
          <w:rFonts w:ascii="Segoe UI" w:hAnsi="Segoe UI" w:cs="Segoe UI"/>
          <w:color w:val="525252" w:themeColor="accent3" w:themeShade="80"/>
          <w:sz w:val="20"/>
          <w:szCs w:val="20"/>
        </w:rPr>
        <w:t>[...]”.</w:t>
      </w:r>
    </w:p>
    <w:p w14:paraId="4A9CE5EA" w14:textId="77777777" w:rsidR="009D5C45" w:rsidRPr="009D5C45" w:rsidRDefault="009D5C45" w:rsidP="009D5C45">
      <w:pPr>
        <w:tabs>
          <w:tab w:val="left" w:pos="499"/>
        </w:tabs>
        <w:spacing w:before="120" w:after="120" w:line="240" w:lineRule="auto"/>
        <w:ind w:left="15"/>
        <w:jc w:val="both"/>
        <w:rPr>
          <w:rFonts w:ascii="Segoe UI" w:hAnsi="Segoe UI" w:cs="Segoe UI"/>
          <w:noProof/>
          <w:lang w:eastAsia="it-IT"/>
        </w:rPr>
      </w:pPr>
      <w:r w:rsidRPr="009D5C45">
        <w:rPr>
          <w:rFonts w:ascii="Segoe UI" w:hAnsi="Segoe UI" w:cs="Segoe UI"/>
          <w:noProof/>
          <w:lang w:eastAsia="it-IT"/>
        </w:rPr>
        <w:t xml:space="preserve">Conclusione: in questo contesto, premettendo che i </w:t>
      </w:r>
      <w:r w:rsidRPr="009D5C45">
        <w:rPr>
          <w:rFonts w:ascii="Segoe UI" w:hAnsi="Segoe UI" w:cs="Segoe UI"/>
          <w:i/>
          <w:noProof/>
          <w:lang w:eastAsia="it-IT"/>
        </w:rPr>
        <w:t>considerando</w:t>
      </w:r>
      <w:r w:rsidRPr="009D5C45">
        <w:rPr>
          <w:rFonts w:ascii="Segoe UI" w:hAnsi="Segoe UI" w:cs="Segoe UI"/>
          <w:noProof/>
          <w:lang w:eastAsia="it-IT"/>
        </w:rPr>
        <w:t xml:space="preserve"> di una direttiva non costituiscono disposizione normativa in senso stretto ma dovrebbero per propria natura contribuire alla chiarezza e alla intellegibilità delle disposizioni, il termine “</w:t>
      </w:r>
      <w:r w:rsidRPr="009D5C45">
        <w:rPr>
          <w:rFonts w:ascii="Segoe UI" w:hAnsi="Segoe UI" w:cs="Segoe UI"/>
          <w:b/>
          <w:i/>
          <w:noProof/>
          <w:lang w:eastAsia="it-IT"/>
        </w:rPr>
        <w:t>relevance</w:t>
      </w:r>
      <w:r w:rsidRPr="009D5C45">
        <w:rPr>
          <w:rFonts w:ascii="Segoe UI" w:hAnsi="Segoe UI" w:cs="Segoe UI"/>
          <w:noProof/>
          <w:lang w:eastAsia="it-IT"/>
        </w:rPr>
        <w:t>” corrisponde al termine “</w:t>
      </w:r>
      <w:r w:rsidRPr="009D5C45">
        <w:rPr>
          <w:rFonts w:ascii="Segoe UI" w:hAnsi="Segoe UI" w:cs="Segoe UI"/>
          <w:b/>
          <w:noProof/>
          <w:lang w:eastAsia="it-IT"/>
        </w:rPr>
        <w:t>rilevanza</w:t>
      </w:r>
      <w:r w:rsidRPr="009D5C45">
        <w:rPr>
          <w:rFonts w:ascii="Segoe UI" w:hAnsi="Segoe UI" w:cs="Segoe UI"/>
          <w:noProof/>
          <w:lang w:eastAsia="it-IT"/>
        </w:rPr>
        <w:t>“ ma, considerando anche il senso intrinseco della proposizione in cui è inserito, non sarebbe irragionevole associare l’accezione al concetto di “</w:t>
      </w:r>
      <w:r w:rsidRPr="009D5C45">
        <w:rPr>
          <w:rFonts w:ascii="Segoe UI" w:hAnsi="Segoe UI" w:cs="Segoe UI"/>
          <w:i/>
          <w:noProof/>
          <w:lang w:eastAsia="it-IT"/>
        </w:rPr>
        <w:t>relevance</w:t>
      </w:r>
      <w:r w:rsidRPr="009D5C45">
        <w:rPr>
          <w:rFonts w:ascii="Segoe UI" w:hAnsi="Segoe UI" w:cs="Segoe UI"/>
          <w:noProof/>
          <w:lang w:eastAsia="it-IT"/>
        </w:rPr>
        <w:t xml:space="preserve">” come definito nei Principi contabili internazionali: </w:t>
      </w:r>
    </w:p>
    <w:p w14:paraId="002D2032" w14:textId="77777777" w:rsidR="009D5C45" w:rsidRPr="009D5C45" w:rsidRDefault="009D5C45" w:rsidP="009D5C45">
      <w:pPr>
        <w:tabs>
          <w:tab w:val="left" w:pos="499"/>
        </w:tabs>
        <w:spacing w:before="120" w:after="120" w:line="240" w:lineRule="auto"/>
        <w:ind w:left="15"/>
        <w:jc w:val="both"/>
        <w:rPr>
          <w:rFonts w:ascii="Segoe UI" w:hAnsi="Segoe UI" w:cs="Segoe UI"/>
          <w:noProof/>
          <w:lang w:val="en-US" w:eastAsia="it-IT"/>
        </w:rPr>
      </w:pPr>
      <w:r w:rsidRPr="009D5C45">
        <w:rPr>
          <w:rFonts w:ascii="Segoe UI" w:hAnsi="Segoe UI" w:cs="Segoe UI"/>
          <w:noProof/>
          <w:lang w:val="en-US" w:eastAsia="it-IT"/>
        </w:rPr>
        <w:t>Nel “Conceptual Framework for Financial Reporting” dell’International Accounting Standards Board (IASB), infatti, nella sezione “Qualitative characteristics of useful financial information. Relevance”, al paragrafo QC6, si legge: “</w:t>
      </w:r>
      <w:r w:rsidRPr="009D5C45">
        <w:rPr>
          <w:rFonts w:ascii="Segoe UI" w:hAnsi="Segoe UI" w:cs="Segoe UI"/>
          <w:i/>
          <w:noProof/>
          <w:lang w:val="en-US" w:eastAsia="it-IT"/>
        </w:rPr>
        <w:t>Relevant financial information is capable of making a difference in the decisions made by users. Information may be capable of making a difference in a decision even if some users choose not to take advantage of it or are already aware of it from other sources.</w:t>
      </w:r>
      <w:r w:rsidRPr="009D5C45">
        <w:rPr>
          <w:rFonts w:ascii="Segoe UI" w:hAnsi="Segoe UI" w:cs="Segoe UI"/>
          <w:noProof/>
          <w:lang w:val="en-US" w:eastAsia="it-IT"/>
        </w:rPr>
        <w:t>”.</w:t>
      </w:r>
    </w:p>
    <w:p w14:paraId="5E38DE00" w14:textId="77777777" w:rsidR="009D5C45" w:rsidRPr="00E9243E" w:rsidRDefault="009D5C45" w:rsidP="009D5C45">
      <w:pPr>
        <w:spacing w:before="120" w:after="120" w:line="240" w:lineRule="auto"/>
        <w:jc w:val="both"/>
        <w:rPr>
          <w:rFonts w:ascii="Segoe UI" w:eastAsia="Times New Roman" w:hAnsi="Segoe UI" w:cs="Segoe UI"/>
          <w:lang w:eastAsia="it-IT"/>
        </w:rPr>
      </w:pPr>
      <w:r w:rsidRPr="009D5C45">
        <w:rPr>
          <w:rFonts w:ascii="Segoe UI" w:hAnsi="Segoe UI" w:cs="Segoe UI"/>
          <w:noProof/>
          <w:lang w:eastAsia="it-IT"/>
        </w:rPr>
        <w:t>Si noti tuttavia che nei Principi contabili, il termine “</w:t>
      </w:r>
      <w:r w:rsidRPr="009D5C45">
        <w:rPr>
          <w:rFonts w:ascii="Segoe UI" w:hAnsi="Segoe UI" w:cs="Segoe UI"/>
          <w:i/>
          <w:noProof/>
          <w:lang w:eastAsia="it-IT"/>
        </w:rPr>
        <w:t>relevance</w:t>
      </w:r>
      <w:r w:rsidRPr="009D5C45">
        <w:rPr>
          <w:rFonts w:ascii="Segoe UI" w:hAnsi="Segoe UI" w:cs="Segoe UI"/>
          <w:noProof/>
          <w:lang w:eastAsia="it-IT"/>
        </w:rPr>
        <w:t>”, nel suo ultimo riferimento in lingua italiana (</w:t>
      </w:r>
      <w:r w:rsidRPr="009D5C45">
        <w:rPr>
          <w:rFonts w:ascii="Segoe UI" w:hAnsi="Segoe UI" w:cs="Segoe UI"/>
        </w:rPr>
        <w:t>Quadro sistematico per la preparazione e la presentazione del bilancio”) risalente al 2009</w:t>
      </w:r>
      <w:r w:rsidRPr="009D5C45">
        <w:rPr>
          <w:rFonts w:ascii="Segoe UI" w:hAnsi="Segoe UI" w:cs="Segoe UI"/>
          <w:noProof/>
          <w:lang w:eastAsia="it-IT"/>
        </w:rPr>
        <w:t>, è tradotto col termine “significatività”, e non col termine “rilevanza” (quest’ultimo corrispondente invece al termine “</w:t>
      </w:r>
      <w:r w:rsidRPr="009D5C45">
        <w:rPr>
          <w:rFonts w:ascii="Segoe UI" w:hAnsi="Segoe UI" w:cs="Segoe UI"/>
          <w:i/>
          <w:noProof/>
          <w:lang w:eastAsia="it-IT"/>
        </w:rPr>
        <w:t>materialty</w:t>
      </w:r>
      <w:r w:rsidRPr="009D5C45">
        <w:rPr>
          <w:rFonts w:ascii="Segoe UI" w:hAnsi="Segoe UI" w:cs="Segoe UI"/>
          <w:noProof/>
          <w:lang w:eastAsia="it-IT"/>
        </w:rPr>
        <w:t>”, questa volta proprio nel senso di idoneità di una informazione, in ragione di una “</w:t>
      </w:r>
      <w:r w:rsidRPr="009D5C45">
        <w:rPr>
          <w:rFonts w:ascii="Segoe UI" w:eastAsia="Times New Roman" w:hAnsi="Segoe UI" w:cs="Segoe UI"/>
          <w:i/>
          <w:lang w:eastAsia="it-IT"/>
        </w:rPr>
        <w:t>sua omissione o errata indicazione</w:t>
      </w:r>
      <w:r w:rsidRPr="009D5C45">
        <w:rPr>
          <w:rFonts w:ascii="Segoe UI" w:eastAsia="Times New Roman" w:hAnsi="Segoe UI" w:cs="Segoe UI"/>
          <w:lang w:eastAsia="it-IT"/>
        </w:rPr>
        <w:t>”, a “</w:t>
      </w:r>
      <w:r w:rsidRPr="009D5C45">
        <w:rPr>
          <w:rFonts w:ascii="Segoe UI" w:eastAsia="Times New Roman" w:hAnsi="Segoe UI" w:cs="Segoe UI"/>
          <w:i/>
          <w:lang w:eastAsia="it-IT"/>
        </w:rPr>
        <w:t>influenzare le decisioni prese dagli utilizzatori sulla base del bilancio dell'impresa</w:t>
      </w:r>
      <w:r w:rsidRPr="009D5C45">
        <w:rPr>
          <w:rFonts w:ascii="Segoe UI" w:eastAsia="Times New Roman" w:hAnsi="Segoe UI" w:cs="Segoe UI"/>
          <w:lang w:eastAsia="it-IT"/>
        </w:rPr>
        <w:t>”, specifica cui seguono poi numerosi altri elementi definitori, e ciò tanto nel Quadro sistematico del 2009 quanto nel Conceptual Framework del 2010 attualmente in vigore)</w:t>
      </w:r>
      <w:r w:rsidRPr="009D5C45">
        <w:rPr>
          <w:rStyle w:val="Rimandonotaapidipagina"/>
          <w:rFonts w:eastAsia="Times New Roman" w:cs="Segoe UI"/>
          <w:sz w:val="22"/>
          <w:lang w:eastAsia="it-IT"/>
        </w:rPr>
        <w:footnoteReference w:id="13"/>
      </w:r>
      <w:r w:rsidRPr="009D5C45">
        <w:rPr>
          <w:rFonts w:ascii="Segoe UI" w:eastAsia="Times New Roman" w:hAnsi="Segoe UI" w:cs="Segoe UI"/>
          <w:lang w:eastAsia="it-IT"/>
        </w:rPr>
        <w:t>.</w:t>
      </w:r>
    </w:p>
    <w:p w14:paraId="13CD6CFB" w14:textId="77777777" w:rsidR="009D5C45" w:rsidRDefault="009D5C45" w:rsidP="00E10D4A">
      <w:pPr>
        <w:spacing w:before="120" w:after="120" w:line="240" w:lineRule="auto"/>
        <w:jc w:val="both"/>
        <w:rPr>
          <w:rFonts w:ascii="Segoe UI" w:hAnsi="Segoe UI" w:cs="Segoe UI"/>
          <w:noProof/>
          <w:szCs w:val="20"/>
          <w:lang w:eastAsia="it-IT"/>
        </w:rPr>
      </w:pPr>
    </w:p>
    <w:p w14:paraId="189721EC" w14:textId="77777777" w:rsidR="00D72811" w:rsidRDefault="00D72811" w:rsidP="00D72811">
      <w:pPr>
        <w:spacing w:before="120" w:after="120" w:line="240" w:lineRule="auto"/>
        <w:jc w:val="both"/>
        <w:rPr>
          <w:rFonts w:ascii="Segoe UI" w:hAnsi="Segoe UI" w:cs="Segoe UI"/>
          <w:szCs w:val="20"/>
        </w:rPr>
      </w:pPr>
    </w:p>
    <w:p w14:paraId="78FD1001" w14:textId="4B83E091" w:rsidR="00D72811" w:rsidRPr="00564B61" w:rsidRDefault="00D72811" w:rsidP="00D72811">
      <w:pPr>
        <w:keepNext/>
        <w:keepLines/>
        <w:tabs>
          <w:tab w:val="left" w:pos="284"/>
        </w:tabs>
        <w:spacing w:before="120" w:after="120" w:line="240" w:lineRule="auto"/>
        <w:jc w:val="both"/>
        <w:rPr>
          <w:rFonts w:ascii="Segoe UI" w:hAnsi="Segoe UI" w:cs="Segoe UI"/>
          <w:szCs w:val="20"/>
        </w:rPr>
      </w:pPr>
      <w:r>
        <w:rPr>
          <w:rFonts w:ascii="Segoe UI" w:hAnsi="Segoe UI" w:cs="Segoe UI"/>
          <w:szCs w:val="20"/>
        </w:rPr>
        <w:t>B</w:t>
      </w:r>
      <w:r w:rsidRPr="00564B61">
        <w:rPr>
          <w:rFonts w:ascii="Segoe UI" w:hAnsi="Segoe UI" w:cs="Segoe UI"/>
          <w:szCs w:val="20"/>
        </w:rPr>
        <w:t>.</w:t>
      </w:r>
      <w:r w:rsidRPr="00564B61">
        <w:rPr>
          <w:rFonts w:ascii="Segoe UI" w:hAnsi="Segoe UI" w:cs="Segoe UI"/>
          <w:szCs w:val="20"/>
        </w:rPr>
        <w:tab/>
      </w:r>
      <w:r w:rsidRPr="00EE1972">
        <w:rPr>
          <w:rFonts w:ascii="Segoe UI" w:hAnsi="Segoe UI" w:cs="Segoe UI"/>
          <w:i/>
          <w:szCs w:val="20"/>
        </w:rPr>
        <w:t>Material</w:t>
      </w:r>
    </w:p>
    <w:p w14:paraId="1F5BFC30" w14:textId="77777777" w:rsidR="00D72811" w:rsidRPr="0062207D" w:rsidRDefault="00D72811" w:rsidP="00D72811">
      <w:pPr>
        <w:keepNext/>
        <w:keepLines/>
        <w:spacing w:before="120" w:after="120" w:line="240" w:lineRule="auto"/>
        <w:jc w:val="both"/>
        <w:rPr>
          <w:rFonts w:ascii="Segoe UI" w:hAnsi="Segoe UI" w:cs="Segoe UI"/>
          <w:szCs w:val="20"/>
        </w:rPr>
      </w:pPr>
    </w:p>
    <w:p w14:paraId="26E680CD" w14:textId="77777777" w:rsidR="00D72811" w:rsidRPr="00EB3E68" w:rsidRDefault="00D72811" w:rsidP="00D72811">
      <w:pPr>
        <w:keepNext/>
        <w:keepLines/>
        <w:spacing w:before="120" w:after="120" w:line="240" w:lineRule="auto"/>
        <w:jc w:val="both"/>
        <w:rPr>
          <w:rFonts w:ascii="Segoe UI" w:hAnsi="Segoe UI" w:cs="Segoe UI"/>
          <w:szCs w:val="20"/>
        </w:rPr>
      </w:pPr>
      <w:r w:rsidRPr="00EB3E68">
        <w:rPr>
          <w:rFonts w:ascii="Segoe UI" w:hAnsi="Segoe UI" w:cs="Segoe UI"/>
          <w:szCs w:val="20"/>
        </w:rPr>
        <w:t>Traduzione</w:t>
      </w:r>
      <w:r>
        <w:rPr>
          <w:rFonts w:ascii="Segoe UI" w:hAnsi="Segoe UI" w:cs="Segoe UI"/>
          <w:szCs w:val="20"/>
        </w:rPr>
        <w:t>:</w:t>
      </w:r>
      <w:r w:rsidRPr="00EB3E68">
        <w:rPr>
          <w:rFonts w:ascii="Segoe UI" w:hAnsi="Segoe UI" w:cs="Segoe UI"/>
          <w:szCs w:val="20"/>
        </w:rPr>
        <w:t xml:space="preserve"> opzione 1 / </w:t>
      </w:r>
      <w:r>
        <w:rPr>
          <w:rFonts w:ascii="Segoe UI" w:hAnsi="Segoe UI" w:cs="Segoe UI"/>
          <w:szCs w:val="20"/>
        </w:rPr>
        <w:t>A</w:t>
      </w:r>
      <w:r w:rsidRPr="00EB3E68">
        <w:rPr>
          <w:rFonts w:ascii="Segoe UI" w:hAnsi="Segoe UI" w:cs="Segoe UI"/>
          <w:szCs w:val="20"/>
        </w:rPr>
        <w:t>ccezione</w:t>
      </w:r>
      <w:r>
        <w:rPr>
          <w:rFonts w:ascii="Segoe UI" w:hAnsi="Segoe UI" w:cs="Segoe UI"/>
          <w:szCs w:val="20"/>
        </w:rPr>
        <w:t xml:space="preserve">: opzione </w:t>
      </w:r>
      <w:r w:rsidRPr="00EB3E68">
        <w:rPr>
          <w:rFonts w:ascii="Segoe UI" w:hAnsi="Segoe UI" w:cs="Segoe UI"/>
          <w:szCs w:val="20"/>
        </w:rPr>
        <w:t>1</w:t>
      </w:r>
    </w:p>
    <w:p w14:paraId="73E7F742" w14:textId="4A88B619" w:rsidR="00D72811" w:rsidRPr="0062207D" w:rsidRDefault="00D72811" w:rsidP="00D72811">
      <w:pPr>
        <w:keepNext/>
        <w:keepLines/>
        <w:spacing w:before="120" w:after="120" w:line="240" w:lineRule="auto"/>
        <w:jc w:val="both"/>
        <w:rPr>
          <w:rFonts w:ascii="Segoe UI" w:hAnsi="Segoe UI" w:cs="Segoe UI"/>
          <w:szCs w:val="20"/>
        </w:rPr>
      </w:pPr>
      <w:r w:rsidRPr="0062207D">
        <w:rPr>
          <w:rFonts w:ascii="Segoe UI" w:hAnsi="Segoe UI" w:cs="Segoe UI"/>
          <w:szCs w:val="20"/>
        </w:rPr>
        <w:t xml:space="preserve">Il concetto di </w:t>
      </w:r>
      <w:r w:rsidR="00EE1972">
        <w:rPr>
          <w:rFonts w:ascii="Segoe UI" w:hAnsi="Segoe UI" w:cs="Segoe UI"/>
          <w:szCs w:val="20"/>
        </w:rPr>
        <w:t>“</w:t>
      </w:r>
      <w:r w:rsidRPr="000B0223">
        <w:rPr>
          <w:rFonts w:ascii="Segoe UI" w:hAnsi="Segoe UI" w:cs="Segoe UI"/>
          <w:i/>
          <w:szCs w:val="20"/>
        </w:rPr>
        <w:t>materiality</w:t>
      </w:r>
      <w:r w:rsidR="00EE1972">
        <w:rPr>
          <w:rFonts w:ascii="Segoe UI" w:hAnsi="Segoe UI" w:cs="Segoe UI"/>
          <w:i/>
          <w:szCs w:val="20"/>
        </w:rPr>
        <w:t>”</w:t>
      </w:r>
      <w:r w:rsidRPr="0062207D">
        <w:rPr>
          <w:rFonts w:ascii="Segoe UI" w:hAnsi="Segoe UI" w:cs="Segoe UI"/>
          <w:szCs w:val="20"/>
        </w:rPr>
        <w:t xml:space="preserve"> è esplicitamente definito nella direttiva 2013/34/UE.</w:t>
      </w:r>
    </w:p>
    <w:p w14:paraId="2505A76C" w14:textId="763B715C" w:rsidR="00D72811" w:rsidRPr="0062207D" w:rsidRDefault="00D72811" w:rsidP="00D72811">
      <w:pPr>
        <w:keepNext/>
        <w:keepLines/>
        <w:spacing w:before="120" w:after="120" w:line="240" w:lineRule="auto"/>
        <w:jc w:val="both"/>
        <w:rPr>
          <w:rFonts w:ascii="Segoe UI" w:hAnsi="Segoe UI" w:cs="Segoe UI"/>
          <w:szCs w:val="20"/>
        </w:rPr>
      </w:pPr>
      <w:r w:rsidRPr="0062207D">
        <w:rPr>
          <w:rFonts w:ascii="Segoe UI" w:hAnsi="Segoe UI" w:cs="Segoe UI"/>
          <w:szCs w:val="20"/>
        </w:rPr>
        <w:t>Nella versione inglese, l’art</w:t>
      </w:r>
      <w:r w:rsidR="00EE1972">
        <w:rPr>
          <w:rFonts w:ascii="Segoe UI" w:hAnsi="Segoe UI" w:cs="Segoe UI"/>
          <w:szCs w:val="20"/>
        </w:rPr>
        <w:t>.</w:t>
      </w:r>
      <w:r w:rsidRPr="0062207D">
        <w:rPr>
          <w:rFonts w:ascii="Segoe UI" w:hAnsi="Segoe UI" w:cs="Segoe UI"/>
          <w:szCs w:val="20"/>
        </w:rPr>
        <w:t xml:space="preserve"> 2, “</w:t>
      </w:r>
      <w:r w:rsidRPr="003D4414">
        <w:rPr>
          <w:rFonts w:ascii="Segoe UI" w:hAnsi="Segoe UI" w:cs="Segoe UI"/>
          <w:szCs w:val="20"/>
        </w:rPr>
        <w:t>Definitions</w:t>
      </w:r>
      <w:r w:rsidRPr="0062207D">
        <w:rPr>
          <w:rFonts w:ascii="Segoe UI" w:hAnsi="Segoe UI" w:cs="Segoe UI"/>
          <w:szCs w:val="20"/>
        </w:rPr>
        <w:t>”, paragrafo 16, recita:</w:t>
      </w:r>
    </w:p>
    <w:p w14:paraId="64F4AB3B" w14:textId="77777777" w:rsidR="00D72811" w:rsidRPr="007F5442" w:rsidRDefault="00D72811" w:rsidP="007F5442">
      <w:pPr>
        <w:spacing w:before="120" w:after="120" w:line="240" w:lineRule="auto"/>
        <w:ind w:left="284" w:right="284"/>
        <w:jc w:val="both"/>
        <w:rPr>
          <w:rFonts w:ascii="Segoe UI" w:hAnsi="Segoe UI" w:cs="Segoe UI"/>
          <w:i/>
          <w:color w:val="525252" w:themeColor="accent3" w:themeShade="80"/>
          <w:sz w:val="20"/>
          <w:szCs w:val="20"/>
          <w:lang w:val="en-US"/>
        </w:rPr>
      </w:pPr>
      <w:r w:rsidRPr="004E4FC5">
        <w:rPr>
          <w:rFonts w:ascii="Segoe UI" w:hAnsi="Segoe UI" w:cs="Segoe UI"/>
          <w:color w:val="525252" w:themeColor="accent3" w:themeShade="80"/>
          <w:sz w:val="20"/>
          <w:szCs w:val="20"/>
          <w:lang w:val="en-US"/>
        </w:rPr>
        <w:t>“[...]</w:t>
      </w:r>
      <w:r w:rsidRPr="007F5442">
        <w:rPr>
          <w:rFonts w:ascii="Segoe UI" w:hAnsi="Segoe UI" w:cs="Segoe UI"/>
          <w:i/>
          <w:color w:val="525252" w:themeColor="accent3" w:themeShade="80"/>
          <w:sz w:val="20"/>
          <w:szCs w:val="20"/>
          <w:lang w:val="en-US"/>
        </w:rPr>
        <w:t xml:space="preserve"> ‘material’ means the status of information where its omission or misstatement could reasonably be expected to influence decisions that users make on the basis of the financial statements of the undertaking. The materiality of individual items shall be assessed in the context of other similar items.</w:t>
      </w:r>
      <w:r w:rsidRPr="004E4FC5">
        <w:rPr>
          <w:rFonts w:ascii="Segoe UI" w:hAnsi="Segoe UI" w:cs="Segoe UI"/>
          <w:color w:val="525252" w:themeColor="accent3" w:themeShade="80"/>
          <w:sz w:val="20"/>
          <w:szCs w:val="20"/>
          <w:lang w:val="en-US"/>
        </w:rPr>
        <w:t>”.</w:t>
      </w:r>
    </w:p>
    <w:p w14:paraId="1959DDD6" w14:textId="7FEB0218" w:rsidR="00D72811" w:rsidRPr="0062207D" w:rsidRDefault="00D72811" w:rsidP="00D72811">
      <w:pPr>
        <w:keepNext/>
        <w:keepLines/>
        <w:spacing w:before="120" w:after="120" w:line="240" w:lineRule="auto"/>
        <w:jc w:val="both"/>
        <w:rPr>
          <w:rFonts w:ascii="Segoe UI" w:hAnsi="Segoe UI" w:cs="Segoe UI"/>
          <w:szCs w:val="20"/>
        </w:rPr>
      </w:pPr>
      <w:r w:rsidRPr="0062207D">
        <w:rPr>
          <w:rFonts w:ascii="Segoe UI" w:hAnsi="Segoe UI" w:cs="Segoe UI"/>
          <w:szCs w:val="20"/>
        </w:rPr>
        <w:t>Nella versione italiana, l’art</w:t>
      </w:r>
      <w:r w:rsidR="00EE1972">
        <w:rPr>
          <w:rFonts w:ascii="Segoe UI" w:hAnsi="Segoe UI" w:cs="Segoe UI"/>
          <w:szCs w:val="20"/>
        </w:rPr>
        <w:t>.</w:t>
      </w:r>
      <w:r w:rsidRPr="0062207D">
        <w:rPr>
          <w:rFonts w:ascii="Segoe UI" w:hAnsi="Segoe UI" w:cs="Segoe UI"/>
          <w:szCs w:val="20"/>
        </w:rPr>
        <w:t xml:space="preserve"> 2, “</w:t>
      </w:r>
      <w:r w:rsidRPr="003D4414">
        <w:rPr>
          <w:rFonts w:ascii="Segoe UI" w:hAnsi="Segoe UI" w:cs="Segoe UI"/>
          <w:szCs w:val="20"/>
        </w:rPr>
        <w:t>Definizioni</w:t>
      </w:r>
      <w:r w:rsidRPr="0062207D">
        <w:rPr>
          <w:rFonts w:ascii="Segoe UI" w:hAnsi="Segoe UI" w:cs="Segoe UI"/>
          <w:szCs w:val="20"/>
        </w:rPr>
        <w:t>”, punto 16, recita:</w:t>
      </w:r>
    </w:p>
    <w:p w14:paraId="27A027B2" w14:textId="14A09E56" w:rsidR="00D72811" w:rsidRPr="00B9065C" w:rsidRDefault="00D72811" w:rsidP="007F5442">
      <w:pPr>
        <w:spacing w:before="120" w:after="120" w:line="240" w:lineRule="auto"/>
        <w:ind w:left="284" w:right="284"/>
        <w:jc w:val="both"/>
        <w:rPr>
          <w:rFonts w:ascii="Segoe UI" w:hAnsi="Segoe UI" w:cs="Segoe UI"/>
          <w:i/>
          <w:color w:val="525252" w:themeColor="accent3" w:themeShade="80"/>
          <w:sz w:val="20"/>
          <w:szCs w:val="20"/>
        </w:rPr>
      </w:pPr>
      <w:r w:rsidRPr="004E4FC5">
        <w:rPr>
          <w:rFonts w:ascii="Segoe UI" w:hAnsi="Segoe UI" w:cs="Segoe UI"/>
          <w:color w:val="525252" w:themeColor="accent3" w:themeShade="80"/>
          <w:sz w:val="20"/>
          <w:szCs w:val="20"/>
        </w:rPr>
        <w:t xml:space="preserve">“[...] </w:t>
      </w:r>
      <w:r w:rsidR="004E4FC5">
        <w:rPr>
          <w:rFonts w:ascii="Segoe UI" w:hAnsi="Segoe UI" w:cs="Segoe UI"/>
          <w:color w:val="525252" w:themeColor="accent3" w:themeShade="80"/>
          <w:sz w:val="20"/>
          <w:szCs w:val="20"/>
        </w:rPr>
        <w:t>‘</w:t>
      </w:r>
      <w:r w:rsidRPr="007F5442">
        <w:rPr>
          <w:rFonts w:ascii="Segoe UI" w:hAnsi="Segoe UI" w:cs="Segoe UI"/>
          <w:i/>
          <w:color w:val="525252" w:themeColor="accent3" w:themeShade="80"/>
          <w:sz w:val="20"/>
          <w:szCs w:val="20"/>
        </w:rPr>
        <w:t>rilevante</w:t>
      </w:r>
      <w:r w:rsidR="004E4FC5">
        <w:rPr>
          <w:rFonts w:ascii="Segoe UI" w:hAnsi="Segoe UI" w:cs="Segoe UI"/>
          <w:i/>
          <w:color w:val="525252" w:themeColor="accent3" w:themeShade="80"/>
          <w:sz w:val="20"/>
          <w:szCs w:val="20"/>
        </w:rPr>
        <w:t>’</w:t>
      </w:r>
      <w:r w:rsidRPr="007F5442">
        <w:rPr>
          <w:rFonts w:ascii="Segoe UI" w:hAnsi="Segoe UI" w:cs="Segoe UI"/>
          <w:i/>
          <w:color w:val="525252" w:themeColor="accent3" w:themeShade="80"/>
          <w:sz w:val="20"/>
          <w:szCs w:val="20"/>
        </w:rPr>
        <w:t>: lo stato dell</w:t>
      </w:r>
      <w:r w:rsidR="00EE1972">
        <w:rPr>
          <w:rFonts w:ascii="Segoe UI" w:hAnsi="Segoe UI" w:cs="Segoe UI"/>
          <w:i/>
          <w:color w:val="525252" w:themeColor="accent3" w:themeShade="80"/>
          <w:sz w:val="20"/>
          <w:szCs w:val="20"/>
        </w:rPr>
        <w:t>’</w:t>
      </w:r>
      <w:r w:rsidRPr="007F5442">
        <w:rPr>
          <w:rFonts w:ascii="Segoe UI" w:hAnsi="Segoe UI" w:cs="Segoe UI"/>
          <w:i/>
          <w:color w:val="525252" w:themeColor="accent3" w:themeShade="80"/>
          <w:sz w:val="20"/>
          <w:szCs w:val="20"/>
        </w:rPr>
        <w:t xml:space="preserve">informazione quando la sua omissione o errata indicazione potrebbe ragionevolmente influenzare le decisioni prese dagli utilizzatori sulla base del bilancio dell'impresa. </w:t>
      </w:r>
      <w:r w:rsidRPr="00B9065C">
        <w:rPr>
          <w:rFonts w:ascii="Segoe UI" w:hAnsi="Segoe UI" w:cs="Segoe UI"/>
          <w:i/>
          <w:color w:val="525252" w:themeColor="accent3" w:themeShade="80"/>
          <w:sz w:val="20"/>
          <w:szCs w:val="20"/>
        </w:rPr>
        <w:t>La rilevanza delle singole voci è giudicata nel contesto di altre voci analoghe.</w:t>
      </w:r>
      <w:r w:rsidRPr="004E4FC5">
        <w:rPr>
          <w:rFonts w:ascii="Segoe UI" w:hAnsi="Segoe UI" w:cs="Segoe UI"/>
          <w:color w:val="525252" w:themeColor="accent3" w:themeShade="80"/>
          <w:sz w:val="20"/>
          <w:szCs w:val="20"/>
        </w:rPr>
        <w:t>”.</w:t>
      </w:r>
    </w:p>
    <w:p w14:paraId="461FA00B" w14:textId="390E21EF" w:rsidR="00D72811" w:rsidRPr="0062207D" w:rsidRDefault="00D72811" w:rsidP="00D72811">
      <w:pPr>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Conclusione: in questo contesto l’informazione “</w:t>
      </w:r>
      <w:r w:rsidRPr="0062207D">
        <w:rPr>
          <w:rFonts w:ascii="Segoe UI" w:hAnsi="Segoe UI" w:cs="Segoe UI"/>
          <w:b/>
          <w:i/>
          <w:noProof/>
          <w:szCs w:val="20"/>
          <w:lang w:eastAsia="it-IT"/>
        </w:rPr>
        <w:t>material</w:t>
      </w:r>
      <w:r w:rsidRPr="0062207D">
        <w:rPr>
          <w:rFonts w:ascii="Segoe UI" w:hAnsi="Segoe UI" w:cs="Segoe UI"/>
          <w:b/>
          <w:noProof/>
          <w:szCs w:val="20"/>
          <w:lang w:eastAsia="it-IT"/>
        </w:rPr>
        <w:t>”</w:t>
      </w:r>
      <w:r w:rsidRPr="0062207D">
        <w:rPr>
          <w:rFonts w:ascii="Segoe UI" w:hAnsi="Segoe UI" w:cs="Segoe UI"/>
          <w:noProof/>
          <w:szCs w:val="20"/>
          <w:lang w:eastAsia="it-IT"/>
        </w:rPr>
        <w:t xml:space="preserve"> è un’informazione “</w:t>
      </w:r>
      <w:r w:rsidRPr="0062207D">
        <w:rPr>
          <w:rFonts w:ascii="Segoe UI" w:hAnsi="Segoe UI" w:cs="Segoe UI"/>
          <w:b/>
          <w:noProof/>
          <w:szCs w:val="20"/>
          <w:lang w:eastAsia="it-IT"/>
        </w:rPr>
        <w:t>rilevante”</w:t>
      </w:r>
      <w:r w:rsidRPr="0062207D">
        <w:rPr>
          <w:rFonts w:ascii="Segoe UI" w:hAnsi="Segoe UI" w:cs="Segoe UI"/>
          <w:noProof/>
          <w:szCs w:val="20"/>
          <w:lang w:eastAsia="it-IT"/>
        </w:rPr>
        <w:t xml:space="preserve"> e, per estensione, la “</w:t>
      </w:r>
      <w:r w:rsidRPr="003D4414">
        <w:rPr>
          <w:rFonts w:ascii="Segoe UI" w:hAnsi="Segoe UI" w:cs="Segoe UI"/>
          <w:i/>
          <w:noProof/>
          <w:szCs w:val="20"/>
          <w:lang w:eastAsia="it-IT"/>
        </w:rPr>
        <w:t>materiality</w:t>
      </w:r>
      <w:r w:rsidRPr="0062207D">
        <w:rPr>
          <w:rFonts w:ascii="Segoe UI" w:hAnsi="Segoe UI" w:cs="Segoe UI"/>
          <w:noProof/>
          <w:szCs w:val="20"/>
          <w:lang w:eastAsia="it-IT"/>
        </w:rPr>
        <w:t>”, in quanto principio, corrisponderebbe al</w:t>
      </w:r>
      <w:r w:rsidR="00F02365">
        <w:rPr>
          <w:rFonts w:ascii="Segoe UI" w:hAnsi="Segoe UI" w:cs="Segoe UI"/>
          <w:noProof/>
          <w:szCs w:val="20"/>
          <w:lang w:eastAsia="it-IT"/>
        </w:rPr>
        <w:t xml:space="preserve"> principio di </w:t>
      </w:r>
      <w:r w:rsidRPr="0062207D">
        <w:rPr>
          <w:rFonts w:ascii="Segoe UI" w:hAnsi="Segoe UI" w:cs="Segoe UI"/>
          <w:noProof/>
          <w:szCs w:val="20"/>
          <w:lang w:eastAsia="it-IT"/>
        </w:rPr>
        <w:t>“</w:t>
      </w:r>
      <w:r w:rsidRPr="003D4414">
        <w:rPr>
          <w:rFonts w:ascii="Segoe UI" w:hAnsi="Segoe UI" w:cs="Segoe UI"/>
          <w:noProof/>
          <w:szCs w:val="20"/>
          <w:lang w:eastAsia="it-IT"/>
        </w:rPr>
        <w:t>rilevanza</w:t>
      </w:r>
      <w:r w:rsidRPr="0062207D">
        <w:rPr>
          <w:rFonts w:ascii="Segoe UI" w:hAnsi="Segoe UI" w:cs="Segoe UI"/>
          <w:noProof/>
          <w:szCs w:val="20"/>
          <w:lang w:eastAsia="it-IT"/>
        </w:rPr>
        <w:t>”</w:t>
      </w:r>
      <w:r w:rsidR="00F02365">
        <w:rPr>
          <w:rFonts w:ascii="Segoe UI" w:hAnsi="Segoe UI" w:cs="Segoe UI"/>
          <w:noProof/>
          <w:szCs w:val="20"/>
          <w:lang w:eastAsia="it-IT"/>
        </w:rPr>
        <w:t xml:space="preserve"> come definito però nei Principi contabili (principio cui è attribuita una definizione alquanto diversa rispetto a quell</w:t>
      </w:r>
      <w:r w:rsidR="00377E80">
        <w:rPr>
          <w:rFonts w:ascii="Segoe UI" w:hAnsi="Segoe UI" w:cs="Segoe UI"/>
          <w:noProof/>
          <w:szCs w:val="20"/>
          <w:lang w:eastAsia="it-IT"/>
        </w:rPr>
        <w:t>a adottata per il</w:t>
      </w:r>
      <w:r w:rsidR="00F02365">
        <w:rPr>
          <w:rFonts w:ascii="Segoe UI" w:hAnsi="Segoe UI" w:cs="Segoe UI"/>
          <w:noProof/>
          <w:szCs w:val="20"/>
          <w:lang w:eastAsia="it-IT"/>
        </w:rPr>
        <w:t xml:space="preserve"> concetto di “significatività”)</w:t>
      </w:r>
      <w:r w:rsidRPr="0062207D">
        <w:rPr>
          <w:rFonts w:ascii="Segoe UI" w:hAnsi="Segoe UI" w:cs="Segoe UI"/>
          <w:noProof/>
          <w:szCs w:val="20"/>
          <w:lang w:eastAsia="it-IT"/>
        </w:rPr>
        <w:t>.</w:t>
      </w:r>
    </w:p>
    <w:p w14:paraId="755CB397" w14:textId="1C47478D" w:rsidR="00A3284F" w:rsidRPr="00A42E62" w:rsidRDefault="00EC6246" w:rsidP="00A42E62">
      <w:pPr>
        <w:keepNext/>
        <w:keepLines/>
        <w:tabs>
          <w:tab w:val="left" w:pos="567"/>
        </w:tabs>
        <w:spacing w:before="1080" w:after="720" w:line="240" w:lineRule="auto"/>
        <w:ind w:left="567" w:hanging="567"/>
        <w:outlineLvl w:val="1"/>
        <w:rPr>
          <w:rFonts w:ascii="Segoe UI" w:eastAsiaTheme="minorHAnsi" w:hAnsi="Segoe UI" w:cs="Segoe UI"/>
          <w:bCs/>
          <w:sz w:val="28"/>
          <w:szCs w:val="28"/>
        </w:rPr>
      </w:pPr>
      <w:bookmarkStart w:id="12" w:name="_Toc507973945"/>
      <w:r w:rsidRPr="00A42E62">
        <w:rPr>
          <w:rFonts w:ascii="Segoe UI" w:eastAsiaTheme="minorHAnsi" w:hAnsi="Segoe UI" w:cs="Segoe UI"/>
          <w:bCs/>
          <w:sz w:val="28"/>
          <w:szCs w:val="28"/>
        </w:rPr>
        <w:t>2.2</w:t>
      </w:r>
      <w:r w:rsidRPr="00A42E62">
        <w:rPr>
          <w:rFonts w:ascii="Segoe UI" w:eastAsiaTheme="minorHAnsi" w:hAnsi="Segoe UI" w:cs="Segoe UI"/>
          <w:bCs/>
          <w:sz w:val="28"/>
          <w:szCs w:val="28"/>
        </w:rPr>
        <w:tab/>
      </w:r>
      <w:r w:rsidR="004B7F77" w:rsidRPr="00A42E62">
        <w:rPr>
          <w:rFonts w:ascii="Segoe UI" w:eastAsiaTheme="minorHAnsi" w:hAnsi="Segoe UI" w:cs="Segoe UI"/>
          <w:bCs/>
          <w:sz w:val="28"/>
          <w:szCs w:val="28"/>
        </w:rPr>
        <w:t xml:space="preserve">Rendicontazione non finanziaria: direttiva </w:t>
      </w:r>
      <w:r w:rsidR="00A3284F" w:rsidRPr="00A42E62">
        <w:rPr>
          <w:rFonts w:ascii="Segoe UI" w:eastAsiaTheme="minorHAnsi" w:hAnsi="Segoe UI" w:cs="Segoe UI"/>
          <w:bCs/>
          <w:sz w:val="28"/>
          <w:szCs w:val="28"/>
        </w:rPr>
        <w:t>2014/95/</w:t>
      </w:r>
      <w:r w:rsidR="004F6729">
        <w:rPr>
          <w:rFonts w:ascii="Segoe UI" w:eastAsiaTheme="minorHAnsi" w:hAnsi="Segoe UI" w:cs="Segoe UI"/>
          <w:bCs/>
          <w:sz w:val="28"/>
          <w:szCs w:val="28"/>
        </w:rPr>
        <w:t>U</w:t>
      </w:r>
      <w:r w:rsidR="00A3284F" w:rsidRPr="00A42E62">
        <w:rPr>
          <w:rFonts w:ascii="Segoe UI" w:eastAsiaTheme="minorHAnsi" w:hAnsi="Segoe UI" w:cs="Segoe UI"/>
          <w:bCs/>
          <w:sz w:val="28"/>
          <w:szCs w:val="28"/>
        </w:rPr>
        <w:t>E</w:t>
      </w:r>
      <w:bookmarkEnd w:id="12"/>
    </w:p>
    <w:p w14:paraId="14E03871" w14:textId="3229804E" w:rsidR="0011479F" w:rsidRPr="0062207D" w:rsidRDefault="0011479F" w:rsidP="00E10D4A">
      <w:pPr>
        <w:spacing w:before="120" w:after="120" w:line="240" w:lineRule="auto"/>
        <w:jc w:val="both"/>
        <w:rPr>
          <w:rFonts w:ascii="Segoe UI" w:hAnsi="Segoe UI" w:cs="Segoe UI"/>
          <w:szCs w:val="20"/>
        </w:rPr>
      </w:pPr>
      <w:r w:rsidRPr="0062207D">
        <w:rPr>
          <w:rFonts w:ascii="Segoe UI" w:hAnsi="Segoe UI" w:cs="Segoe UI"/>
          <w:szCs w:val="20"/>
        </w:rPr>
        <w:t>Con riguardo alla rendicontazione non finanziaria, nell’ambito normativo dell’Unione europea, il concetto di “</w:t>
      </w:r>
      <w:r w:rsidRPr="0062207D">
        <w:rPr>
          <w:rFonts w:ascii="Segoe UI" w:hAnsi="Segoe UI" w:cs="Segoe UI"/>
          <w:i/>
          <w:szCs w:val="20"/>
        </w:rPr>
        <w:t>materiality</w:t>
      </w:r>
      <w:r w:rsidRPr="0062207D">
        <w:rPr>
          <w:rFonts w:ascii="Segoe UI" w:hAnsi="Segoe UI" w:cs="Segoe UI"/>
          <w:szCs w:val="20"/>
        </w:rPr>
        <w:t>” o il termine “</w:t>
      </w:r>
      <w:r w:rsidRPr="0062207D">
        <w:rPr>
          <w:rFonts w:ascii="Segoe UI" w:hAnsi="Segoe UI" w:cs="Segoe UI"/>
          <w:i/>
          <w:szCs w:val="20"/>
        </w:rPr>
        <w:t>material</w:t>
      </w:r>
      <w:r w:rsidRPr="0062207D">
        <w:rPr>
          <w:rFonts w:ascii="Segoe UI" w:hAnsi="Segoe UI" w:cs="Segoe UI"/>
          <w:szCs w:val="20"/>
        </w:rPr>
        <w:t>” non sono attualmente esplicitati</w:t>
      </w:r>
      <w:r w:rsidR="002E0D7C">
        <w:rPr>
          <w:rFonts w:ascii="Segoe UI" w:hAnsi="Segoe UI" w:cs="Segoe UI"/>
          <w:szCs w:val="20"/>
        </w:rPr>
        <w:t xml:space="preserve"> </w:t>
      </w:r>
      <w:r w:rsidR="00AF5F4B">
        <w:rPr>
          <w:rFonts w:ascii="Segoe UI" w:hAnsi="Segoe UI" w:cs="Segoe UI"/>
          <w:szCs w:val="20"/>
        </w:rPr>
        <w:t>(</w:t>
      </w:r>
      <w:r w:rsidR="002E0D7C">
        <w:rPr>
          <w:rFonts w:ascii="Segoe UI" w:hAnsi="Segoe UI" w:cs="Segoe UI"/>
          <w:szCs w:val="20"/>
        </w:rPr>
        <w:t xml:space="preserve">il concetto di </w:t>
      </w:r>
      <w:r w:rsidR="007460F6">
        <w:rPr>
          <w:rFonts w:ascii="Segoe UI" w:hAnsi="Segoe UI" w:cs="Segoe UI"/>
          <w:szCs w:val="20"/>
        </w:rPr>
        <w:t>“</w:t>
      </w:r>
      <w:r w:rsidR="002E0D7C" w:rsidRPr="007460F6">
        <w:rPr>
          <w:rFonts w:ascii="Segoe UI" w:hAnsi="Segoe UI" w:cs="Segoe UI"/>
          <w:i/>
          <w:szCs w:val="20"/>
        </w:rPr>
        <w:t>materiality</w:t>
      </w:r>
      <w:r w:rsidR="007460F6">
        <w:rPr>
          <w:rFonts w:ascii="Segoe UI" w:hAnsi="Segoe UI" w:cs="Segoe UI"/>
          <w:szCs w:val="20"/>
        </w:rPr>
        <w:t>”</w:t>
      </w:r>
      <w:r w:rsidR="002E0D7C">
        <w:rPr>
          <w:rFonts w:ascii="Segoe UI" w:hAnsi="Segoe UI" w:cs="Segoe UI"/>
          <w:szCs w:val="20"/>
        </w:rPr>
        <w:t xml:space="preserve"> è </w:t>
      </w:r>
      <w:r w:rsidR="007460F6">
        <w:rPr>
          <w:rFonts w:ascii="Segoe UI" w:hAnsi="Segoe UI" w:cs="Segoe UI"/>
          <w:szCs w:val="20"/>
        </w:rPr>
        <w:t xml:space="preserve">stato </w:t>
      </w:r>
      <w:r w:rsidR="002E0D7C">
        <w:rPr>
          <w:rFonts w:ascii="Segoe UI" w:hAnsi="Segoe UI" w:cs="Segoe UI"/>
          <w:szCs w:val="20"/>
        </w:rPr>
        <w:t xml:space="preserve">invece </w:t>
      </w:r>
      <w:r w:rsidR="007460F6">
        <w:rPr>
          <w:rFonts w:ascii="Segoe UI" w:hAnsi="Segoe UI" w:cs="Segoe UI"/>
          <w:szCs w:val="20"/>
        </w:rPr>
        <w:t>s</w:t>
      </w:r>
      <w:r w:rsidR="002E0D7C">
        <w:rPr>
          <w:rFonts w:ascii="Segoe UI" w:hAnsi="Segoe UI" w:cs="Segoe UI"/>
          <w:szCs w:val="20"/>
        </w:rPr>
        <w:t>doganato in ambito interpretativo negli Orientamenti</w:t>
      </w:r>
      <w:r w:rsidR="00F865E3">
        <w:rPr>
          <w:rFonts w:ascii="Segoe UI" w:hAnsi="Segoe UI" w:cs="Segoe UI"/>
          <w:szCs w:val="20"/>
        </w:rPr>
        <w:t xml:space="preserve"> sulla comunicazione </w:t>
      </w:r>
      <w:r w:rsidR="00A2054D">
        <w:rPr>
          <w:rFonts w:ascii="Segoe UI" w:hAnsi="Segoe UI" w:cs="Segoe UI"/>
          <w:szCs w:val="20"/>
        </w:rPr>
        <w:t xml:space="preserve">di informazioni </w:t>
      </w:r>
      <w:r w:rsidR="00F865E3">
        <w:rPr>
          <w:rFonts w:ascii="Segoe UI" w:hAnsi="Segoe UI" w:cs="Segoe UI"/>
          <w:szCs w:val="20"/>
        </w:rPr>
        <w:t xml:space="preserve">di carattere non finanziario </w:t>
      </w:r>
      <w:r w:rsidR="002E0D7C">
        <w:rPr>
          <w:rFonts w:ascii="Segoe UI" w:hAnsi="Segoe UI" w:cs="Segoe UI"/>
          <w:szCs w:val="20"/>
        </w:rPr>
        <w:t>della Commissione europea</w:t>
      </w:r>
      <w:r w:rsidR="00A2054D">
        <w:rPr>
          <w:rFonts w:ascii="Segoe UI" w:hAnsi="Segoe UI" w:cs="Segoe UI"/>
          <w:szCs w:val="20"/>
        </w:rPr>
        <w:t xml:space="preserve"> del 5 luglio 2017</w:t>
      </w:r>
      <w:r w:rsidR="00AF5F4B">
        <w:rPr>
          <w:rFonts w:ascii="Segoe UI" w:hAnsi="Segoe UI" w:cs="Segoe UI"/>
          <w:szCs w:val="20"/>
        </w:rPr>
        <w:t>)</w:t>
      </w:r>
      <w:r w:rsidRPr="0062207D">
        <w:rPr>
          <w:rFonts w:ascii="Segoe UI" w:hAnsi="Segoe UI" w:cs="Segoe UI"/>
          <w:szCs w:val="20"/>
        </w:rPr>
        <w:t xml:space="preserve">; </w:t>
      </w:r>
      <w:r w:rsidR="00AF5F4B">
        <w:rPr>
          <w:rFonts w:ascii="Segoe UI" w:hAnsi="Segoe UI" w:cs="Segoe UI"/>
          <w:szCs w:val="20"/>
        </w:rPr>
        <w:t>d’altro canto</w:t>
      </w:r>
      <w:r w:rsidR="000C587F">
        <w:rPr>
          <w:rFonts w:ascii="Segoe UI" w:hAnsi="Segoe UI" w:cs="Segoe UI"/>
          <w:szCs w:val="20"/>
        </w:rPr>
        <w:t xml:space="preserve">, seppur con differenti accezioni, </w:t>
      </w:r>
      <w:r w:rsidRPr="0062207D">
        <w:rPr>
          <w:rFonts w:ascii="Segoe UI" w:hAnsi="Segoe UI" w:cs="Segoe UI"/>
          <w:szCs w:val="20"/>
        </w:rPr>
        <w:t>il termine “</w:t>
      </w:r>
      <w:r w:rsidRPr="0062207D">
        <w:rPr>
          <w:rFonts w:ascii="Segoe UI" w:hAnsi="Segoe UI" w:cs="Segoe UI"/>
          <w:i/>
          <w:szCs w:val="20"/>
        </w:rPr>
        <w:t>relevant</w:t>
      </w:r>
      <w:r w:rsidRPr="000C587F">
        <w:rPr>
          <w:rFonts w:ascii="Segoe UI" w:hAnsi="Segoe UI" w:cs="Segoe UI"/>
          <w:szCs w:val="20"/>
        </w:rPr>
        <w:t>”</w:t>
      </w:r>
      <w:r w:rsidR="0071714A" w:rsidRPr="0062207D">
        <w:rPr>
          <w:rFonts w:ascii="Segoe UI" w:hAnsi="Segoe UI" w:cs="Segoe UI"/>
          <w:szCs w:val="20"/>
        </w:rPr>
        <w:t xml:space="preserve"> </w:t>
      </w:r>
      <w:r w:rsidR="000C587F" w:rsidRPr="0062207D">
        <w:rPr>
          <w:rFonts w:ascii="Segoe UI" w:hAnsi="Segoe UI" w:cs="Segoe UI"/>
          <w:szCs w:val="20"/>
        </w:rPr>
        <w:t>è adottato</w:t>
      </w:r>
      <w:r w:rsidR="000C587F">
        <w:rPr>
          <w:rFonts w:ascii="Segoe UI" w:hAnsi="Segoe UI" w:cs="Segoe UI"/>
          <w:szCs w:val="20"/>
        </w:rPr>
        <w:t xml:space="preserve"> </w:t>
      </w:r>
      <w:r w:rsidR="00C405F0">
        <w:rPr>
          <w:rFonts w:ascii="Segoe UI" w:hAnsi="Segoe UI" w:cs="Segoe UI"/>
          <w:szCs w:val="20"/>
        </w:rPr>
        <w:t>in varie circostanz</w:t>
      </w:r>
      <w:r w:rsidR="002B79EC">
        <w:rPr>
          <w:rFonts w:ascii="Segoe UI" w:hAnsi="Segoe UI" w:cs="Segoe UI"/>
          <w:szCs w:val="20"/>
        </w:rPr>
        <w:t xml:space="preserve">e </w:t>
      </w:r>
      <w:r w:rsidRPr="0062207D">
        <w:rPr>
          <w:rFonts w:ascii="Segoe UI" w:hAnsi="Segoe UI" w:cs="Segoe UI"/>
          <w:szCs w:val="20"/>
        </w:rPr>
        <w:t>nella direttiva 2014/95/UE.</w:t>
      </w:r>
    </w:p>
    <w:p w14:paraId="721DB64C" w14:textId="77777777" w:rsidR="008F338B" w:rsidRDefault="008F338B" w:rsidP="0013336D">
      <w:pPr>
        <w:spacing w:before="120" w:after="120" w:line="240" w:lineRule="auto"/>
        <w:rPr>
          <w:rFonts w:ascii="Segoe UI" w:hAnsi="Segoe UI" w:cs="Segoe UI"/>
          <w:szCs w:val="20"/>
        </w:rPr>
      </w:pPr>
    </w:p>
    <w:p w14:paraId="3700DBA8" w14:textId="77777777" w:rsidR="00564B61" w:rsidRDefault="00564B61" w:rsidP="0013336D">
      <w:pPr>
        <w:spacing w:before="120" w:after="120" w:line="240" w:lineRule="auto"/>
        <w:rPr>
          <w:rFonts w:ascii="Segoe UI" w:hAnsi="Segoe UI" w:cs="Segoe UI"/>
          <w:szCs w:val="20"/>
        </w:rPr>
      </w:pPr>
    </w:p>
    <w:p w14:paraId="049FD05C" w14:textId="57AA7684" w:rsidR="0080248C" w:rsidRDefault="00564B61" w:rsidP="00564B61">
      <w:pPr>
        <w:keepNext/>
        <w:keepLines/>
        <w:tabs>
          <w:tab w:val="left" w:pos="284"/>
        </w:tabs>
        <w:spacing w:before="120" w:after="120" w:line="240" w:lineRule="auto"/>
        <w:jc w:val="both"/>
        <w:rPr>
          <w:rFonts w:ascii="Segoe UI" w:hAnsi="Segoe UI" w:cs="Segoe UI"/>
          <w:szCs w:val="20"/>
        </w:rPr>
      </w:pPr>
      <w:r>
        <w:rPr>
          <w:rFonts w:ascii="Segoe UI" w:hAnsi="Segoe UI" w:cs="Segoe UI"/>
          <w:szCs w:val="20"/>
        </w:rPr>
        <w:t>A.</w:t>
      </w:r>
      <w:r>
        <w:rPr>
          <w:rFonts w:ascii="Segoe UI" w:hAnsi="Segoe UI" w:cs="Segoe UI"/>
          <w:szCs w:val="20"/>
        </w:rPr>
        <w:tab/>
      </w:r>
      <w:r w:rsidR="0080248C" w:rsidRPr="00EE1972">
        <w:rPr>
          <w:rFonts w:ascii="Segoe UI" w:hAnsi="Segoe UI" w:cs="Segoe UI"/>
          <w:i/>
          <w:szCs w:val="20"/>
        </w:rPr>
        <w:t>Relevant</w:t>
      </w:r>
    </w:p>
    <w:p w14:paraId="2F88E9E7" w14:textId="77777777" w:rsidR="0080248C" w:rsidRDefault="0080248C" w:rsidP="0080248C">
      <w:pPr>
        <w:keepNext/>
        <w:keepLines/>
        <w:spacing w:before="120" w:after="120" w:line="240" w:lineRule="auto"/>
        <w:jc w:val="both"/>
        <w:rPr>
          <w:rFonts w:ascii="Segoe UI" w:hAnsi="Segoe UI" w:cs="Segoe UI"/>
          <w:noProof/>
          <w:szCs w:val="20"/>
          <w:lang w:eastAsia="it-IT"/>
        </w:rPr>
      </w:pPr>
    </w:p>
    <w:p w14:paraId="5AAF673F" w14:textId="57EA3C78" w:rsidR="00EB3E68" w:rsidRDefault="00706E13" w:rsidP="00EB3E68">
      <w:pPr>
        <w:keepNext/>
        <w:keepLines/>
        <w:spacing w:before="120" w:after="120" w:line="240" w:lineRule="auto"/>
        <w:jc w:val="both"/>
        <w:rPr>
          <w:rFonts w:ascii="Segoe UI" w:hAnsi="Segoe UI" w:cs="Segoe UI"/>
          <w:noProof/>
          <w:szCs w:val="20"/>
          <w:lang w:eastAsia="it-IT"/>
        </w:rPr>
      </w:pPr>
      <w:r>
        <w:rPr>
          <w:rFonts w:ascii="Segoe UI" w:hAnsi="Segoe UI" w:cs="Segoe UI"/>
          <w:noProof/>
          <w:szCs w:val="20"/>
          <w:lang w:eastAsia="it-IT"/>
        </w:rPr>
        <w:t>Traduzione</w:t>
      </w:r>
      <w:r w:rsidR="00BD2F81">
        <w:rPr>
          <w:rFonts w:ascii="Segoe UI" w:hAnsi="Segoe UI" w:cs="Segoe UI"/>
          <w:noProof/>
          <w:szCs w:val="20"/>
          <w:lang w:eastAsia="it-IT"/>
        </w:rPr>
        <w:t>:</w:t>
      </w:r>
      <w:r>
        <w:rPr>
          <w:rFonts w:ascii="Segoe UI" w:hAnsi="Segoe UI" w:cs="Segoe UI"/>
          <w:noProof/>
          <w:szCs w:val="20"/>
          <w:lang w:eastAsia="it-IT"/>
        </w:rPr>
        <w:t xml:space="preserve"> opzione 1</w:t>
      </w:r>
      <w:r w:rsidR="00546A47">
        <w:rPr>
          <w:rFonts w:ascii="Segoe UI" w:hAnsi="Segoe UI" w:cs="Segoe UI"/>
          <w:noProof/>
          <w:szCs w:val="20"/>
          <w:lang w:eastAsia="it-IT"/>
        </w:rPr>
        <w:t xml:space="preserve"> / </w:t>
      </w:r>
      <w:r w:rsidR="00BD2F81">
        <w:rPr>
          <w:rFonts w:ascii="Segoe UI" w:hAnsi="Segoe UI" w:cs="Segoe UI"/>
          <w:noProof/>
          <w:szCs w:val="20"/>
          <w:lang w:eastAsia="it-IT"/>
        </w:rPr>
        <w:t>A</w:t>
      </w:r>
      <w:r w:rsidR="00546A47">
        <w:rPr>
          <w:rFonts w:ascii="Segoe UI" w:hAnsi="Segoe UI" w:cs="Segoe UI"/>
          <w:noProof/>
          <w:szCs w:val="20"/>
          <w:lang w:eastAsia="it-IT"/>
        </w:rPr>
        <w:t>ccezione</w:t>
      </w:r>
      <w:r w:rsidR="00BD2F81">
        <w:rPr>
          <w:rFonts w:ascii="Segoe UI" w:hAnsi="Segoe UI" w:cs="Segoe UI"/>
          <w:noProof/>
          <w:szCs w:val="20"/>
          <w:lang w:eastAsia="it-IT"/>
        </w:rPr>
        <w:t>: opzione</w:t>
      </w:r>
      <w:r w:rsidR="00546A47">
        <w:rPr>
          <w:rFonts w:ascii="Segoe UI" w:hAnsi="Segoe UI" w:cs="Segoe UI"/>
          <w:noProof/>
          <w:szCs w:val="20"/>
          <w:lang w:eastAsia="it-IT"/>
        </w:rPr>
        <w:t xml:space="preserve"> 1</w:t>
      </w:r>
    </w:p>
    <w:p w14:paraId="63BF1A3B" w14:textId="73501F48" w:rsidR="00A3284F" w:rsidRPr="0062207D" w:rsidRDefault="0071714A" w:rsidP="0013336D">
      <w:pPr>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Il termine “</w:t>
      </w:r>
      <w:r w:rsidRPr="00E10D4A">
        <w:rPr>
          <w:rFonts w:ascii="Segoe UI" w:hAnsi="Segoe UI" w:cs="Segoe UI"/>
          <w:i/>
          <w:noProof/>
          <w:szCs w:val="20"/>
          <w:lang w:eastAsia="it-IT"/>
        </w:rPr>
        <w:t>relevant</w:t>
      </w:r>
      <w:r w:rsidRPr="0062207D">
        <w:rPr>
          <w:rFonts w:ascii="Segoe UI" w:hAnsi="Segoe UI" w:cs="Segoe UI"/>
          <w:noProof/>
          <w:szCs w:val="20"/>
          <w:lang w:eastAsia="it-IT"/>
        </w:rPr>
        <w:t xml:space="preserve">” è adottato in una prima accezione nella direttiva 2014/95/UE con riferimento alla </w:t>
      </w:r>
      <w:r w:rsidR="00A3284F" w:rsidRPr="0062207D">
        <w:rPr>
          <w:rFonts w:ascii="Segoe UI" w:hAnsi="Segoe UI" w:cs="Segoe UI"/>
          <w:i/>
          <w:noProof/>
          <w:szCs w:val="20"/>
          <w:lang w:eastAsia="it-IT"/>
        </w:rPr>
        <w:t>supply chain</w:t>
      </w:r>
      <w:r w:rsidRPr="0062207D">
        <w:rPr>
          <w:rFonts w:ascii="Segoe UI" w:hAnsi="Segoe UI" w:cs="Segoe UI"/>
          <w:noProof/>
          <w:szCs w:val="20"/>
          <w:lang w:eastAsia="it-IT"/>
        </w:rPr>
        <w:t>.</w:t>
      </w:r>
    </w:p>
    <w:p w14:paraId="353288BA" w14:textId="6A57FA61" w:rsidR="0071714A" w:rsidRPr="0062207D" w:rsidRDefault="0071714A" w:rsidP="00EB3E68">
      <w:pPr>
        <w:keepNext/>
        <w:keepLines/>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Nella versione inglese, l’art</w:t>
      </w:r>
      <w:r w:rsidR="00EE1972">
        <w:rPr>
          <w:rFonts w:ascii="Segoe UI" w:hAnsi="Segoe UI" w:cs="Segoe UI"/>
          <w:noProof/>
          <w:szCs w:val="20"/>
          <w:lang w:eastAsia="it-IT"/>
        </w:rPr>
        <w:t>.</w:t>
      </w:r>
      <w:r w:rsidRPr="0062207D">
        <w:rPr>
          <w:rFonts w:ascii="Segoe UI" w:hAnsi="Segoe UI" w:cs="Segoe UI"/>
          <w:noProof/>
          <w:szCs w:val="20"/>
          <w:lang w:eastAsia="it-IT"/>
        </w:rPr>
        <w:t xml:space="preserve"> 1, “Amendments to Directive 2013/34/EU”, paragrafo 1, punto 1, lett</w:t>
      </w:r>
      <w:r w:rsidR="00EE1972">
        <w:rPr>
          <w:rFonts w:ascii="Segoe UI" w:hAnsi="Segoe UI" w:cs="Segoe UI"/>
          <w:noProof/>
          <w:szCs w:val="20"/>
          <w:lang w:eastAsia="it-IT"/>
        </w:rPr>
        <w:t>.</w:t>
      </w:r>
      <w:r w:rsidRPr="0062207D">
        <w:rPr>
          <w:rFonts w:ascii="Segoe UI" w:hAnsi="Segoe UI" w:cs="Segoe UI"/>
          <w:noProof/>
          <w:szCs w:val="20"/>
          <w:lang w:eastAsia="it-IT"/>
        </w:rPr>
        <w:t xml:space="preserve"> d), recita:</w:t>
      </w:r>
    </w:p>
    <w:p w14:paraId="7D4FD7FE" w14:textId="3163AD1E" w:rsidR="0071714A" w:rsidRPr="007F5442" w:rsidRDefault="0071714A" w:rsidP="00136135">
      <w:pPr>
        <w:spacing w:before="120" w:after="120" w:line="240" w:lineRule="auto"/>
        <w:ind w:left="284" w:right="284"/>
        <w:jc w:val="both"/>
        <w:rPr>
          <w:rFonts w:ascii="Segoe UI" w:hAnsi="Segoe UI" w:cs="Segoe UI"/>
          <w:i/>
          <w:color w:val="525252" w:themeColor="accent3" w:themeShade="80"/>
          <w:sz w:val="20"/>
          <w:szCs w:val="20"/>
          <w:lang w:val="en-US"/>
        </w:rPr>
      </w:pPr>
      <w:r w:rsidRPr="005303C2">
        <w:rPr>
          <w:rFonts w:ascii="Segoe UI" w:hAnsi="Segoe UI" w:cs="Segoe UI"/>
          <w:color w:val="525252" w:themeColor="accent3" w:themeShade="80"/>
          <w:sz w:val="20"/>
          <w:szCs w:val="20"/>
          <w:lang w:val="en-US"/>
        </w:rPr>
        <w:t>“[...]</w:t>
      </w:r>
      <w:r w:rsidRPr="007F5442">
        <w:rPr>
          <w:rFonts w:ascii="Segoe UI" w:hAnsi="Segoe UI" w:cs="Segoe UI"/>
          <w:i/>
          <w:color w:val="525252" w:themeColor="accent3" w:themeShade="80"/>
          <w:sz w:val="20"/>
          <w:szCs w:val="20"/>
          <w:lang w:val="en-US"/>
        </w:rPr>
        <w:t xml:space="preserve"> (d) the principal risks related to those matters linked to the undertaking</w:t>
      </w:r>
      <w:r w:rsidR="00136135">
        <w:rPr>
          <w:rFonts w:ascii="Segoe UI" w:hAnsi="Segoe UI" w:cs="Segoe UI"/>
          <w:i/>
          <w:color w:val="525252" w:themeColor="accent3" w:themeShade="80"/>
          <w:sz w:val="20"/>
          <w:szCs w:val="20"/>
          <w:lang w:val="en-US"/>
        </w:rPr>
        <w:t>’</w:t>
      </w:r>
      <w:r w:rsidRPr="007F5442">
        <w:rPr>
          <w:rFonts w:ascii="Segoe UI" w:hAnsi="Segoe UI" w:cs="Segoe UI"/>
          <w:i/>
          <w:color w:val="525252" w:themeColor="accent3" w:themeShade="80"/>
          <w:sz w:val="20"/>
          <w:szCs w:val="20"/>
          <w:lang w:val="en-US"/>
        </w:rPr>
        <w:t xml:space="preserve">s operations including, where relevant and proportionate, its business relationships, products or services which are likely to cause adverse impacts in those areas, and how the undertaking manages those risks; </w:t>
      </w:r>
      <w:r w:rsidRPr="005303C2">
        <w:rPr>
          <w:rFonts w:ascii="Segoe UI" w:hAnsi="Segoe UI" w:cs="Segoe UI"/>
          <w:color w:val="525252" w:themeColor="accent3" w:themeShade="80"/>
          <w:sz w:val="20"/>
          <w:szCs w:val="20"/>
          <w:lang w:val="en-US"/>
        </w:rPr>
        <w:t>[...]”.</w:t>
      </w:r>
    </w:p>
    <w:p w14:paraId="3BFEB4DF" w14:textId="4FA6F4CE" w:rsidR="0071714A" w:rsidRPr="0062207D" w:rsidRDefault="0071714A" w:rsidP="00EB3E68">
      <w:pPr>
        <w:keepNext/>
        <w:keepLines/>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Nella versione italiana, l’art</w:t>
      </w:r>
      <w:r w:rsidR="00EE1972">
        <w:rPr>
          <w:rFonts w:ascii="Segoe UI" w:hAnsi="Segoe UI" w:cs="Segoe UI"/>
          <w:noProof/>
          <w:szCs w:val="20"/>
          <w:lang w:eastAsia="it-IT"/>
        </w:rPr>
        <w:t>.</w:t>
      </w:r>
      <w:r w:rsidRPr="0062207D">
        <w:rPr>
          <w:rFonts w:ascii="Segoe UI" w:hAnsi="Segoe UI" w:cs="Segoe UI"/>
          <w:noProof/>
          <w:szCs w:val="20"/>
          <w:lang w:eastAsia="it-IT"/>
        </w:rPr>
        <w:t xml:space="preserve"> 1, “Modifiche della direttiva 2013/34/UE”, c</w:t>
      </w:r>
      <w:r w:rsidR="00EE1972">
        <w:rPr>
          <w:rFonts w:ascii="Segoe UI" w:hAnsi="Segoe UI" w:cs="Segoe UI"/>
          <w:noProof/>
          <w:szCs w:val="20"/>
          <w:lang w:eastAsia="it-IT"/>
        </w:rPr>
        <w:t>o.</w:t>
      </w:r>
      <w:r w:rsidRPr="0062207D">
        <w:rPr>
          <w:rFonts w:ascii="Segoe UI" w:hAnsi="Segoe UI" w:cs="Segoe UI"/>
          <w:noProof/>
          <w:szCs w:val="20"/>
          <w:lang w:eastAsia="it-IT"/>
        </w:rPr>
        <w:t xml:space="preserve"> 1, punto 1, lett</w:t>
      </w:r>
      <w:r w:rsidR="00EE1972">
        <w:rPr>
          <w:rFonts w:ascii="Segoe UI" w:hAnsi="Segoe UI" w:cs="Segoe UI"/>
          <w:noProof/>
          <w:szCs w:val="20"/>
          <w:lang w:eastAsia="it-IT"/>
        </w:rPr>
        <w:t>.</w:t>
      </w:r>
      <w:r w:rsidRPr="0062207D">
        <w:rPr>
          <w:rFonts w:ascii="Segoe UI" w:hAnsi="Segoe UI" w:cs="Segoe UI"/>
          <w:noProof/>
          <w:szCs w:val="20"/>
          <w:lang w:eastAsia="it-IT"/>
        </w:rPr>
        <w:t xml:space="preserve"> d), recita:</w:t>
      </w:r>
    </w:p>
    <w:p w14:paraId="7F08D3A8" w14:textId="62CA0424" w:rsidR="0071714A" w:rsidRPr="007F5442" w:rsidRDefault="0071714A" w:rsidP="002A5E0E">
      <w:pPr>
        <w:spacing w:before="120" w:after="120" w:line="240" w:lineRule="auto"/>
        <w:ind w:left="284" w:right="284"/>
        <w:jc w:val="both"/>
        <w:rPr>
          <w:rFonts w:ascii="Segoe UI" w:hAnsi="Segoe UI" w:cs="Segoe UI"/>
          <w:i/>
          <w:color w:val="525252" w:themeColor="accent3" w:themeShade="80"/>
          <w:sz w:val="20"/>
          <w:szCs w:val="20"/>
        </w:rPr>
      </w:pPr>
      <w:r w:rsidRPr="005303C2">
        <w:rPr>
          <w:rFonts w:ascii="Segoe UI" w:hAnsi="Segoe UI" w:cs="Segoe UI"/>
          <w:color w:val="525252" w:themeColor="accent3" w:themeShade="80"/>
          <w:sz w:val="20"/>
          <w:szCs w:val="20"/>
        </w:rPr>
        <w:t>“[...]</w:t>
      </w:r>
      <w:r w:rsidRPr="007F5442">
        <w:rPr>
          <w:rFonts w:ascii="Segoe UI" w:hAnsi="Segoe UI" w:cs="Segoe UI"/>
          <w:i/>
          <w:color w:val="525252" w:themeColor="accent3" w:themeShade="80"/>
          <w:sz w:val="20"/>
          <w:szCs w:val="20"/>
        </w:rPr>
        <w:t xml:space="preserve"> d) i principali rischi connessi a tali aspetti legati alle attività dell</w:t>
      </w:r>
      <w:r w:rsidR="002A5E0E">
        <w:rPr>
          <w:rFonts w:ascii="Segoe UI" w:hAnsi="Segoe UI" w:cs="Segoe UI"/>
          <w:i/>
          <w:color w:val="525252" w:themeColor="accent3" w:themeShade="80"/>
          <w:sz w:val="20"/>
          <w:szCs w:val="20"/>
        </w:rPr>
        <w:t>’</w:t>
      </w:r>
      <w:r w:rsidRPr="007F5442">
        <w:rPr>
          <w:rFonts w:ascii="Segoe UI" w:hAnsi="Segoe UI" w:cs="Segoe UI"/>
          <w:i/>
          <w:color w:val="525252" w:themeColor="accent3" w:themeShade="80"/>
          <w:sz w:val="20"/>
          <w:szCs w:val="20"/>
        </w:rPr>
        <w:t>impresa anche in riferimento, ove opportuno e proporzionato, ai suoi rapporti, prodotti e servizi commerciali che possono avere ripercussioni negative in tali ambiti, nonché le relative modalità di gestione adottate dall</w:t>
      </w:r>
      <w:r w:rsidR="002A5E0E">
        <w:rPr>
          <w:rFonts w:ascii="Segoe UI" w:hAnsi="Segoe UI" w:cs="Segoe UI"/>
          <w:i/>
          <w:color w:val="525252" w:themeColor="accent3" w:themeShade="80"/>
          <w:sz w:val="20"/>
          <w:szCs w:val="20"/>
        </w:rPr>
        <w:t>’</w:t>
      </w:r>
      <w:r w:rsidRPr="007F5442">
        <w:rPr>
          <w:rFonts w:ascii="Segoe UI" w:hAnsi="Segoe UI" w:cs="Segoe UI"/>
          <w:i/>
          <w:color w:val="525252" w:themeColor="accent3" w:themeShade="80"/>
          <w:sz w:val="20"/>
          <w:szCs w:val="20"/>
        </w:rPr>
        <w:t xml:space="preserve">impresa; </w:t>
      </w:r>
      <w:r w:rsidRPr="005303C2">
        <w:rPr>
          <w:rFonts w:ascii="Segoe UI" w:hAnsi="Segoe UI" w:cs="Segoe UI"/>
          <w:color w:val="525252" w:themeColor="accent3" w:themeShade="80"/>
          <w:sz w:val="20"/>
          <w:szCs w:val="20"/>
        </w:rPr>
        <w:t>[...]”.</w:t>
      </w:r>
    </w:p>
    <w:p w14:paraId="32D79B3B" w14:textId="0C562AB4" w:rsidR="00EC4EF4" w:rsidRPr="0062207D" w:rsidRDefault="00AE415C" w:rsidP="0013336D">
      <w:pPr>
        <w:spacing w:before="120" w:after="120" w:line="240" w:lineRule="auto"/>
        <w:jc w:val="both"/>
        <w:rPr>
          <w:rFonts w:ascii="Segoe UI" w:hAnsi="Segoe UI" w:cs="Segoe UI"/>
          <w:szCs w:val="20"/>
        </w:rPr>
      </w:pPr>
      <w:r w:rsidRPr="0062207D">
        <w:rPr>
          <w:rFonts w:ascii="Segoe UI" w:hAnsi="Segoe UI" w:cs="Segoe UI"/>
          <w:noProof/>
          <w:szCs w:val="20"/>
          <w:lang w:eastAsia="it-IT"/>
        </w:rPr>
        <w:t>Conclusione:</w:t>
      </w:r>
      <w:r w:rsidR="00F03A87" w:rsidRPr="0062207D">
        <w:rPr>
          <w:rFonts w:ascii="Segoe UI" w:hAnsi="Segoe UI" w:cs="Segoe UI"/>
          <w:noProof/>
          <w:szCs w:val="20"/>
          <w:lang w:eastAsia="it-IT"/>
        </w:rPr>
        <w:t xml:space="preserve"> in questo contesto, il termine “</w:t>
      </w:r>
      <w:r w:rsidR="00F03A87" w:rsidRPr="0062207D">
        <w:rPr>
          <w:rFonts w:ascii="Segoe UI" w:hAnsi="Segoe UI" w:cs="Segoe UI"/>
          <w:b/>
          <w:i/>
          <w:noProof/>
          <w:szCs w:val="20"/>
          <w:lang w:eastAsia="it-IT"/>
        </w:rPr>
        <w:t>relevant</w:t>
      </w:r>
      <w:r w:rsidR="00F03A87" w:rsidRPr="0062207D">
        <w:rPr>
          <w:rFonts w:ascii="Segoe UI" w:hAnsi="Segoe UI" w:cs="Segoe UI"/>
          <w:noProof/>
          <w:szCs w:val="20"/>
          <w:lang w:eastAsia="it-IT"/>
        </w:rPr>
        <w:t>” corrisponde al termine “</w:t>
      </w:r>
      <w:r w:rsidR="00F03A87" w:rsidRPr="0062207D">
        <w:rPr>
          <w:rFonts w:ascii="Segoe UI" w:hAnsi="Segoe UI" w:cs="Segoe UI"/>
          <w:b/>
          <w:noProof/>
          <w:szCs w:val="20"/>
          <w:lang w:eastAsia="it-IT"/>
        </w:rPr>
        <w:t>opportuno</w:t>
      </w:r>
      <w:r w:rsidR="00F03A87" w:rsidRPr="0062207D">
        <w:rPr>
          <w:rFonts w:ascii="Segoe UI" w:hAnsi="Segoe UI" w:cs="Segoe UI"/>
          <w:noProof/>
          <w:szCs w:val="20"/>
          <w:lang w:eastAsia="it-IT"/>
        </w:rPr>
        <w:t xml:space="preserve">“ e, </w:t>
      </w:r>
      <w:r w:rsidR="002D4EE2" w:rsidRPr="0062207D">
        <w:rPr>
          <w:rFonts w:ascii="Segoe UI" w:hAnsi="Segoe UI" w:cs="Segoe UI"/>
          <w:noProof/>
          <w:szCs w:val="20"/>
          <w:lang w:eastAsia="it-IT"/>
        </w:rPr>
        <w:t xml:space="preserve">considerando anche il significato intrinseco della proposizione in cui è inserito, sembrerebbe </w:t>
      </w:r>
      <w:r w:rsidR="00D537B4" w:rsidRPr="0062207D">
        <w:rPr>
          <w:rFonts w:ascii="Segoe UI" w:hAnsi="Segoe UI" w:cs="Segoe UI"/>
          <w:noProof/>
          <w:szCs w:val="20"/>
          <w:lang w:eastAsia="it-IT"/>
        </w:rPr>
        <w:t>(</w:t>
      </w:r>
      <w:r w:rsidR="002D4EE2" w:rsidRPr="0062207D">
        <w:rPr>
          <w:rFonts w:ascii="Segoe UI" w:hAnsi="Segoe UI" w:cs="Segoe UI"/>
          <w:noProof/>
          <w:szCs w:val="20"/>
          <w:lang w:eastAsia="it-IT"/>
        </w:rPr>
        <w:t>ambiguamente</w:t>
      </w:r>
      <w:r w:rsidR="00D537B4" w:rsidRPr="0062207D">
        <w:rPr>
          <w:rFonts w:ascii="Segoe UI" w:hAnsi="Segoe UI" w:cs="Segoe UI"/>
          <w:noProof/>
          <w:szCs w:val="20"/>
          <w:lang w:eastAsia="it-IT"/>
        </w:rPr>
        <w:t>)</w:t>
      </w:r>
      <w:r w:rsidR="002D4EE2" w:rsidRPr="0062207D">
        <w:rPr>
          <w:rFonts w:ascii="Segoe UI" w:hAnsi="Segoe UI" w:cs="Segoe UI"/>
          <w:noProof/>
          <w:szCs w:val="20"/>
          <w:lang w:eastAsia="it-IT"/>
        </w:rPr>
        <w:t xml:space="preserve"> riferibile sia a una valutazione unilaterale (e pertanto soggettiva) da parte dell’impresa sia a una più ampia ponderazione oggettiva basata su</w:t>
      </w:r>
      <w:r w:rsidR="00D537B4" w:rsidRPr="0062207D">
        <w:rPr>
          <w:rFonts w:ascii="Segoe UI" w:hAnsi="Segoe UI" w:cs="Segoe UI"/>
          <w:noProof/>
          <w:szCs w:val="20"/>
          <w:lang w:eastAsia="it-IT"/>
        </w:rPr>
        <w:t xml:space="preserve">lle </w:t>
      </w:r>
      <w:r w:rsidR="002D4EE2" w:rsidRPr="0062207D">
        <w:rPr>
          <w:rFonts w:ascii="Segoe UI" w:hAnsi="Segoe UI" w:cs="Segoe UI"/>
          <w:noProof/>
          <w:szCs w:val="20"/>
          <w:lang w:eastAsia="it-IT"/>
        </w:rPr>
        <w:t xml:space="preserve">esigenze </w:t>
      </w:r>
      <w:r w:rsidR="00D537B4" w:rsidRPr="0062207D">
        <w:rPr>
          <w:rFonts w:ascii="Segoe UI" w:hAnsi="Segoe UI" w:cs="Segoe UI"/>
          <w:noProof/>
          <w:szCs w:val="20"/>
          <w:lang w:eastAsia="it-IT"/>
        </w:rPr>
        <w:t>di una</w:t>
      </w:r>
      <w:r w:rsidR="005D66A8" w:rsidRPr="0062207D">
        <w:rPr>
          <w:rFonts w:ascii="Segoe UI" w:hAnsi="Segoe UI" w:cs="Segoe UI"/>
          <w:noProof/>
          <w:szCs w:val="20"/>
          <w:lang w:eastAsia="it-IT"/>
        </w:rPr>
        <w:t xml:space="preserve"> </w:t>
      </w:r>
      <w:r w:rsidR="00D537B4" w:rsidRPr="0062207D">
        <w:rPr>
          <w:rFonts w:ascii="Segoe UI" w:hAnsi="Segoe UI" w:cs="Segoe UI"/>
          <w:noProof/>
          <w:szCs w:val="20"/>
          <w:lang w:eastAsia="it-IT"/>
        </w:rPr>
        <w:t xml:space="preserve">pluralità di </w:t>
      </w:r>
      <w:r w:rsidR="002D4EE2" w:rsidRPr="0062207D">
        <w:rPr>
          <w:rFonts w:ascii="Segoe UI" w:hAnsi="Segoe UI" w:cs="Segoe UI"/>
          <w:noProof/>
          <w:szCs w:val="20"/>
          <w:lang w:eastAsia="it-IT"/>
        </w:rPr>
        <w:t>stakeho</w:t>
      </w:r>
      <w:r w:rsidR="005D66A8" w:rsidRPr="0062207D">
        <w:rPr>
          <w:rFonts w:ascii="Segoe UI" w:hAnsi="Segoe UI" w:cs="Segoe UI"/>
          <w:noProof/>
          <w:szCs w:val="20"/>
          <w:lang w:eastAsia="it-IT"/>
        </w:rPr>
        <w:t>l</w:t>
      </w:r>
      <w:r w:rsidR="002D4EE2" w:rsidRPr="0062207D">
        <w:rPr>
          <w:rFonts w:ascii="Segoe UI" w:hAnsi="Segoe UI" w:cs="Segoe UI"/>
          <w:noProof/>
          <w:szCs w:val="20"/>
          <w:lang w:eastAsia="it-IT"/>
        </w:rPr>
        <w:t>der, circostanza per la quale s</w:t>
      </w:r>
      <w:r w:rsidR="005303C2">
        <w:rPr>
          <w:rFonts w:ascii="Segoe UI" w:hAnsi="Segoe UI" w:cs="Segoe UI"/>
          <w:noProof/>
          <w:szCs w:val="20"/>
          <w:lang w:eastAsia="it-IT"/>
        </w:rPr>
        <w:t>embrerebbe</w:t>
      </w:r>
      <w:r w:rsidR="002D4EE2" w:rsidRPr="0062207D">
        <w:rPr>
          <w:rFonts w:ascii="Segoe UI" w:hAnsi="Segoe UI" w:cs="Segoe UI"/>
          <w:noProof/>
          <w:szCs w:val="20"/>
          <w:lang w:eastAsia="it-IT"/>
        </w:rPr>
        <w:t xml:space="preserve"> irragionevole associare, per estensione, il concetto di “</w:t>
      </w:r>
      <w:r w:rsidR="002D4EE2" w:rsidRPr="0062207D">
        <w:rPr>
          <w:rFonts w:ascii="Segoe UI" w:hAnsi="Segoe UI" w:cs="Segoe UI"/>
          <w:b/>
          <w:i/>
          <w:noProof/>
          <w:szCs w:val="20"/>
          <w:lang w:eastAsia="it-IT"/>
        </w:rPr>
        <w:t>relevance</w:t>
      </w:r>
      <w:r w:rsidR="002D4EE2" w:rsidRPr="0062207D">
        <w:rPr>
          <w:rFonts w:ascii="Segoe UI" w:hAnsi="Segoe UI" w:cs="Segoe UI"/>
          <w:noProof/>
          <w:szCs w:val="20"/>
          <w:lang w:eastAsia="it-IT"/>
        </w:rPr>
        <w:t>” a quello di “</w:t>
      </w:r>
      <w:r w:rsidR="002D4EE2" w:rsidRPr="0062207D">
        <w:rPr>
          <w:rFonts w:ascii="Segoe UI" w:hAnsi="Segoe UI" w:cs="Segoe UI"/>
          <w:b/>
          <w:noProof/>
          <w:szCs w:val="20"/>
          <w:lang w:eastAsia="it-IT"/>
        </w:rPr>
        <w:t>opportunità</w:t>
      </w:r>
      <w:r w:rsidR="002D4EE2" w:rsidRPr="0062207D">
        <w:rPr>
          <w:rFonts w:ascii="Segoe UI" w:hAnsi="Segoe UI" w:cs="Segoe UI"/>
          <w:noProof/>
          <w:szCs w:val="20"/>
          <w:lang w:eastAsia="it-IT"/>
        </w:rPr>
        <w:t xml:space="preserve">” (nel senso di idoneità </w:t>
      </w:r>
      <w:r w:rsidR="003A2BFB" w:rsidRPr="0062207D">
        <w:rPr>
          <w:rFonts w:ascii="Segoe UI" w:hAnsi="Segoe UI" w:cs="Segoe UI"/>
          <w:noProof/>
          <w:szCs w:val="20"/>
          <w:lang w:eastAsia="it-IT"/>
        </w:rPr>
        <w:t xml:space="preserve">a perseguire i </w:t>
      </w:r>
      <w:r w:rsidR="00EC4EF4" w:rsidRPr="0062207D">
        <w:rPr>
          <w:rFonts w:ascii="Segoe UI" w:hAnsi="Segoe UI" w:cs="Segoe UI"/>
          <w:szCs w:val="20"/>
        </w:rPr>
        <w:t xml:space="preserve">fini generali e gli obiettivi di interesse comune cui tende la normativa di </w:t>
      </w:r>
      <w:r w:rsidR="00EC4EF4" w:rsidRPr="0062207D">
        <w:rPr>
          <w:rFonts w:ascii="Segoe UI" w:hAnsi="Segoe UI" w:cs="Segoe UI"/>
          <w:i/>
          <w:szCs w:val="20"/>
        </w:rPr>
        <w:t>disclosure</w:t>
      </w:r>
      <w:r w:rsidR="00EC4EF4" w:rsidRPr="0062207D">
        <w:rPr>
          <w:rFonts w:ascii="Segoe UI" w:hAnsi="Segoe UI" w:cs="Segoe UI"/>
          <w:szCs w:val="20"/>
        </w:rPr>
        <w:t xml:space="preserve"> non finanziaria</w:t>
      </w:r>
      <w:r w:rsidR="00E10D4A">
        <w:rPr>
          <w:rFonts w:ascii="Segoe UI" w:hAnsi="Segoe UI" w:cs="Segoe UI"/>
          <w:szCs w:val="20"/>
        </w:rPr>
        <w:t>)</w:t>
      </w:r>
      <w:r w:rsidR="00EC4EF4" w:rsidRPr="0062207D">
        <w:rPr>
          <w:rFonts w:ascii="Segoe UI" w:hAnsi="Segoe UI" w:cs="Segoe UI"/>
          <w:szCs w:val="20"/>
        </w:rPr>
        <w:t>.</w:t>
      </w:r>
    </w:p>
    <w:p w14:paraId="78E780E9" w14:textId="77777777" w:rsidR="008F338B" w:rsidRPr="0062207D" w:rsidRDefault="008F338B" w:rsidP="0013336D">
      <w:pPr>
        <w:spacing w:before="120" w:after="120" w:line="240" w:lineRule="auto"/>
        <w:jc w:val="both"/>
        <w:rPr>
          <w:rFonts w:ascii="Segoe UI" w:hAnsi="Segoe UI" w:cs="Segoe UI"/>
          <w:szCs w:val="20"/>
        </w:rPr>
      </w:pPr>
    </w:p>
    <w:p w14:paraId="4A23F2CF" w14:textId="2AD58AA9" w:rsidR="00EB3E68" w:rsidRDefault="00706E13" w:rsidP="00EB3E68">
      <w:pPr>
        <w:keepNext/>
        <w:keepLines/>
        <w:spacing w:before="120" w:after="120" w:line="240" w:lineRule="auto"/>
        <w:jc w:val="both"/>
        <w:rPr>
          <w:rFonts w:ascii="Segoe UI" w:hAnsi="Segoe UI" w:cs="Segoe UI"/>
          <w:noProof/>
          <w:szCs w:val="20"/>
          <w:lang w:eastAsia="it-IT"/>
        </w:rPr>
      </w:pPr>
      <w:r>
        <w:rPr>
          <w:rFonts w:ascii="Segoe UI" w:hAnsi="Segoe UI" w:cs="Segoe UI"/>
          <w:noProof/>
          <w:szCs w:val="20"/>
          <w:lang w:eastAsia="it-IT"/>
        </w:rPr>
        <w:t>Traduzione</w:t>
      </w:r>
      <w:r w:rsidR="00BD2F81">
        <w:rPr>
          <w:rFonts w:ascii="Segoe UI" w:hAnsi="Segoe UI" w:cs="Segoe UI"/>
          <w:noProof/>
          <w:szCs w:val="20"/>
          <w:lang w:eastAsia="it-IT"/>
        </w:rPr>
        <w:t>:</w:t>
      </w:r>
      <w:r>
        <w:rPr>
          <w:rFonts w:ascii="Segoe UI" w:hAnsi="Segoe UI" w:cs="Segoe UI"/>
          <w:noProof/>
          <w:szCs w:val="20"/>
          <w:lang w:eastAsia="it-IT"/>
        </w:rPr>
        <w:t xml:space="preserve"> opzione 2</w:t>
      </w:r>
      <w:r w:rsidR="00546A47">
        <w:rPr>
          <w:rFonts w:ascii="Segoe UI" w:hAnsi="Segoe UI" w:cs="Segoe UI"/>
          <w:noProof/>
          <w:szCs w:val="20"/>
          <w:lang w:eastAsia="it-IT"/>
        </w:rPr>
        <w:t xml:space="preserve"> / </w:t>
      </w:r>
      <w:r w:rsidR="00BD2F81">
        <w:rPr>
          <w:rFonts w:ascii="Segoe UI" w:hAnsi="Segoe UI" w:cs="Segoe UI"/>
          <w:noProof/>
          <w:szCs w:val="20"/>
          <w:lang w:eastAsia="it-IT"/>
        </w:rPr>
        <w:t>A</w:t>
      </w:r>
      <w:r w:rsidR="00546A47">
        <w:rPr>
          <w:rFonts w:ascii="Segoe UI" w:hAnsi="Segoe UI" w:cs="Segoe UI"/>
          <w:noProof/>
          <w:szCs w:val="20"/>
          <w:lang w:eastAsia="it-IT"/>
        </w:rPr>
        <w:t>ccezione</w:t>
      </w:r>
      <w:r w:rsidR="00BD2F81">
        <w:rPr>
          <w:rFonts w:ascii="Segoe UI" w:hAnsi="Segoe UI" w:cs="Segoe UI"/>
          <w:noProof/>
          <w:szCs w:val="20"/>
          <w:lang w:eastAsia="it-IT"/>
        </w:rPr>
        <w:t>: opzione</w:t>
      </w:r>
      <w:r w:rsidR="00546A47">
        <w:rPr>
          <w:rFonts w:ascii="Segoe UI" w:hAnsi="Segoe UI" w:cs="Segoe UI"/>
          <w:noProof/>
          <w:szCs w:val="20"/>
          <w:lang w:eastAsia="it-IT"/>
        </w:rPr>
        <w:t xml:space="preserve"> 2</w:t>
      </w:r>
    </w:p>
    <w:p w14:paraId="5565B787" w14:textId="69A7C680" w:rsidR="00A85D08" w:rsidRPr="0062207D" w:rsidRDefault="00A85D08" w:rsidP="0013336D">
      <w:pPr>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Il termine “</w:t>
      </w:r>
      <w:r w:rsidRPr="0062207D">
        <w:rPr>
          <w:rFonts w:ascii="Segoe UI" w:hAnsi="Segoe UI" w:cs="Segoe UI"/>
          <w:i/>
          <w:noProof/>
          <w:szCs w:val="20"/>
          <w:lang w:eastAsia="it-IT"/>
        </w:rPr>
        <w:t>relevant</w:t>
      </w:r>
      <w:r w:rsidRPr="0062207D">
        <w:rPr>
          <w:rFonts w:ascii="Segoe UI" w:hAnsi="Segoe UI" w:cs="Segoe UI"/>
          <w:noProof/>
          <w:szCs w:val="20"/>
          <w:lang w:eastAsia="it-IT"/>
        </w:rPr>
        <w:t xml:space="preserve">” è adottato in una seconda accezione nella direttiva 2014/95/UE con riferimento ai </w:t>
      </w:r>
      <w:r w:rsidRPr="0046221A">
        <w:rPr>
          <w:rFonts w:ascii="Segoe UI" w:hAnsi="Segoe UI" w:cs="Segoe UI"/>
          <w:i/>
          <w:noProof/>
          <w:szCs w:val="20"/>
          <w:lang w:eastAsia="it-IT"/>
        </w:rPr>
        <w:t>key performance indicator</w:t>
      </w:r>
      <w:r w:rsidRPr="0062207D">
        <w:rPr>
          <w:rFonts w:ascii="Segoe UI" w:hAnsi="Segoe UI" w:cs="Segoe UI"/>
          <w:noProof/>
          <w:szCs w:val="20"/>
          <w:lang w:eastAsia="it-IT"/>
        </w:rPr>
        <w:t xml:space="preserve"> (KPI).</w:t>
      </w:r>
    </w:p>
    <w:p w14:paraId="00A79ACA" w14:textId="758BE062" w:rsidR="00395403" w:rsidRPr="0062207D" w:rsidRDefault="00395403" w:rsidP="0013336D">
      <w:pPr>
        <w:keepNext/>
        <w:keepLines/>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Nella versione inglese, l’art</w:t>
      </w:r>
      <w:r w:rsidR="00EE1972">
        <w:rPr>
          <w:rFonts w:ascii="Segoe UI" w:hAnsi="Segoe UI" w:cs="Segoe UI"/>
          <w:noProof/>
          <w:szCs w:val="20"/>
          <w:lang w:eastAsia="it-IT"/>
        </w:rPr>
        <w:t>.</w:t>
      </w:r>
      <w:r w:rsidRPr="0062207D">
        <w:rPr>
          <w:rFonts w:ascii="Segoe UI" w:hAnsi="Segoe UI" w:cs="Segoe UI"/>
          <w:noProof/>
          <w:szCs w:val="20"/>
          <w:lang w:eastAsia="it-IT"/>
        </w:rPr>
        <w:t xml:space="preserve"> 1, “Amendments to Directive 2013/34/EU”, paragrafo 1, punto 1, lett</w:t>
      </w:r>
      <w:r w:rsidR="002A5E0E">
        <w:rPr>
          <w:rFonts w:ascii="Segoe UI" w:hAnsi="Segoe UI" w:cs="Segoe UI"/>
          <w:noProof/>
          <w:szCs w:val="20"/>
          <w:lang w:eastAsia="it-IT"/>
        </w:rPr>
        <w:t>.</w:t>
      </w:r>
      <w:r w:rsidRPr="0062207D">
        <w:rPr>
          <w:rFonts w:ascii="Segoe UI" w:hAnsi="Segoe UI" w:cs="Segoe UI"/>
          <w:noProof/>
          <w:szCs w:val="20"/>
          <w:lang w:eastAsia="it-IT"/>
        </w:rPr>
        <w:t xml:space="preserve"> e), recita:</w:t>
      </w:r>
    </w:p>
    <w:p w14:paraId="75546DF3" w14:textId="1AF5F44D" w:rsidR="00395403" w:rsidRPr="00B9065C" w:rsidRDefault="00395403" w:rsidP="007F5442">
      <w:pPr>
        <w:spacing w:before="120" w:after="120" w:line="240" w:lineRule="auto"/>
        <w:ind w:left="284" w:right="284"/>
        <w:jc w:val="both"/>
        <w:rPr>
          <w:rFonts w:ascii="Segoe UI" w:hAnsi="Segoe UI" w:cs="Segoe UI"/>
          <w:i/>
          <w:color w:val="525252" w:themeColor="accent3" w:themeShade="80"/>
          <w:sz w:val="20"/>
          <w:szCs w:val="20"/>
        </w:rPr>
      </w:pPr>
      <w:r w:rsidRPr="005303C2">
        <w:rPr>
          <w:rFonts w:ascii="Segoe UI" w:hAnsi="Segoe UI" w:cs="Segoe UI"/>
          <w:color w:val="525252" w:themeColor="accent3" w:themeShade="80"/>
          <w:sz w:val="20"/>
          <w:szCs w:val="20"/>
          <w:lang w:val="en-US"/>
        </w:rPr>
        <w:t>“[...]</w:t>
      </w:r>
      <w:r w:rsidRPr="007F5442">
        <w:rPr>
          <w:rFonts w:ascii="Segoe UI" w:hAnsi="Segoe UI" w:cs="Segoe UI"/>
          <w:i/>
          <w:color w:val="525252" w:themeColor="accent3" w:themeShade="80"/>
          <w:sz w:val="20"/>
          <w:szCs w:val="20"/>
          <w:lang w:val="en-US"/>
        </w:rPr>
        <w:t xml:space="preserve"> </w:t>
      </w:r>
      <w:r w:rsidR="0011479F" w:rsidRPr="007F5442">
        <w:rPr>
          <w:rFonts w:ascii="Segoe UI" w:hAnsi="Segoe UI" w:cs="Segoe UI"/>
          <w:i/>
          <w:color w:val="525252" w:themeColor="accent3" w:themeShade="80"/>
          <w:sz w:val="20"/>
          <w:szCs w:val="20"/>
          <w:lang w:val="en-US"/>
        </w:rPr>
        <w:t>(e) non-financial key performance indicators relevant to the particular business.</w:t>
      </w:r>
      <w:r w:rsidRPr="005303C2">
        <w:rPr>
          <w:rFonts w:ascii="Segoe UI" w:hAnsi="Segoe UI" w:cs="Segoe UI"/>
          <w:color w:val="525252" w:themeColor="accent3" w:themeShade="80"/>
          <w:sz w:val="20"/>
          <w:szCs w:val="20"/>
          <w:lang w:val="en-US"/>
        </w:rPr>
        <w:t xml:space="preserve"> </w:t>
      </w:r>
      <w:r w:rsidRPr="005303C2">
        <w:rPr>
          <w:rFonts w:ascii="Segoe UI" w:hAnsi="Segoe UI" w:cs="Segoe UI"/>
          <w:color w:val="525252" w:themeColor="accent3" w:themeShade="80"/>
          <w:sz w:val="20"/>
          <w:szCs w:val="20"/>
        </w:rPr>
        <w:t>[...]”.</w:t>
      </w:r>
    </w:p>
    <w:p w14:paraId="2AF3CD87" w14:textId="041EBFDF" w:rsidR="00395403" w:rsidRPr="0062207D" w:rsidRDefault="00395403" w:rsidP="0013336D">
      <w:pPr>
        <w:keepNext/>
        <w:keepLines/>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Nella versione italiana, l’art</w:t>
      </w:r>
      <w:r w:rsidR="00EE1972">
        <w:rPr>
          <w:rFonts w:ascii="Segoe UI" w:hAnsi="Segoe UI" w:cs="Segoe UI"/>
          <w:noProof/>
          <w:szCs w:val="20"/>
          <w:lang w:eastAsia="it-IT"/>
        </w:rPr>
        <w:t>.</w:t>
      </w:r>
      <w:r w:rsidRPr="0062207D">
        <w:rPr>
          <w:rFonts w:ascii="Segoe UI" w:hAnsi="Segoe UI" w:cs="Segoe UI"/>
          <w:noProof/>
          <w:szCs w:val="20"/>
          <w:lang w:eastAsia="it-IT"/>
        </w:rPr>
        <w:t xml:space="preserve"> 1, “Modifiche della direttiva 2013/34/UE”, co</w:t>
      </w:r>
      <w:r w:rsidR="002A5E0E">
        <w:rPr>
          <w:rFonts w:ascii="Segoe UI" w:hAnsi="Segoe UI" w:cs="Segoe UI"/>
          <w:noProof/>
          <w:szCs w:val="20"/>
          <w:lang w:eastAsia="it-IT"/>
        </w:rPr>
        <w:t>.</w:t>
      </w:r>
      <w:r w:rsidRPr="0062207D">
        <w:rPr>
          <w:rFonts w:ascii="Segoe UI" w:hAnsi="Segoe UI" w:cs="Segoe UI"/>
          <w:noProof/>
          <w:szCs w:val="20"/>
          <w:lang w:eastAsia="it-IT"/>
        </w:rPr>
        <w:t xml:space="preserve"> 1, punto 1, lett</w:t>
      </w:r>
      <w:r w:rsidR="002A5E0E">
        <w:rPr>
          <w:rFonts w:ascii="Segoe UI" w:hAnsi="Segoe UI" w:cs="Segoe UI"/>
          <w:noProof/>
          <w:szCs w:val="20"/>
          <w:lang w:eastAsia="it-IT"/>
        </w:rPr>
        <w:t>.</w:t>
      </w:r>
      <w:r w:rsidRPr="0062207D">
        <w:rPr>
          <w:rFonts w:ascii="Segoe UI" w:hAnsi="Segoe UI" w:cs="Segoe UI"/>
          <w:noProof/>
          <w:szCs w:val="20"/>
          <w:lang w:eastAsia="it-IT"/>
        </w:rPr>
        <w:t xml:space="preserve"> e), recita:</w:t>
      </w:r>
    </w:p>
    <w:p w14:paraId="15B86E88" w14:textId="6433BDC4" w:rsidR="0011479F" w:rsidRPr="00B9065C" w:rsidRDefault="00395403" w:rsidP="007F5442">
      <w:pPr>
        <w:spacing w:before="120" w:after="120" w:line="240" w:lineRule="auto"/>
        <w:ind w:left="284" w:right="284"/>
        <w:jc w:val="both"/>
        <w:rPr>
          <w:rFonts w:ascii="Segoe UI" w:hAnsi="Segoe UI" w:cs="Segoe UI"/>
          <w:i/>
          <w:color w:val="525252" w:themeColor="accent3" w:themeShade="80"/>
          <w:sz w:val="20"/>
          <w:szCs w:val="20"/>
        </w:rPr>
      </w:pPr>
      <w:r w:rsidRPr="005303C2">
        <w:rPr>
          <w:rFonts w:ascii="Segoe UI" w:hAnsi="Segoe UI" w:cs="Segoe UI"/>
          <w:color w:val="525252" w:themeColor="accent3" w:themeShade="80"/>
          <w:sz w:val="20"/>
          <w:szCs w:val="20"/>
        </w:rPr>
        <w:t>“[...]</w:t>
      </w:r>
      <w:r w:rsidRPr="007F5442">
        <w:rPr>
          <w:rFonts w:ascii="Segoe UI" w:hAnsi="Segoe UI" w:cs="Segoe UI"/>
          <w:i/>
          <w:color w:val="525252" w:themeColor="accent3" w:themeShade="80"/>
          <w:sz w:val="20"/>
          <w:szCs w:val="20"/>
        </w:rPr>
        <w:t xml:space="preserve"> </w:t>
      </w:r>
      <w:r w:rsidR="0011479F" w:rsidRPr="007F5442">
        <w:rPr>
          <w:rFonts w:ascii="Segoe UI" w:hAnsi="Segoe UI" w:cs="Segoe UI"/>
          <w:i/>
          <w:color w:val="525252" w:themeColor="accent3" w:themeShade="80"/>
          <w:sz w:val="20"/>
          <w:szCs w:val="20"/>
        </w:rPr>
        <w:t>e) gli indicatori fondamentali di prestazione di carattere non finanziario pertinenti per l'attività specifica dell'impresa.</w:t>
      </w:r>
      <w:r w:rsidRPr="005303C2">
        <w:rPr>
          <w:rFonts w:ascii="Segoe UI" w:hAnsi="Segoe UI" w:cs="Segoe UI"/>
          <w:color w:val="525252" w:themeColor="accent3" w:themeShade="80"/>
          <w:sz w:val="20"/>
          <w:szCs w:val="20"/>
        </w:rPr>
        <w:t xml:space="preserve"> [...]”.</w:t>
      </w:r>
    </w:p>
    <w:p w14:paraId="1F970DF3" w14:textId="3BB904C0" w:rsidR="00C95420" w:rsidRPr="002A5E0E" w:rsidRDefault="00AE415C" w:rsidP="0013336D">
      <w:pPr>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Conclusione:</w:t>
      </w:r>
      <w:r w:rsidR="00395403" w:rsidRPr="0062207D">
        <w:rPr>
          <w:rFonts w:ascii="Segoe UI" w:hAnsi="Segoe UI" w:cs="Segoe UI"/>
          <w:noProof/>
          <w:szCs w:val="20"/>
          <w:lang w:eastAsia="it-IT"/>
        </w:rPr>
        <w:t xml:space="preserve"> in questo contesto, il termine “</w:t>
      </w:r>
      <w:r w:rsidR="00395403" w:rsidRPr="0062207D">
        <w:rPr>
          <w:rFonts w:ascii="Segoe UI" w:hAnsi="Segoe UI" w:cs="Segoe UI"/>
          <w:b/>
          <w:i/>
          <w:noProof/>
          <w:szCs w:val="20"/>
          <w:lang w:eastAsia="it-IT"/>
        </w:rPr>
        <w:t>relevant</w:t>
      </w:r>
      <w:r w:rsidR="00395403" w:rsidRPr="0062207D">
        <w:rPr>
          <w:rFonts w:ascii="Segoe UI" w:hAnsi="Segoe UI" w:cs="Segoe UI"/>
          <w:noProof/>
          <w:szCs w:val="20"/>
          <w:lang w:eastAsia="it-IT"/>
        </w:rPr>
        <w:t>” corrisponde al termine “</w:t>
      </w:r>
      <w:r w:rsidR="00395403" w:rsidRPr="0062207D">
        <w:rPr>
          <w:rFonts w:ascii="Segoe UI" w:hAnsi="Segoe UI" w:cs="Segoe UI"/>
          <w:b/>
          <w:noProof/>
          <w:szCs w:val="20"/>
          <w:lang w:eastAsia="it-IT"/>
        </w:rPr>
        <w:t>pertinente</w:t>
      </w:r>
      <w:r w:rsidR="00395403" w:rsidRPr="0062207D">
        <w:rPr>
          <w:rFonts w:ascii="Segoe UI" w:hAnsi="Segoe UI" w:cs="Segoe UI"/>
          <w:noProof/>
          <w:szCs w:val="20"/>
          <w:lang w:eastAsia="it-IT"/>
        </w:rPr>
        <w:t xml:space="preserve">“ </w:t>
      </w:r>
      <w:r w:rsidR="00C95420" w:rsidRPr="0062207D">
        <w:rPr>
          <w:rFonts w:ascii="Segoe UI" w:hAnsi="Segoe UI" w:cs="Segoe UI"/>
          <w:noProof/>
          <w:szCs w:val="20"/>
          <w:lang w:eastAsia="it-IT"/>
        </w:rPr>
        <w:t>e si allinea, poiché ne riprende la formulazione, all’art</w:t>
      </w:r>
      <w:r w:rsidR="00EE1972">
        <w:rPr>
          <w:rFonts w:ascii="Segoe UI" w:hAnsi="Segoe UI" w:cs="Segoe UI"/>
          <w:noProof/>
          <w:szCs w:val="20"/>
          <w:lang w:eastAsia="it-IT"/>
        </w:rPr>
        <w:t>.</w:t>
      </w:r>
      <w:r w:rsidR="00C95420" w:rsidRPr="0062207D">
        <w:rPr>
          <w:rFonts w:ascii="Segoe UI" w:hAnsi="Segoe UI" w:cs="Segoe UI"/>
          <w:noProof/>
          <w:szCs w:val="20"/>
          <w:lang w:eastAsia="it-IT"/>
        </w:rPr>
        <w:t xml:space="preserve"> 19 della direttiva 2013/34/UE sulla revisione legale, nella quale, per estensione, </w:t>
      </w:r>
      <w:r w:rsidR="00C95420" w:rsidRPr="002A5E0E">
        <w:rPr>
          <w:rFonts w:ascii="Segoe UI" w:hAnsi="Segoe UI" w:cs="Segoe UI"/>
          <w:noProof/>
          <w:szCs w:val="20"/>
          <w:lang w:eastAsia="it-IT"/>
        </w:rPr>
        <w:t>il concetto di “</w:t>
      </w:r>
      <w:r w:rsidR="00C95420" w:rsidRPr="002A5E0E">
        <w:rPr>
          <w:rFonts w:ascii="Segoe UI" w:hAnsi="Segoe UI" w:cs="Segoe UI"/>
          <w:i/>
          <w:noProof/>
          <w:szCs w:val="20"/>
          <w:lang w:eastAsia="it-IT"/>
        </w:rPr>
        <w:t>relevance</w:t>
      </w:r>
      <w:r w:rsidR="00C95420" w:rsidRPr="002A5E0E">
        <w:rPr>
          <w:rFonts w:ascii="Segoe UI" w:hAnsi="Segoe UI" w:cs="Segoe UI"/>
          <w:noProof/>
          <w:szCs w:val="20"/>
          <w:lang w:eastAsia="it-IT"/>
        </w:rPr>
        <w:t>” sembra efficacemente corrisponderebbe a quello di “pertinenza” (nel senso di relazione, attinenza, inerenza).</w:t>
      </w:r>
    </w:p>
    <w:p w14:paraId="64495BDC" w14:textId="77777777" w:rsidR="008F338B" w:rsidRPr="002A5E0E" w:rsidRDefault="008F338B" w:rsidP="0013336D">
      <w:pPr>
        <w:spacing w:before="120" w:after="120" w:line="240" w:lineRule="auto"/>
        <w:jc w:val="both"/>
        <w:rPr>
          <w:rFonts w:ascii="Segoe UI" w:hAnsi="Segoe UI" w:cs="Segoe UI"/>
          <w:noProof/>
          <w:szCs w:val="20"/>
          <w:lang w:eastAsia="it-IT"/>
        </w:rPr>
      </w:pPr>
    </w:p>
    <w:p w14:paraId="55AA883E" w14:textId="673AC32F" w:rsidR="00EB3E68" w:rsidRDefault="00706E13" w:rsidP="00EB3E68">
      <w:pPr>
        <w:keepNext/>
        <w:keepLines/>
        <w:spacing w:before="120" w:after="120" w:line="240" w:lineRule="auto"/>
        <w:jc w:val="both"/>
        <w:rPr>
          <w:rFonts w:ascii="Segoe UI" w:hAnsi="Segoe UI" w:cs="Segoe UI"/>
          <w:noProof/>
          <w:szCs w:val="20"/>
          <w:lang w:eastAsia="it-IT"/>
        </w:rPr>
      </w:pPr>
      <w:r>
        <w:rPr>
          <w:rFonts w:ascii="Segoe UI" w:hAnsi="Segoe UI" w:cs="Segoe UI"/>
          <w:noProof/>
          <w:szCs w:val="20"/>
          <w:lang w:eastAsia="it-IT"/>
        </w:rPr>
        <w:t>Traduzione</w:t>
      </w:r>
      <w:r w:rsidR="00BD2F81">
        <w:rPr>
          <w:rFonts w:ascii="Segoe UI" w:hAnsi="Segoe UI" w:cs="Segoe UI"/>
          <w:noProof/>
          <w:szCs w:val="20"/>
          <w:lang w:eastAsia="it-IT"/>
        </w:rPr>
        <w:t xml:space="preserve">: </w:t>
      </w:r>
      <w:r>
        <w:rPr>
          <w:rFonts w:ascii="Segoe UI" w:hAnsi="Segoe UI" w:cs="Segoe UI"/>
          <w:noProof/>
          <w:szCs w:val="20"/>
          <w:lang w:eastAsia="it-IT"/>
        </w:rPr>
        <w:t>opzione 1</w:t>
      </w:r>
      <w:r w:rsidR="00546A47">
        <w:rPr>
          <w:rFonts w:ascii="Segoe UI" w:hAnsi="Segoe UI" w:cs="Segoe UI"/>
          <w:noProof/>
          <w:szCs w:val="20"/>
          <w:lang w:eastAsia="it-IT"/>
        </w:rPr>
        <w:t xml:space="preserve"> /</w:t>
      </w:r>
      <w:r w:rsidR="00BD2F81">
        <w:rPr>
          <w:rFonts w:ascii="Segoe UI" w:hAnsi="Segoe UI" w:cs="Segoe UI"/>
          <w:noProof/>
          <w:szCs w:val="20"/>
          <w:lang w:eastAsia="it-IT"/>
        </w:rPr>
        <w:t xml:space="preserve"> A</w:t>
      </w:r>
      <w:r w:rsidR="00546A47">
        <w:rPr>
          <w:rFonts w:ascii="Segoe UI" w:hAnsi="Segoe UI" w:cs="Segoe UI"/>
          <w:noProof/>
          <w:szCs w:val="20"/>
          <w:lang w:eastAsia="it-IT"/>
        </w:rPr>
        <w:t>ccezione</w:t>
      </w:r>
      <w:r w:rsidR="00BD2F81">
        <w:rPr>
          <w:rFonts w:ascii="Segoe UI" w:hAnsi="Segoe UI" w:cs="Segoe UI"/>
          <w:noProof/>
          <w:szCs w:val="20"/>
          <w:lang w:eastAsia="it-IT"/>
        </w:rPr>
        <w:t>: opzione</w:t>
      </w:r>
      <w:r w:rsidR="00546A47">
        <w:rPr>
          <w:rFonts w:ascii="Segoe UI" w:hAnsi="Segoe UI" w:cs="Segoe UI"/>
          <w:noProof/>
          <w:szCs w:val="20"/>
          <w:lang w:eastAsia="it-IT"/>
        </w:rPr>
        <w:t xml:space="preserve"> 3</w:t>
      </w:r>
    </w:p>
    <w:p w14:paraId="3FD37396" w14:textId="0F8C5416" w:rsidR="00D537B4" w:rsidRPr="0062207D" w:rsidRDefault="00D537B4" w:rsidP="0013336D">
      <w:pPr>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D’altro canto, anche in questo caso, non giovano alla chiarezza terminologica le diverse accezioni identificabil</w:t>
      </w:r>
      <w:r w:rsidR="005303C2">
        <w:rPr>
          <w:rFonts w:ascii="Segoe UI" w:hAnsi="Segoe UI" w:cs="Segoe UI"/>
          <w:noProof/>
          <w:szCs w:val="20"/>
          <w:lang w:eastAsia="it-IT"/>
        </w:rPr>
        <w:t>i</w:t>
      </w:r>
      <w:r w:rsidRPr="0062207D">
        <w:rPr>
          <w:rFonts w:ascii="Segoe UI" w:hAnsi="Segoe UI" w:cs="Segoe UI"/>
          <w:noProof/>
          <w:szCs w:val="20"/>
          <w:lang w:eastAsia="it-IT"/>
        </w:rPr>
        <w:t xml:space="preserve"> nell’utilizzo del termine “</w:t>
      </w:r>
      <w:r w:rsidRPr="0062207D">
        <w:rPr>
          <w:rFonts w:ascii="Segoe UI" w:hAnsi="Segoe UI" w:cs="Segoe UI"/>
          <w:i/>
          <w:noProof/>
          <w:szCs w:val="20"/>
          <w:lang w:eastAsia="it-IT"/>
        </w:rPr>
        <w:t>relevant</w:t>
      </w:r>
      <w:r w:rsidRPr="0062207D">
        <w:rPr>
          <w:rFonts w:ascii="Segoe UI" w:hAnsi="Segoe UI" w:cs="Segoe UI"/>
          <w:noProof/>
          <w:szCs w:val="20"/>
          <w:lang w:eastAsia="it-IT"/>
        </w:rPr>
        <w:t xml:space="preserve">” nell’ambito dei </w:t>
      </w:r>
      <w:r w:rsidRPr="0062207D">
        <w:rPr>
          <w:rFonts w:ascii="Segoe UI" w:hAnsi="Segoe UI" w:cs="Segoe UI"/>
          <w:i/>
          <w:noProof/>
          <w:szCs w:val="20"/>
          <w:lang w:eastAsia="it-IT"/>
        </w:rPr>
        <w:t>consideran</w:t>
      </w:r>
      <w:r w:rsidR="005303C2">
        <w:rPr>
          <w:rFonts w:ascii="Segoe UI" w:hAnsi="Segoe UI" w:cs="Segoe UI"/>
          <w:i/>
          <w:noProof/>
          <w:szCs w:val="20"/>
          <w:lang w:eastAsia="it-IT"/>
        </w:rPr>
        <w:t>d</w:t>
      </w:r>
      <w:r w:rsidRPr="0062207D">
        <w:rPr>
          <w:rFonts w:ascii="Segoe UI" w:hAnsi="Segoe UI" w:cs="Segoe UI"/>
          <w:i/>
          <w:noProof/>
          <w:szCs w:val="20"/>
          <w:lang w:eastAsia="it-IT"/>
        </w:rPr>
        <w:t>o</w:t>
      </w:r>
      <w:r w:rsidRPr="0062207D">
        <w:rPr>
          <w:rFonts w:ascii="Segoe UI" w:hAnsi="Segoe UI" w:cs="Segoe UI"/>
          <w:noProof/>
          <w:szCs w:val="20"/>
          <w:lang w:eastAsia="it-IT"/>
        </w:rPr>
        <w:t xml:space="preserve"> della stessa direttiva.</w:t>
      </w:r>
    </w:p>
    <w:p w14:paraId="342D30AA" w14:textId="624B059E" w:rsidR="00D537B4" w:rsidRPr="0062207D" w:rsidRDefault="00D537B4" w:rsidP="0013336D">
      <w:pPr>
        <w:keepNext/>
        <w:keepLines/>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Il p</w:t>
      </w:r>
      <w:r w:rsidR="00106891">
        <w:rPr>
          <w:rFonts w:ascii="Segoe UI" w:hAnsi="Segoe UI" w:cs="Segoe UI"/>
          <w:noProof/>
          <w:szCs w:val="20"/>
          <w:lang w:eastAsia="it-IT"/>
        </w:rPr>
        <w:t>a</w:t>
      </w:r>
      <w:r w:rsidRPr="0062207D">
        <w:rPr>
          <w:rFonts w:ascii="Segoe UI" w:hAnsi="Segoe UI" w:cs="Segoe UI"/>
          <w:noProof/>
          <w:szCs w:val="20"/>
          <w:lang w:eastAsia="it-IT"/>
        </w:rPr>
        <w:t xml:space="preserve">ragrafo 6, nella versione inglese, adottando un’accezione analoga a quella successivamente adottata </w:t>
      </w:r>
      <w:r w:rsidR="00FC3F6C">
        <w:rPr>
          <w:rFonts w:ascii="Segoe UI" w:hAnsi="Segoe UI" w:cs="Segoe UI"/>
          <w:noProof/>
          <w:szCs w:val="20"/>
          <w:lang w:eastAsia="it-IT"/>
        </w:rPr>
        <w:t>ne</w:t>
      </w:r>
      <w:r w:rsidRPr="0062207D">
        <w:rPr>
          <w:rFonts w:ascii="Segoe UI" w:hAnsi="Segoe UI" w:cs="Segoe UI"/>
          <w:noProof/>
          <w:szCs w:val="20"/>
          <w:lang w:eastAsia="it-IT"/>
        </w:rPr>
        <w:t>l paragrafo 8, recita:</w:t>
      </w:r>
    </w:p>
    <w:p w14:paraId="2D22A5AD" w14:textId="16DFD0E9" w:rsidR="00E6776A" w:rsidRPr="00A84D53" w:rsidRDefault="00E6776A" w:rsidP="007F5442">
      <w:pPr>
        <w:spacing w:before="120" w:after="120" w:line="240" w:lineRule="auto"/>
        <w:ind w:left="284" w:right="284"/>
        <w:jc w:val="both"/>
        <w:rPr>
          <w:rFonts w:ascii="Segoe UI" w:hAnsi="Segoe UI" w:cs="Segoe UI"/>
          <w:color w:val="525252" w:themeColor="accent3" w:themeShade="80"/>
          <w:sz w:val="20"/>
          <w:szCs w:val="20"/>
        </w:rPr>
      </w:pPr>
      <w:r w:rsidRPr="00A84D53">
        <w:rPr>
          <w:rFonts w:ascii="Segoe UI" w:hAnsi="Segoe UI" w:cs="Segoe UI"/>
          <w:color w:val="525252" w:themeColor="accent3" w:themeShade="80"/>
          <w:sz w:val="20"/>
          <w:szCs w:val="20"/>
          <w:lang w:val="en-US"/>
        </w:rPr>
        <w:t xml:space="preserve">“[...] </w:t>
      </w:r>
      <w:r w:rsidRPr="007F5442">
        <w:rPr>
          <w:rFonts w:ascii="Segoe UI" w:hAnsi="Segoe UI" w:cs="Segoe UI"/>
          <w:i/>
          <w:color w:val="525252" w:themeColor="accent3" w:themeShade="80"/>
          <w:sz w:val="20"/>
          <w:szCs w:val="20"/>
          <w:lang w:val="en-US"/>
        </w:rPr>
        <w:t xml:space="preserve">The non-financial statement should also include information on the due diligence processes implemented by the undertaking, also regarding, where relevant and proportionate, its supply and subcontracting chains, in order to identify, prevent and mitigate existing and potential adverse impacts. </w:t>
      </w:r>
      <w:r w:rsidRPr="00A84D53">
        <w:rPr>
          <w:rFonts w:ascii="Segoe UI" w:hAnsi="Segoe UI" w:cs="Segoe UI"/>
          <w:color w:val="525252" w:themeColor="accent3" w:themeShade="80"/>
          <w:sz w:val="20"/>
          <w:szCs w:val="20"/>
        </w:rPr>
        <w:t>[...]”.</w:t>
      </w:r>
    </w:p>
    <w:p w14:paraId="1685F83F" w14:textId="77777777" w:rsidR="00D537B4" w:rsidRPr="0062207D" w:rsidRDefault="00D537B4" w:rsidP="0013336D">
      <w:pPr>
        <w:keepNext/>
        <w:keepLines/>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Nella versione italiana, infatti, il paragrafo è tradotto come segue:</w:t>
      </w:r>
    </w:p>
    <w:p w14:paraId="72244A03" w14:textId="18C56BCA" w:rsidR="00E6776A" w:rsidRPr="00B9065C" w:rsidRDefault="00E6776A" w:rsidP="007F5442">
      <w:pPr>
        <w:keepLines/>
        <w:spacing w:before="120" w:after="120" w:line="240" w:lineRule="auto"/>
        <w:ind w:left="284" w:right="284"/>
        <w:jc w:val="both"/>
        <w:rPr>
          <w:rFonts w:ascii="Segoe UI" w:hAnsi="Segoe UI" w:cs="Segoe UI"/>
          <w:i/>
          <w:color w:val="525252" w:themeColor="accent3" w:themeShade="80"/>
          <w:sz w:val="20"/>
          <w:szCs w:val="20"/>
        </w:rPr>
      </w:pPr>
      <w:r w:rsidRPr="007F5442">
        <w:rPr>
          <w:rFonts w:ascii="Segoe UI" w:hAnsi="Segoe UI" w:cs="Segoe UI"/>
          <w:i/>
          <w:color w:val="525252" w:themeColor="accent3" w:themeShade="80"/>
          <w:sz w:val="20"/>
          <w:szCs w:val="20"/>
        </w:rPr>
        <w:t>“[...] La dichiarazione di carattere non finanziario dovrebbe altresì contenere informazioni sulle procedure in materia di dovuta diligenza applicate dall</w:t>
      </w:r>
      <w:r w:rsidR="00807CB7">
        <w:rPr>
          <w:rFonts w:ascii="Segoe UI" w:hAnsi="Segoe UI" w:cs="Segoe UI"/>
          <w:i/>
          <w:color w:val="525252" w:themeColor="accent3" w:themeShade="80"/>
          <w:sz w:val="20"/>
          <w:szCs w:val="20"/>
        </w:rPr>
        <w:t>’</w:t>
      </w:r>
      <w:r w:rsidRPr="007F5442">
        <w:rPr>
          <w:rFonts w:ascii="Segoe UI" w:hAnsi="Segoe UI" w:cs="Segoe UI"/>
          <w:i/>
          <w:color w:val="525252" w:themeColor="accent3" w:themeShade="80"/>
          <w:sz w:val="20"/>
          <w:szCs w:val="20"/>
        </w:rPr>
        <w:t xml:space="preserve">impresa, tra l'altro per quanto riguarda le catene di fornitura e subappalto delle imprese, ove opportuno e proporzionato, onde individuare, prevenire e attenuare le ripercussioni negative esistenti e potenziali. </w:t>
      </w:r>
      <w:r w:rsidRPr="00B9065C">
        <w:rPr>
          <w:rFonts w:ascii="Segoe UI" w:hAnsi="Segoe UI" w:cs="Segoe UI"/>
          <w:i/>
          <w:color w:val="525252" w:themeColor="accent3" w:themeShade="80"/>
          <w:sz w:val="20"/>
          <w:szCs w:val="20"/>
        </w:rPr>
        <w:t>[...]”.</w:t>
      </w:r>
    </w:p>
    <w:p w14:paraId="4C7EE650" w14:textId="5A90AA40" w:rsidR="00472FB5" w:rsidRPr="0062207D" w:rsidRDefault="00AE415C" w:rsidP="0013336D">
      <w:pPr>
        <w:spacing w:before="120" w:after="120" w:line="240" w:lineRule="auto"/>
        <w:jc w:val="both"/>
        <w:rPr>
          <w:rFonts w:ascii="Segoe UI" w:hAnsi="Segoe UI" w:cs="Segoe UI"/>
          <w:szCs w:val="20"/>
        </w:rPr>
      </w:pPr>
      <w:r w:rsidRPr="0062207D">
        <w:rPr>
          <w:rFonts w:ascii="Segoe UI" w:hAnsi="Segoe UI" w:cs="Segoe UI"/>
          <w:noProof/>
          <w:szCs w:val="20"/>
          <w:lang w:eastAsia="it-IT"/>
        </w:rPr>
        <w:t>Conclusione:</w:t>
      </w:r>
      <w:r w:rsidR="00D537B4" w:rsidRPr="0062207D">
        <w:rPr>
          <w:rFonts w:ascii="Segoe UI" w:hAnsi="Segoe UI" w:cs="Segoe UI"/>
          <w:noProof/>
          <w:szCs w:val="20"/>
          <w:lang w:eastAsia="it-IT"/>
        </w:rPr>
        <w:t xml:space="preserve"> in questo contesto, premettendo che i </w:t>
      </w:r>
      <w:r w:rsidR="00D537B4" w:rsidRPr="0062207D">
        <w:rPr>
          <w:rFonts w:ascii="Segoe UI" w:hAnsi="Segoe UI" w:cs="Segoe UI"/>
          <w:i/>
          <w:noProof/>
          <w:szCs w:val="20"/>
          <w:lang w:eastAsia="it-IT"/>
        </w:rPr>
        <w:t>considerando</w:t>
      </w:r>
      <w:r w:rsidR="00D537B4" w:rsidRPr="0062207D">
        <w:rPr>
          <w:rFonts w:ascii="Segoe UI" w:hAnsi="Segoe UI" w:cs="Segoe UI"/>
          <w:noProof/>
          <w:szCs w:val="20"/>
          <w:lang w:eastAsia="it-IT"/>
        </w:rPr>
        <w:t xml:space="preserve"> di una direttiva non costituiscono disposizione normativa</w:t>
      </w:r>
      <w:r w:rsidR="00FC3F6C" w:rsidRPr="00FC3F6C">
        <w:rPr>
          <w:rFonts w:ascii="Segoe UI" w:hAnsi="Segoe UI" w:cs="Segoe UI"/>
          <w:noProof/>
          <w:szCs w:val="20"/>
          <w:lang w:eastAsia="it-IT"/>
        </w:rPr>
        <w:t xml:space="preserve"> </w:t>
      </w:r>
      <w:r w:rsidR="00FC3F6C">
        <w:rPr>
          <w:rFonts w:ascii="Segoe UI" w:hAnsi="Segoe UI" w:cs="Segoe UI"/>
          <w:noProof/>
          <w:szCs w:val="20"/>
          <w:lang w:eastAsia="it-IT"/>
        </w:rPr>
        <w:t>in senso stretto ma dovrebbero per propria natura contribuire alla chiarezza e alla intellegibilità delle disposizioni cui si riferiscono</w:t>
      </w:r>
      <w:r w:rsidR="00D537B4" w:rsidRPr="0062207D">
        <w:rPr>
          <w:rFonts w:ascii="Segoe UI" w:hAnsi="Segoe UI" w:cs="Segoe UI"/>
          <w:noProof/>
          <w:szCs w:val="20"/>
          <w:lang w:eastAsia="it-IT"/>
        </w:rPr>
        <w:t>, il termine “</w:t>
      </w:r>
      <w:r w:rsidR="00D537B4" w:rsidRPr="0062207D">
        <w:rPr>
          <w:rFonts w:ascii="Segoe UI" w:hAnsi="Segoe UI" w:cs="Segoe UI"/>
          <w:b/>
          <w:i/>
          <w:noProof/>
          <w:szCs w:val="20"/>
          <w:lang w:eastAsia="it-IT"/>
        </w:rPr>
        <w:t>relevant</w:t>
      </w:r>
      <w:r w:rsidR="00D537B4" w:rsidRPr="0062207D">
        <w:rPr>
          <w:rFonts w:ascii="Segoe UI" w:hAnsi="Segoe UI" w:cs="Segoe UI"/>
          <w:noProof/>
          <w:szCs w:val="20"/>
          <w:lang w:eastAsia="it-IT"/>
        </w:rPr>
        <w:t>” corrisponde al termine “</w:t>
      </w:r>
      <w:r w:rsidR="00D537B4" w:rsidRPr="0062207D">
        <w:rPr>
          <w:rFonts w:ascii="Segoe UI" w:hAnsi="Segoe UI" w:cs="Segoe UI"/>
          <w:b/>
          <w:noProof/>
          <w:szCs w:val="20"/>
          <w:lang w:eastAsia="it-IT"/>
        </w:rPr>
        <w:t>opportuno</w:t>
      </w:r>
      <w:r w:rsidR="00D537B4" w:rsidRPr="0062207D">
        <w:rPr>
          <w:rFonts w:ascii="Segoe UI" w:hAnsi="Segoe UI" w:cs="Segoe UI"/>
          <w:noProof/>
          <w:szCs w:val="20"/>
          <w:lang w:eastAsia="it-IT"/>
        </w:rPr>
        <w:t xml:space="preserve">“ e ciò ha senso in quanto richiama poi la disposizione inerente alla </w:t>
      </w:r>
      <w:r w:rsidR="00D537B4" w:rsidRPr="00FC3F6C">
        <w:rPr>
          <w:rFonts w:ascii="Segoe UI" w:hAnsi="Segoe UI" w:cs="Segoe UI"/>
          <w:i/>
          <w:noProof/>
          <w:szCs w:val="20"/>
          <w:lang w:eastAsia="it-IT"/>
        </w:rPr>
        <w:t>supply chian</w:t>
      </w:r>
      <w:r w:rsidR="00D537B4" w:rsidRPr="0062207D">
        <w:rPr>
          <w:rFonts w:ascii="Segoe UI" w:hAnsi="Segoe UI" w:cs="Segoe UI"/>
          <w:noProof/>
          <w:szCs w:val="20"/>
          <w:lang w:eastAsia="it-IT"/>
        </w:rPr>
        <w:t xml:space="preserve"> dell</w:t>
      </w:r>
      <w:r w:rsidR="00472FB5" w:rsidRPr="0062207D">
        <w:rPr>
          <w:rFonts w:ascii="Segoe UI" w:hAnsi="Segoe UI" w:cs="Segoe UI"/>
          <w:noProof/>
          <w:szCs w:val="20"/>
          <w:lang w:eastAsia="it-IT"/>
        </w:rPr>
        <w:t>’art</w:t>
      </w:r>
      <w:r w:rsidR="00854302">
        <w:rPr>
          <w:rFonts w:ascii="Segoe UI" w:hAnsi="Segoe UI" w:cs="Segoe UI"/>
          <w:noProof/>
          <w:szCs w:val="20"/>
          <w:lang w:eastAsia="it-IT"/>
        </w:rPr>
        <w:t>.</w:t>
      </w:r>
      <w:r w:rsidR="00472FB5" w:rsidRPr="0062207D">
        <w:rPr>
          <w:rFonts w:ascii="Segoe UI" w:hAnsi="Segoe UI" w:cs="Segoe UI"/>
          <w:noProof/>
          <w:szCs w:val="20"/>
          <w:lang w:eastAsia="it-IT"/>
        </w:rPr>
        <w:t xml:space="preserve"> 1, “Modifiche della direttiva 2013/34/UE”, co</w:t>
      </w:r>
      <w:r w:rsidR="00854302">
        <w:rPr>
          <w:rFonts w:ascii="Segoe UI" w:hAnsi="Segoe UI" w:cs="Segoe UI"/>
          <w:noProof/>
          <w:szCs w:val="20"/>
          <w:lang w:eastAsia="it-IT"/>
        </w:rPr>
        <w:t>.</w:t>
      </w:r>
      <w:r w:rsidR="00472FB5" w:rsidRPr="0062207D">
        <w:rPr>
          <w:rFonts w:ascii="Segoe UI" w:hAnsi="Segoe UI" w:cs="Segoe UI"/>
          <w:noProof/>
          <w:szCs w:val="20"/>
          <w:lang w:eastAsia="it-IT"/>
        </w:rPr>
        <w:t xml:space="preserve"> 1, punto 1, lett</w:t>
      </w:r>
      <w:r w:rsidR="00854302">
        <w:rPr>
          <w:rFonts w:ascii="Segoe UI" w:hAnsi="Segoe UI" w:cs="Segoe UI"/>
          <w:noProof/>
          <w:szCs w:val="20"/>
          <w:lang w:eastAsia="it-IT"/>
        </w:rPr>
        <w:t>.</w:t>
      </w:r>
      <w:r w:rsidR="00472FB5" w:rsidRPr="0062207D">
        <w:rPr>
          <w:rFonts w:ascii="Segoe UI" w:hAnsi="Segoe UI" w:cs="Segoe UI"/>
          <w:noProof/>
          <w:szCs w:val="20"/>
          <w:lang w:eastAsia="it-IT"/>
        </w:rPr>
        <w:t xml:space="preserve"> d)</w:t>
      </w:r>
      <w:r w:rsidR="00A026B4">
        <w:rPr>
          <w:rFonts w:ascii="Segoe UI" w:hAnsi="Segoe UI" w:cs="Segoe UI"/>
          <w:noProof/>
          <w:szCs w:val="20"/>
          <w:lang w:eastAsia="it-IT"/>
        </w:rPr>
        <w:t xml:space="preserve">; rispetto però al caso della </w:t>
      </w:r>
      <w:r w:rsidR="00FC3F6C">
        <w:rPr>
          <w:rFonts w:ascii="Segoe UI" w:hAnsi="Segoe UI" w:cs="Segoe UI"/>
          <w:noProof/>
          <w:szCs w:val="20"/>
          <w:lang w:eastAsia="it-IT"/>
        </w:rPr>
        <w:t>“</w:t>
      </w:r>
      <w:r w:rsidR="00A026B4">
        <w:rPr>
          <w:rFonts w:ascii="Segoe UI" w:hAnsi="Segoe UI" w:cs="Segoe UI"/>
          <w:noProof/>
          <w:szCs w:val="20"/>
          <w:lang w:eastAsia="it-IT"/>
        </w:rPr>
        <w:t>traduzione</w:t>
      </w:r>
      <w:r w:rsidR="00FC3F6C">
        <w:rPr>
          <w:rFonts w:ascii="Segoe UI" w:hAnsi="Segoe UI" w:cs="Segoe UI"/>
          <w:noProof/>
          <w:szCs w:val="20"/>
          <w:lang w:eastAsia="it-IT"/>
        </w:rPr>
        <w:t>:</w:t>
      </w:r>
      <w:r w:rsidR="00A026B4">
        <w:rPr>
          <w:rFonts w:ascii="Segoe UI" w:hAnsi="Segoe UI" w:cs="Segoe UI"/>
          <w:noProof/>
          <w:szCs w:val="20"/>
          <w:lang w:eastAsia="it-IT"/>
        </w:rPr>
        <w:t xml:space="preserve"> opzione 1 / accezione</w:t>
      </w:r>
      <w:r w:rsidR="00FC3F6C">
        <w:rPr>
          <w:rFonts w:ascii="Segoe UI" w:hAnsi="Segoe UI" w:cs="Segoe UI"/>
          <w:noProof/>
          <w:szCs w:val="20"/>
          <w:lang w:eastAsia="it-IT"/>
        </w:rPr>
        <w:t>: opzione</w:t>
      </w:r>
      <w:r w:rsidR="00A026B4">
        <w:rPr>
          <w:rFonts w:ascii="Segoe UI" w:hAnsi="Segoe UI" w:cs="Segoe UI"/>
          <w:noProof/>
          <w:szCs w:val="20"/>
          <w:lang w:eastAsia="it-IT"/>
        </w:rPr>
        <w:t xml:space="preserve"> 1</w:t>
      </w:r>
      <w:r w:rsidR="00FC3F6C">
        <w:rPr>
          <w:rFonts w:ascii="Segoe UI" w:hAnsi="Segoe UI" w:cs="Segoe UI"/>
          <w:noProof/>
          <w:szCs w:val="20"/>
          <w:lang w:eastAsia="it-IT"/>
        </w:rPr>
        <w:t>”</w:t>
      </w:r>
      <w:r w:rsidR="00A026B4">
        <w:rPr>
          <w:rFonts w:ascii="Segoe UI" w:hAnsi="Segoe UI" w:cs="Segoe UI"/>
          <w:noProof/>
          <w:szCs w:val="20"/>
          <w:lang w:eastAsia="it-IT"/>
        </w:rPr>
        <w:t xml:space="preserve">, più che </w:t>
      </w:r>
      <w:r w:rsidR="00472FB5" w:rsidRPr="0062207D">
        <w:rPr>
          <w:rFonts w:ascii="Segoe UI" w:hAnsi="Segoe UI" w:cs="Segoe UI"/>
          <w:noProof/>
          <w:szCs w:val="20"/>
          <w:lang w:eastAsia="it-IT"/>
        </w:rPr>
        <w:t>riferibile a una valutazione unilaterale (e pertanto soggettiva) da parte dell’impresa</w:t>
      </w:r>
      <w:r w:rsidR="00A026B4">
        <w:rPr>
          <w:rFonts w:ascii="Segoe UI" w:hAnsi="Segoe UI" w:cs="Segoe UI"/>
          <w:noProof/>
          <w:szCs w:val="20"/>
          <w:lang w:eastAsia="it-IT"/>
        </w:rPr>
        <w:t xml:space="preserve">, il termine sembrerebbe qui acquisire senso soprattutto in funzione di </w:t>
      </w:r>
      <w:r w:rsidR="00472FB5" w:rsidRPr="0062207D">
        <w:rPr>
          <w:rFonts w:ascii="Segoe UI" w:hAnsi="Segoe UI" w:cs="Segoe UI"/>
          <w:noProof/>
          <w:szCs w:val="20"/>
          <w:lang w:eastAsia="it-IT"/>
        </w:rPr>
        <w:t>una ponderazione oggettiva basata s</w:t>
      </w:r>
      <w:r w:rsidR="00B95548">
        <w:rPr>
          <w:rFonts w:ascii="Segoe UI" w:hAnsi="Segoe UI" w:cs="Segoe UI"/>
          <w:noProof/>
          <w:szCs w:val="20"/>
          <w:lang w:eastAsia="it-IT"/>
        </w:rPr>
        <w:t>ulle esigenze di un</w:t>
      </w:r>
      <w:r w:rsidR="00472FB5" w:rsidRPr="0062207D">
        <w:rPr>
          <w:rFonts w:ascii="Segoe UI" w:hAnsi="Segoe UI" w:cs="Segoe UI"/>
          <w:noProof/>
          <w:szCs w:val="20"/>
          <w:lang w:eastAsia="it-IT"/>
        </w:rPr>
        <w:t>a</w:t>
      </w:r>
      <w:r w:rsidR="00B95548">
        <w:rPr>
          <w:rFonts w:ascii="Segoe UI" w:hAnsi="Segoe UI" w:cs="Segoe UI"/>
          <w:noProof/>
          <w:szCs w:val="20"/>
          <w:lang w:eastAsia="it-IT"/>
        </w:rPr>
        <w:t xml:space="preserve"> </w:t>
      </w:r>
      <w:r w:rsidR="00472FB5" w:rsidRPr="0062207D">
        <w:rPr>
          <w:rFonts w:ascii="Segoe UI" w:hAnsi="Segoe UI" w:cs="Segoe UI"/>
          <w:noProof/>
          <w:szCs w:val="20"/>
          <w:lang w:eastAsia="it-IT"/>
        </w:rPr>
        <w:t xml:space="preserve">pluralità di </w:t>
      </w:r>
      <w:r w:rsidR="00472FB5" w:rsidRPr="00854302">
        <w:rPr>
          <w:rFonts w:ascii="Segoe UI" w:hAnsi="Segoe UI" w:cs="Segoe UI"/>
          <w:i/>
          <w:noProof/>
          <w:szCs w:val="20"/>
          <w:lang w:eastAsia="it-IT"/>
        </w:rPr>
        <w:t>stakehoder</w:t>
      </w:r>
      <w:r w:rsidR="00472FB5" w:rsidRPr="0062207D">
        <w:rPr>
          <w:rFonts w:ascii="Segoe UI" w:hAnsi="Segoe UI" w:cs="Segoe UI"/>
          <w:noProof/>
          <w:szCs w:val="20"/>
          <w:lang w:eastAsia="it-IT"/>
        </w:rPr>
        <w:t xml:space="preserve">, circostanza per la quale sarebbe </w:t>
      </w:r>
      <w:r w:rsidR="00A026B4">
        <w:rPr>
          <w:rFonts w:ascii="Segoe UI" w:hAnsi="Segoe UI" w:cs="Segoe UI"/>
          <w:noProof/>
          <w:szCs w:val="20"/>
          <w:lang w:eastAsia="it-IT"/>
        </w:rPr>
        <w:t xml:space="preserve">più consona un’associazione del </w:t>
      </w:r>
      <w:r w:rsidR="00472FB5" w:rsidRPr="0062207D">
        <w:rPr>
          <w:rFonts w:ascii="Segoe UI" w:hAnsi="Segoe UI" w:cs="Segoe UI"/>
          <w:noProof/>
          <w:szCs w:val="20"/>
          <w:lang w:eastAsia="it-IT"/>
        </w:rPr>
        <w:t>concetto di “</w:t>
      </w:r>
      <w:r w:rsidR="00472FB5" w:rsidRPr="00807CB7">
        <w:rPr>
          <w:rFonts w:ascii="Segoe UI" w:hAnsi="Segoe UI" w:cs="Segoe UI"/>
          <w:i/>
          <w:noProof/>
          <w:szCs w:val="20"/>
          <w:lang w:eastAsia="it-IT"/>
        </w:rPr>
        <w:t>relevance</w:t>
      </w:r>
      <w:r w:rsidR="00472FB5" w:rsidRPr="00807CB7">
        <w:rPr>
          <w:rFonts w:ascii="Segoe UI" w:hAnsi="Segoe UI" w:cs="Segoe UI"/>
          <w:noProof/>
          <w:szCs w:val="20"/>
          <w:lang w:eastAsia="it-IT"/>
        </w:rPr>
        <w:t>”</w:t>
      </w:r>
      <w:r w:rsidR="00A026B4" w:rsidRPr="00807CB7">
        <w:rPr>
          <w:rFonts w:ascii="Segoe UI" w:hAnsi="Segoe UI" w:cs="Segoe UI"/>
          <w:noProof/>
          <w:szCs w:val="20"/>
          <w:lang w:eastAsia="it-IT"/>
        </w:rPr>
        <w:t xml:space="preserve"> (sotteso al termine</w:t>
      </w:r>
      <w:r w:rsidR="00AC44D6" w:rsidRPr="00807CB7">
        <w:rPr>
          <w:rFonts w:ascii="Segoe UI" w:hAnsi="Segoe UI" w:cs="Segoe UI"/>
          <w:noProof/>
          <w:szCs w:val="20"/>
          <w:lang w:eastAsia="it-IT"/>
        </w:rPr>
        <w:t xml:space="preserve"> “</w:t>
      </w:r>
      <w:r w:rsidR="00AC44D6" w:rsidRPr="00807CB7">
        <w:rPr>
          <w:rFonts w:ascii="Segoe UI" w:hAnsi="Segoe UI" w:cs="Segoe UI"/>
          <w:i/>
          <w:noProof/>
          <w:szCs w:val="20"/>
          <w:lang w:eastAsia="it-IT"/>
        </w:rPr>
        <w:t>relevant</w:t>
      </w:r>
      <w:r w:rsidR="00AC44D6" w:rsidRPr="00807CB7">
        <w:rPr>
          <w:rFonts w:ascii="Segoe UI" w:hAnsi="Segoe UI" w:cs="Segoe UI"/>
          <w:noProof/>
          <w:szCs w:val="20"/>
          <w:lang w:eastAsia="it-IT"/>
        </w:rPr>
        <w:t>”</w:t>
      </w:r>
      <w:r w:rsidR="00A026B4" w:rsidRPr="00807CB7">
        <w:rPr>
          <w:rFonts w:ascii="Segoe UI" w:hAnsi="Segoe UI" w:cs="Segoe UI"/>
          <w:noProof/>
          <w:szCs w:val="20"/>
          <w:lang w:eastAsia="it-IT"/>
        </w:rPr>
        <w:t xml:space="preserve">) </w:t>
      </w:r>
      <w:r w:rsidR="00472FB5" w:rsidRPr="00807CB7">
        <w:rPr>
          <w:rFonts w:ascii="Segoe UI" w:hAnsi="Segoe UI" w:cs="Segoe UI"/>
          <w:noProof/>
          <w:szCs w:val="20"/>
          <w:lang w:eastAsia="it-IT"/>
        </w:rPr>
        <w:t xml:space="preserve">a quello di “opportunità” (nel senso di idoneità a perseguire i </w:t>
      </w:r>
      <w:r w:rsidR="00472FB5" w:rsidRPr="00807CB7">
        <w:rPr>
          <w:rFonts w:ascii="Segoe UI" w:hAnsi="Segoe UI" w:cs="Segoe UI"/>
          <w:szCs w:val="20"/>
        </w:rPr>
        <w:t xml:space="preserve">fini generali e gli obiettivi di interesse comune cui tende la normativa di </w:t>
      </w:r>
      <w:r w:rsidR="00472FB5" w:rsidRPr="00807CB7">
        <w:rPr>
          <w:rFonts w:ascii="Segoe UI" w:hAnsi="Segoe UI" w:cs="Segoe UI"/>
          <w:i/>
          <w:szCs w:val="20"/>
        </w:rPr>
        <w:t>disclosure</w:t>
      </w:r>
      <w:r w:rsidR="00B95548" w:rsidRPr="00807CB7">
        <w:rPr>
          <w:rFonts w:ascii="Segoe UI" w:hAnsi="Segoe UI" w:cs="Segoe UI"/>
          <w:szCs w:val="20"/>
        </w:rPr>
        <w:t xml:space="preserve"> non finanziaria</w:t>
      </w:r>
      <w:r w:rsidR="00B95548">
        <w:rPr>
          <w:rFonts w:ascii="Segoe UI" w:hAnsi="Segoe UI" w:cs="Segoe UI"/>
          <w:szCs w:val="20"/>
        </w:rPr>
        <w:t>).</w:t>
      </w:r>
    </w:p>
    <w:p w14:paraId="6D55F271" w14:textId="77777777" w:rsidR="008F338B" w:rsidRPr="0062207D" w:rsidRDefault="008F338B" w:rsidP="0013336D">
      <w:pPr>
        <w:spacing w:before="120" w:after="120" w:line="240" w:lineRule="auto"/>
        <w:jc w:val="both"/>
        <w:rPr>
          <w:rFonts w:ascii="Segoe UI" w:hAnsi="Segoe UI" w:cs="Segoe UI"/>
          <w:noProof/>
          <w:szCs w:val="20"/>
          <w:lang w:eastAsia="it-IT"/>
        </w:rPr>
      </w:pPr>
    </w:p>
    <w:p w14:paraId="658378DB" w14:textId="2784CAB6" w:rsidR="00EB3E68" w:rsidRDefault="00706E13" w:rsidP="008F338B">
      <w:pPr>
        <w:keepNext/>
        <w:keepLines/>
        <w:spacing w:before="120" w:after="120" w:line="240" w:lineRule="auto"/>
        <w:jc w:val="both"/>
        <w:rPr>
          <w:rFonts w:ascii="Segoe UI" w:hAnsi="Segoe UI" w:cs="Segoe UI"/>
          <w:noProof/>
          <w:szCs w:val="20"/>
          <w:lang w:eastAsia="it-IT"/>
        </w:rPr>
      </w:pPr>
      <w:r>
        <w:rPr>
          <w:rFonts w:ascii="Segoe UI" w:hAnsi="Segoe UI" w:cs="Segoe UI"/>
          <w:noProof/>
          <w:szCs w:val="20"/>
          <w:lang w:eastAsia="it-IT"/>
        </w:rPr>
        <w:t>Traduzione</w:t>
      </w:r>
      <w:r w:rsidR="00BD2F81">
        <w:rPr>
          <w:rFonts w:ascii="Segoe UI" w:hAnsi="Segoe UI" w:cs="Segoe UI"/>
          <w:noProof/>
          <w:szCs w:val="20"/>
          <w:lang w:eastAsia="it-IT"/>
        </w:rPr>
        <w:t>:</w:t>
      </w:r>
      <w:r>
        <w:rPr>
          <w:rFonts w:ascii="Segoe UI" w:hAnsi="Segoe UI" w:cs="Segoe UI"/>
          <w:noProof/>
          <w:szCs w:val="20"/>
          <w:lang w:eastAsia="it-IT"/>
        </w:rPr>
        <w:t xml:space="preserve"> opzione 2</w:t>
      </w:r>
      <w:r w:rsidR="00546A47">
        <w:rPr>
          <w:rFonts w:ascii="Segoe UI" w:hAnsi="Segoe UI" w:cs="Segoe UI"/>
          <w:noProof/>
          <w:szCs w:val="20"/>
          <w:lang w:eastAsia="it-IT"/>
        </w:rPr>
        <w:t xml:space="preserve"> /</w:t>
      </w:r>
      <w:r>
        <w:rPr>
          <w:rFonts w:ascii="Segoe UI" w:hAnsi="Segoe UI" w:cs="Segoe UI"/>
          <w:noProof/>
          <w:szCs w:val="20"/>
          <w:lang w:eastAsia="it-IT"/>
        </w:rPr>
        <w:t xml:space="preserve"> </w:t>
      </w:r>
      <w:r w:rsidR="00BD2F81">
        <w:rPr>
          <w:rFonts w:ascii="Segoe UI" w:hAnsi="Segoe UI" w:cs="Segoe UI"/>
          <w:noProof/>
          <w:szCs w:val="20"/>
          <w:lang w:eastAsia="it-IT"/>
        </w:rPr>
        <w:t>A</w:t>
      </w:r>
      <w:r w:rsidR="00546A47">
        <w:rPr>
          <w:rFonts w:ascii="Segoe UI" w:hAnsi="Segoe UI" w:cs="Segoe UI"/>
          <w:noProof/>
          <w:szCs w:val="20"/>
          <w:lang w:eastAsia="it-IT"/>
        </w:rPr>
        <w:t>ccezione</w:t>
      </w:r>
      <w:r w:rsidR="00BD2F81">
        <w:rPr>
          <w:rFonts w:ascii="Segoe UI" w:hAnsi="Segoe UI" w:cs="Segoe UI"/>
          <w:noProof/>
          <w:szCs w:val="20"/>
          <w:lang w:eastAsia="it-IT"/>
        </w:rPr>
        <w:t>: opzione</w:t>
      </w:r>
      <w:r w:rsidR="00546A47">
        <w:rPr>
          <w:rFonts w:ascii="Segoe UI" w:hAnsi="Segoe UI" w:cs="Segoe UI"/>
          <w:noProof/>
          <w:szCs w:val="20"/>
          <w:lang w:eastAsia="it-IT"/>
        </w:rPr>
        <w:t xml:space="preserve"> </w:t>
      </w:r>
      <w:r w:rsidR="00A05F05">
        <w:rPr>
          <w:rFonts w:ascii="Segoe UI" w:hAnsi="Segoe UI" w:cs="Segoe UI"/>
          <w:noProof/>
          <w:szCs w:val="20"/>
          <w:lang w:eastAsia="it-IT"/>
        </w:rPr>
        <w:t>3</w:t>
      </w:r>
    </w:p>
    <w:p w14:paraId="728966BB" w14:textId="42B50E10" w:rsidR="00472FB5" w:rsidRPr="0062207D" w:rsidRDefault="0046221A" w:rsidP="008F338B">
      <w:pPr>
        <w:keepNext/>
        <w:keepLines/>
        <w:spacing w:before="120" w:after="120" w:line="240" w:lineRule="auto"/>
        <w:jc w:val="both"/>
        <w:rPr>
          <w:rFonts w:ascii="Segoe UI" w:hAnsi="Segoe UI" w:cs="Segoe UI"/>
          <w:noProof/>
          <w:szCs w:val="20"/>
          <w:lang w:eastAsia="it-IT"/>
        </w:rPr>
      </w:pPr>
      <w:r>
        <w:rPr>
          <w:rFonts w:ascii="Segoe UI" w:hAnsi="Segoe UI" w:cs="Segoe UI"/>
          <w:noProof/>
          <w:szCs w:val="20"/>
          <w:lang w:eastAsia="it-IT"/>
        </w:rPr>
        <w:t>I</w:t>
      </w:r>
      <w:r w:rsidR="00472FB5" w:rsidRPr="0062207D">
        <w:rPr>
          <w:rFonts w:ascii="Segoe UI" w:hAnsi="Segoe UI" w:cs="Segoe UI"/>
          <w:noProof/>
          <w:szCs w:val="20"/>
          <w:lang w:eastAsia="it-IT"/>
        </w:rPr>
        <w:t>nfine, il concetto di “</w:t>
      </w:r>
      <w:r w:rsidR="00472FB5" w:rsidRPr="00B95548">
        <w:rPr>
          <w:rFonts w:ascii="Segoe UI" w:hAnsi="Segoe UI" w:cs="Segoe UI"/>
          <w:i/>
          <w:noProof/>
          <w:szCs w:val="20"/>
          <w:lang w:eastAsia="it-IT"/>
        </w:rPr>
        <w:t>relevance</w:t>
      </w:r>
      <w:r w:rsidR="00472FB5" w:rsidRPr="0062207D">
        <w:rPr>
          <w:rFonts w:ascii="Segoe UI" w:hAnsi="Segoe UI" w:cs="Segoe UI"/>
          <w:noProof/>
          <w:szCs w:val="20"/>
          <w:lang w:eastAsia="it-IT"/>
        </w:rPr>
        <w:t xml:space="preserve">” è esplicitamente indicato al pragrafo 21 dei </w:t>
      </w:r>
      <w:r w:rsidR="00472FB5" w:rsidRPr="0062207D">
        <w:rPr>
          <w:rFonts w:ascii="Segoe UI" w:hAnsi="Segoe UI" w:cs="Segoe UI"/>
          <w:i/>
          <w:noProof/>
          <w:szCs w:val="20"/>
          <w:lang w:eastAsia="it-IT"/>
        </w:rPr>
        <w:t>considerando</w:t>
      </w:r>
      <w:r w:rsidR="00472FB5" w:rsidRPr="0062207D">
        <w:rPr>
          <w:rFonts w:ascii="Segoe UI" w:hAnsi="Segoe UI" w:cs="Segoe UI"/>
          <w:noProof/>
          <w:szCs w:val="20"/>
          <w:lang w:eastAsia="it-IT"/>
        </w:rPr>
        <w:t>, dove, nella versione inglese, la direttiva recita:</w:t>
      </w:r>
    </w:p>
    <w:p w14:paraId="2CF50F39" w14:textId="12D1DC96" w:rsidR="00E6776A" w:rsidRPr="008661E6" w:rsidRDefault="00472FB5" w:rsidP="007F5442">
      <w:pPr>
        <w:keepLines/>
        <w:spacing w:before="120" w:after="120" w:line="240" w:lineRule="auto"/>
        <w:ind w:left="284" w:right="284"/>
        <w:jc w:val="both"/>
        <w:rPr>
          <w:rFonts w:ascii="Segoe UI" w:hAnsi="Segoe UI" w:cs="Segoe UI"/>
          <w:i/>
          <w:color w:val="525252" w:themeColor="accent3" w:themeShade="80"/>
          <w:sz w:val="20"/>
          <w:szCs w:val="20"/>
          <w:lang w:val="en-US"/>
        </w:rPr>
      </w:pPr>
      <w:r w:rsidRPr="00FC3F6C">
        <w:rPr>
          <w:rFonts w:ascii="Segoe UI" w:hAnsi="Segoe UI" w:cs="Segoe UI"/>
          <w:color w:val="525252" w:themeColor="accent3" w:themeShade="80"/>
          <w:sz w:val="20"/>
          <w:szCs w:val="20"/>
          <w:lang w:val="en-US"/>
        </w:rPr>
        <w:t xml:space="preserve">“[...] </w:t>
      </w:r>
      <w:r w:rsidR="00E6776A" w:rsidRPr="007F5442">
        <w:rPr>
          <w:rFonts w:ascii="Segoe UI" w:hAnsi="Segoe UI" w:cs="Segoe UI"/>
          <w:i/>
          <w:color w:val="525252" w:themeColor="accent3" w:themeShade="80"/>
          <w:sz w:val="20"/>
          <w:szCs w:val="20"/>
          <w:lang w:val="en-US"/>
        </w:rPr>
        <w:t>Since the objective of this Directive, namely to increase the relevance, consistency and comparability of information disclosed by certain large undertakings and groups across the Union, cannot be sufficiently achieved by the Member States but can rather, by reason of its effect, be better achieved at Union level, the Union may adopt measures, in accordance with the principle of subsidiarity as set out in Article 5 of the Treaty on European Union.</w:t>
      </w:r>
      <w:r w:rsidRPr="007F5442">
        <w:rPr>
          <w:rFonts w:ascii="Segoe UI" w:hAnsi="Segoe UI" w:cs="Segoe UI"/>
          <w:i/>
          <w:color w:val="525252" w:themeColor="accent3" w:themeShade="80"/>
          <w:sz w:val="20"/>
          <w:szCs w:val="20"/>
          <w:lang w:val="en-US"/>
        </w:rPr>
        <w:t xml:space="preserve"> </w:t>
      </w:r>
      <w:r w:rsidRPr="008661E6">
        <w:rPr>
          <w:rFonts w:ascii="Segoe UI" w:hAnsi="Segoe UI" w:cs="Segoe UI"/>
          <w:color w:val="525252" w:themeColor="accent3" w:themeShade="80"/>
          <w:sz w:val="20"/>
          <w:szCs w:val="20"/>
          <w:lang w:val="en-US"/>
        </w:rPr>
        <w:t>[...]”.</w:t>
      </w:r>
    </w:p>
    <w:p w14:paraId="124392A7" w14:textId="60CA0787" w:rsidR="00472FB5" w:rsidRPr="008661E6" w:rsidRDefault="00472FB5" w:rsidP="0013336D">
      <w:pPr>
        <w:keepNext/>
        <w:keepLines/>
        <w:spacing w:before="120" w:after="120" w:line="240" w:lineRule="auto"/>
        <w:jc w:val="both"/>
        <w:rPr>
          <w:rFonts w:ascii="Segoe UI" w:hAnsi="Segoe UI" w:cs="Segoe UI"/>
          <w:noProof/>
          <w:szCs w:val="20"/>
          <w:lang w:val="en-US" w:eastAsia="it-IT"/>
        </w:rPr>
      </w:pPr>
      <w:r w:rsidRPr="008661E6">
        <w:rPr>
          <w:rFonts w:ascii="Segoe UI" w:hAnsi="Segoe UI" w:cs="Segoe UI"/>
          <w:noProof/>
          <w:szCs w:val="20"/>
          <w:lang w:val="en-US" w:eastAsia="it-IT"/>
        </w:rPr>
        <w:t>Nella versione italiana, il paragrafo è tradotto come segue:</w:t>
      </w:r>
    </w:p>
    <w:p w14:paraId="60CC602B" w14:textId="1C3BEF1D" w:rsidR="00E6776A" w:rsidRPr="00B9065C" w:rsidRDefault="00B95548" w:rsidP="007F5442">
      <w:pPr>
        <w:keepLines/>
        <w:spacing w:before="120" w:after="120" w:line="240" w:lineRule="auto"/>
        <w:ind w:left="284" w:right="284"/>
        <w:jc w:val="both"/>
        <w:rPr>
          <w:rFonts w:ascii="Segoe UI" w:hAnsi="Segoe UI" w:cs="Segoe UI"/>
          <w:i/>
          <w:color w:val="525252" w:themeColor="accent3" w:themeShade="80"/>
          <w:sz w:val="20"/>
          <w:szCs w:val="20"/>
        </w:rPr>
      </w:pPr>
      <w:r w:rsidRPr="008661E6">
        <w:rPr>
          <w:rFonts w:ascii="Segoe UI" w:hAnsi="Segoe UI" w:cs="Segoe UI"/>
          <w:color w:val="525252" w:themeColor="accent3" w:themeShade="80"/>
          <w:sz w:val="20"/>
          <w:szCs w:val="20"/>
          <w:lang w:val="en-US"/>
        </w:rPr>
        <w:t>“[...</w:t>
      </w:r>
      <w:r w:rsidR="00472FB5" w:rsidRPr="008661E6">
        <w:rPr>
          <w:rFonts w:ascii="Segoe UI" w:hAnsi="Segoe UI" w:cs="Segoe UI"/>
          <w:color w:val="525252" w:themeColor="accent3" w:themeShade="80"/>
          <w:sz w:val="20"/>
          <w:szCs w:val="20"/>
          <w:lang w:val="en-US"/>
        </w:rPr>
        <w:t>]</w:t>
      </w:r>
      <w:r w:rsidR="00472FB5" w:rsidRPr="008661E6">
        <w:rPr>
          <w:rFonts w:ascii="Segoe UI" w:hAnsi="Segoe UI" w:cs="Segoe UI"/>
          <w:i/>
          <w:color w:val="525252" w:themeColor="accent3" w:themeShade="80"/>
          <w:sz w:val="20"/>
          <w:szCs w:val="20"/>
          <w:lang w:val="en-US"/>
        </w:rPr>
        <w:t xml:space="preserve"> </w:t>
      </w:r>
      <w:r w:rsidR="00E6776A" w:rsidRPr="007F5442">
        <w:rPr>
          <w:rFonts w:ascii="Segoe UI" w:hAnsi="Segoe UI" w:cs="Segoe UI"/>
          <w:i/>
          <w:color w:val="525252" w:themeColor="accent3" w:themeShade="80"/>
          <w:sz w:val="20"/>
          <w:szCs w:val="20"/>
        </w:rPr>
        <w:t>Poiché l</w:t>
      </w:r>
      <w:r w:rsidR="006511D2">
        <w:rPr>
          <w:rFonts w:ascii="Segoe UI" w:hAnsi="Segoe UI" w:cs="Segoe UI"/>
          <w:i/>
          <w:color w:val="525252" w:themeColor="accent3" w:themeShade="80"/>
          <w:sz w:val="20"/>
          <w:szCs w:val="20"/>
        </w:rPr>
        <w:t>’</w:t>
      </w:r>
      <w:r w:rsidR="00E6776A" w:rsidRPr="007F5442">
        <w:rPr>
          <w:rFonts w:ascii="Segoe UI" w:hAnsi="Segoe UI" w:cs="Segoe UI"/>
          <w:i/>
          <w:color w:val="525252" w:themeColor="accent3" w:themeShade="80"/>
          <w:sz w:val="20"/>
          <w:szCs w:val="20"/>
        </w:rPr>
        <w:t>obiettivo della presente direttiva, ossia accrescere la pertinenza, l</w:t>
      </w:r>
      <w:r w:rsidR="006511D2">
        <w:rPr>
          <w:rFonts w:ascii="Segoe UI" w:hAnsi="Segoe UI" w:cs="Segoe UI"/>
          <w:i/>
          <w:color w:val="525252" w:themeColor="accent3" w:themeShade="80"/>
          <w:sz w:val="20"/>
          <w:szCs w:val="20"/>
        </w:rPr>
        <w:t>’</w:t>
      </w:r>
      <w:r w:rsidR="00E6776A" w:rsidRPr="007F5442">
        <w:rPr>
          <w:rFonts w:ascii="Segoe UI" w:hAnsi="Segoe UI" w:cs="Segoe UI"/>
          <w:i/>
          <w:color w:val="525252" w:themeColor="accent3" w:themeShade="80"/>
          <w:sz w:val="20"/>
          <w:szCs w:val="20"/>
        </w:rPr>
        <w:t>uniformità e la comparabilità delle informazioni comunicate da talune imprese e taluni gruppi di grandi dimensioni in tutta l</w:t>
      </w:r>
      <w:r w:rsidR="006511D2">
        <w:rPr>
          <w:rFonts w:ascii="Segoe UI" w:hAnsi="Segoe UI" w:cs="Segoe UI"/>
          <w:i/>
          <w:color w:val="525252" w:themeColor="accent3" w:themeShade="80"/>
          <w:sz w:val="20"/>
          <w:szCs w:val="20"/>
        </w:rPr>
        <w:t>’</w:t>
      </w:r>
      <w:r w:rsidR="00E6776A" w:rsidRPr="007F5442">
        <w:rPr>
          <w:rFonts w:ascii="Segoe UI" w:hAnsi="Segoe UI" w:cs="Segoe UI"/>
          <w:i/>
          <w:color w:val="525252" w:themeColor="accent3" w:themeShade="80"/>
          <w:sz w:val="20"/>
          <w:szCs w:val="20"/>
        </w:rPr>
        <w:t>Unione, non può essere conseguito in misura sufficiente dagli Stati membri ma, a motivo dei suoi effetti, può essere conseguito meglio a livello dell</w:t>
      </w:r>
      <w:r w:rsidR="006511D2">
        <w:rPr>
          <w:rFonts w:ascii="Segoe UI" w:hAnsi="Segoe UI" w:cs="Segoe UI"/>
          <w:i/>
          <w:color w:val="525252" w:themeColor="accent3" w:themeShade="80"/>
          <w:sz w:val="20"/>
          <w:szCs w:val="20"/>
        </w:rPr>
        <w:t>’</w:t>
      </w:r>
      <w:r w:rsidR="00E6776A" w:rsidRPr="007F5442">
        <w:rPr>
          <w:rFonts w:ascii="Segoe UI" w:hAnsi="Segoe UI" w:cs="Segoe UI"/>
          <w:i/>
          <w:color w:val="525252" w:themeColor="accent3" w:themeShade="80"/>
          <w:sz w:val="20"/>
          <w:szCs w:val="20"/>
        </w:rPr>
        <w:t>Unione, quest</w:t>
      </w:r>
      <w:r w:rsidR="006511D2">
        <w:rPr>
          <w:rFonts w:ascii="Segoe UI" w:hAnsi="Segoe UI" w:cs="Segoe UI"/>
          <w:i/>
          <w:color w:val="525252" w:themeColor="accent3" w:themeShade="80"/>
          <w:sz w:val="20"/>
          <w:szCs w:val="20"/>
        </w:rPr>
        <w:t>’</w:t>
      </w:r>
      <w:r w:rsidR="00E6776A" w:rsidRPr="007F5442">
        <w:rPr>
          <w:rFonts w:ascii="Segoe UI" w:hAnsi="Segoe UI" w:cs="Segoe UI"/>
          <w:i/>
          <w:color w:val="525252" w:themeColor="accent3" w:themeShade="80"/>
          <w:sz w:val="20"/>
          <w:szCs w:val="20"/>
        </w:rPr>
        <w:t>ultima può intervenire in base al principio di sussidiarietà sancito dall'articolo 5 del trattato sull</w:t>
      </w:r>
      <w:r w:rsidR="006511D2">
        <w:rPr>
          <w:rFonts w:ascii="Segoe UI" w:hAnsi="Segoe UI" w:cs="Segoe UI"/>
          <w:i/>
          <w:color w:val="525252" w:themeColor="accent3" w:themeShade="80"/>
          <w:sz w:val="20"/>
          <w:szCs w:val="20"/>
        </w:rPr>
        <w:t>’</w:t>
      </w:r>
      <w:r w:rsidR="00E6776A" w:rsidRPr="007F5442">
        <w:rPr>
          <w:rFonts w:ascii="Segoe UI" w:hAnsi="Segoe UI" w:cs="Segoe UI"/>
          <w:i/>
          <w:color w:val="525252" w:themeColor="accent3" w:themeShade="80"/>
          <w:sz w:val="20"/>
          <w:szCs w:val="20"/>
        </w:rPr>
        <w:t>Unione europea.</w:t>
      </w:r>
      <w:r w:rsidR="00472FB5" w:rsidRPr="007F5442">
        <w:rPr>
          <w:rFonts w:ascii="Segoe UI" w:hAnsi="Segoe UI" w:cs="Segoe UI"/>
          <w:i/>
          <w:color w:val="525252" w:themeColor="accent3" w:themeShade="80"/>
          <w:sz w:val="20"/>
          <w:szCs w:val="20"/>
        </w:rPr>
        <w:t xml:space="preserve"> </w:t>
      </w:r>
      <w:r w:rsidR="00472FB5" w:rsidRPr="00FC3F6C">
        <w:rPr>
          <w:rFonts w:ascii="Segoe UI" w:hAnsi="Segoe UI" w:cs="Segoe UI"/>
          <w:color w:val="525252" w:themeColor="accent3" w:themeShade="80"/>
          <w:sz w:val="20"/>
          <w:szCs w:val="20"/>
        </w:rPr>
        <w:t>[...]”.</w:t>
      </w:r>
    </w:p>
    <w:p w14:paraId="1B924371" w14:textId="6775589D" w:rsidR="00E6776A" w:rsidRDefault="00AE415C" w:rsidP="0013336D">
      <w:pPr>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Conclusione:</w:t>
      </w:r>
      <w:r w:rsidR="00E979C0" w:rsidRPr="0062207D">
        <w:rPr>
          <w:rFonts w:ascii="Segoe UI" w:hAnsi="Segoe UI" w:cs="Segoe UI"/>
          <w:noProof/>
          <w:szCs w:val="20"/>
          <w:lang w:eastAsia="it-IT"/>
        </w:rPr>
        <w:t xml:space="preserve"> in questo contesto, premettendo che i </w:t>
      </w:r>
      <w:r w:rsidR="00E979C0" w:rsidRPr="0062207D">
        <w:rPr>
          <w:rFonts w:ascii="Segoe UI" w:hAnsi="Segoe UI" w:cs="Segoe UI"/>
          <w:i/>
          <w:noProof/>
          <w:szCs w:val="20"/>
          <w:lang w:eastAsia="it-IT"/>
        </w:rPr>
        <w:t>considerando</w:t>
      </w:r>
      <w:r w:rsidR="00E979C0" w:rsidRPr="0062207D">
        <w:rPr>
          <w:rFonts w:ascii="Segoe UI" w:hAnsi="Segoe UI" w:cs="Segoe UI"/>
          <w:noProof/>
          <w:szCs w:val="20"/>
          <w:lang w:eastAsia="it-IT"/>
        </w:rPr>
        <w:t xml:space="preserve"> di una direttiva non costituiscono disposizione normativa, il termine “</w:t>
      </w:r>
      <w:r w:rsidR="00E979C0" w:rsidRPr="0062207D">
        <w:rPr>
          <w:rFonts w:ascii="Segoe UI" w:hAnsi="Segoe UI" w:cs="Segoe UI"/>
          <w:b/>
          <w:i/>
          <w:noProof/>
          <w:szCs w:val="20"/>
          <w:lang w:eastAsia="it-IT"/>
        </w:rPr>
        <w:t>relevance</w:t>
      </w:r>
      <w:r w:rsidR="00E979C0" w:rsidRPr="0062207D">
        <w:rPr>
          <w:rFonts w:ascii="Segoe UI" w:hAnsi="Segoe UI" w:cs="Segoe UI"/>
          <w:noProof/>
          <w:szCs w:val="20"/>
          <w:lang w:eastAsia="it-IT"/>
        </w:rPr>
        <w:t>” corrisponde al termine “</w:t>
      </w:r>
      <w:r w:rsidR="00E979C0" w:rsidRPr="0062207D">
        <w:rPr>
          <w:rFonts w:ascii="Segoe UI" w:hAnsi="Segoe UI" w:cs="Segoe UI"/>
          <w:b/>
          <w:noProof/>
          <w:szCs w:val="20"/>
          <w:lang w:eastAsia="it-IT"/>
        </w:rPr>
        <w:t>pertinen</w:t>
      </w:r>
      <w:r w:rsidR="00A444D3" w:rsidRPr="0062207D">
        <w:rPr>
          <w:rFonts w:ascii="Segoe UI" w:hAnsi="Segoe UI" w:cs="Segoe UI"/>
          <w:b/>
          <w:noProof/>
          <w:szCs w:val="20"/>
          <w:lang w:eastAsia="it-IT"/>
        </w:rPr>
        <w:t>za</w:t>
      </w:r>
      <w:r w:rsidR="00E979C0" w:rsidRPr="0062207D">
        <w:rPr>
          <w:rFonts w:ascii="Segoe UI" w:hAnsi="Segoe UI" w:cs="Segoe UI"/>
          <w:noProof/>
          <w:szCs w:val="20"/>
          <w:lang w:eastAsia="it-IT"/>
        </w:rPr>
        <w:t>“</w:t>
      </w:r>
      <w:r w:rsidR="00A444D3" w:rsidRPr="0062207D">
        <w:rPr>
          <w:rFonts w:ascii="Segoe UI" w:hAnsi="Segoe UI" w:cs="Segoe UI"/>
          <w:noProof/>
          <w:szCs w:val="20"/>
          <w:lang w:eastAsia="it-IT"/>
        </w:rPr>
        <w:t xml:space="preserve">, ma non sembrerebbe indicare un concetto connesso alla relazione, all’attinenza, o all’inerenza, bensì proprio al perseguimento di </w:t>
      </w:r>
      <w:r w:rsidR="00A444D3" w:rsidRPr="0062207D">
        <w:rPr>
          <w:rFonts w:ascii="Segoe UI" w:hAnsi="Segoe UI" w:cs="Segoe UI"/>
          <w:szCs w:val="20"/>
        </w:rPr>
        <w:t xml:space="preserve">fini generali e di obiettivi di interesse comune cui tende la normativa di </w:t>
      </w:r>
      <w:r w:rsidR="00A444D3" w:rsidRPr="0062207D">
        <w:rPr>
          <w:rFonts w:ascii="Segoe UI" w:hAnsi="Segoe UI" w:cs="Segoe UI"/>
          <w:i/>
          <w:szCs w:val="20"/>
        </w:rPr>
        <w:t>disclosure</w:t>
      </w:r>
      <w:r w:rsidR="00A444D3" w:rsidRPr="0062207D">
        <w:rPr>
          <w:rFonts w:ascii="Segoe UI" w:hAnsi="Segoe UI" w:cs="Segoe UI"/>
          <w:szCs w:val="20"/>
        </w:rPr>
        <w:t xml:space="preserve"> non finanziaria, inscindibili da una valenza del concetto legittimata da una </w:t>
      </w:r>
      <w:r w:rsidR="00A444D3" w:rsidRPr="0062207D">
        <w:rPr>
          <w:rFonts w:ascii="Segoe UI" w:hAnsi="Segoe UI" w:cs="Segoe UI"/>
          <w:noProof/>
          <w:szCs w:val="20"/>
          <w:lang w:eastAsia="it-IT"/>
        </w:rPr>
        <w:t xml:space="preserve">ponderazione oggettiva basata sulle esigenze di una pluralità di </w:t>
      </w:r>
      <w:r w:rsidR="00A444D3" w:rsidRPr="005A546B">
        <w:rPr>
          <w:rFonts w:ascii="Segoe UI" w:hAnsi="Segoe UI" w:cs="Segoe UI"/>
          <w:i/>
          <w:noProof/>
          <w:szCs w:val="20"/>
          <w:lang w:eastAsia="it-IT"/>
        </w:rPr>
        <w:t>stakeholder</w:t>
      </w:r>
      <w:r w:rsidR="00A444D3" w:rsidRPr="0062207D">
        <w:rPr>
          <w:rFonts w:ascii="Segoe UI" w:hAnsi="Segoe UI" w:cs="Segoe UI"/>
          <w:noProof/>
          <w:szCs w:val="20"/>
          <w:lang w:eastAsia="it-IT"/>
        </w:rPr>
        <w:t>.</w:t>
      </w:r>
    </w:p>
    <w:p w14:paraId="5ADD253A" w14:textId="5D3CEAC3" w:rsidR="0067575B" w:rsidRPr="00A42E62" w:rsidRDefault="0067575B" w:rsidP="00A42E62">
      <w:pPr>
        <w:keepNext/>
        <w:keepLines/>
        <w:tabs>
          <w:tab w:val="left" w:pos="567"/>
        </w:tabs>
        <w:spacing w:before="1080" w:after="720" w:line="240" w:lineRule="auto"/>
        <w:ind w:left="567" w:hanging="567"/>
        <w:outlineLvl w:val="1"/>
        <w:rPr>
          <w:rFonts w:ascii="Segoe UI" w:eastAsiaTheme="minorHAnsi" w:hAnsi="Segoe UI" w:cs="Segoe UI"/>
          <w:bCs/>
          <w:sz w:val="28"/>
          <w:szCs w:val="28"/>
        </w:rPr>
      </w:pPr>
      <w:bookmarkStart w:id="13" w:name="_Toc507973946"/>
      <w:r w:rsidRPr="00A42E62">
        <w:rPr>
          <w:rFonts w:ascii="Segoe UI" w:eastAsiaTheme="minorHAnsi" w:hAnsi="Segoe UI" w:cs="Segoe UI"/>
          <w:bCs/>
          <w:sz w:val="28"/>
          <w:szCs w:val="28"/>
        </w:rPr>
        <w:t>2.</w:t>
      </w:r>
      <w:r w:rsidR="008E4785" w:rsidRPr="00A42E62">
        <w:rPr>
          <w:rFonts w:ascii="Segoe UI" w:eastAsiaTheme="minorHAnsi" w:hAnsi="Segoe UI" w:cs="Segoe UI"/>
          <w:bCs/>
          <w:sz w:val="28"/>
          <w:szCs w:val="28"/>
        </w:rPr>
        <w:t>3</w:t>
      </w:r>
      <w:r w:rsidRPr="00A42E62">
        <w:rPr>
          <w:rFonts w:ascii="Segoe UI" w:eastAsiaTheme="minorHAnsi" w:hAnsi="Segoe UI" w:cs="Segoe UI"/>
          <w:bCs/>
          <w:sz w:val="28"/>
          <w:szCs w:val="28"/>
        </w:rPr>
        <w:tab/>
        <w:t xml:space="preserve">Rendicontazione non finanziaria: </w:t>
      </w:r>
      <w:r w:rsidR="003E1020" w:rsidRPr="00A42E62">
        <w:rPr>
          <w:rFonts w:ascii="Segoe UI" w:eastAsiaTheme="minorHAnsi" w:hAnsi="Segoe UI" w:cs="Segoe UI"/>
          <w:bCs/>
          <w:sz w:val="28"/>
          <w:szCs w:val="28"/>
        </w:rPr>
        <w:t>Comunicazione della Commissione europea del</w:t>
      </w:r>
      <w:r w:rsidR="007619E5" w:rsidRPr="00A42E62">
        <w:rPr>
          <w:rFonts w:ascii="Segoe UI" w:eastAsiaTheme="minorHAnsi" w:hAnsi="Segoe UI" w:cs="Segoe UI"/>
          <w:bCs/>
          <w:sz w:val="28"/>
          <w:szCs w:val="28"/>
        </w:rPr>
        <w:t xml:space="preserve"> 5</w:t>
      </w:r>
      <w:r w:rsidR="003E1020" w:rsidRPr="00A42E62">
        <w:rPr>
          <w:rFonts w:ascii="Segoe UI" w:eastAsiaTheme="minorHAnsi" w:hAnsi="Segoe UI" w:cs="Segoe UI"/>
          <w:bCs/>
          <w:sz w:val="28"/>
          <w:szCs w:val="28"/>
        </w:rPr>
        <w:t xml:space="preserve"> luglio 2017</w:t>
      </w:r>
      <w:r w:rsidR="00A84D53">
        <w:rPr>
          <w:rFonts w:ascii="Segoe UI" w:eastAsiaTheme="minorHAnsi" w:hAnsi="Segoe UI" w:cs="Segoe UI"/>
          <w:bCs/>
          <w:sz w:val="28"/>
          <w:szCs w:val="28"/>
        </w:rPr>
        <w:t xml:space="preserve">, </w:t>
      </w:r>
      <w:r w:rsidR="003E1020" w:rsidRPr="00A42E62">
        <w:rPr>
          <w:rFonts w:ascii="Segoe UI" w:eastAsiaTheme="minorHAnsi" w:hAnsi="Segoe UI" w:cs="Segoe UI"/>
          <w:bCs/>
          <w:sz w:val="28"/>
          <w:szCs w:val="28"/>
        </w:rPr>
        <w:t>C 215/01</w:t>
      </w:r>
      <w:bookmarkEnd w:id="13"/>
    </w:p>
    <w:p w14:paraId="70E9FCCE" w14:textId="7AF3716A" w:rsidR="0067575B" w:rsidRPr="00DF19A3" w:rsidRDefault="0067575B" w:rsidP="0067575B">
      <w:pPr>
        <w:spacing w:before="120" w:after="120" w:line="240" w:lineRule="auto"/>
        <w:jc w:val="both"/>
        <w:rPr>
          <w:rFonts w:ascii="Segoe UI" w:hAnsi="Segoe UI" w:cs="Segoe UI"/>
          <w:lang w:eastAsia="it-IT"/>
        </w:rPr>
      </w:pPr>
      <w:r w:rsidRPr="00DF19A3">
        <w:rPr>
          <w:rFonts w:ascii="Segoe UI" w:hAnsi="Segoe UI" w:cs="Segoe UI"/>
          <w:lang w:eastAsia="it-IT"/>
        </w:rPr>
        <w:t>Il provvedimento che pone i maggiori dubbi sul</w:t>
      </w:r>
      <w:r w:rsidR="000E464F">
        <w:rPr>
          <w:rFonts w:ascii="Segoe UI" w:hAnsi="Segoe UI" w:cs="Segoe UI"/>
          <w:lang w:eastAsia="it-IT"/>
        </w:rPr>
        <w:t xml:space="preserve">l’efficacia delle soluzioni scelte nell’associazione dei vocaboli </w:t>
      </w:r>
      <w:r w:rsidR="000E464F" w:rsidRPr="00DF19A3">
        <w:rPr>
          <w:rFonts w:ascii="Segoe UI" w:hAnsi="Segoe UI" w:cs="Segoe UI"/>
          <w:lang w:eastAsia="it-IT"/>
        </w:rPr>
        <w:t>“</w:t>
      </w:r>
      <w:r w:rsidR="000E464F" w:rsidRPr="00DF19A3">
        <w:rPr>
          <w:rFonts w:ascii="Segoe UI" w:hAnsi="Segoe UI" w:cs="Segoe UI"/>
          <w:i/>
          <w:lang w:eastAsia="it-IT"/>
        </w:rPr>
        <w:t>relevant</w:t>
      </w:r>
      <w:r w:rsidR="000E464F" w:rsidRPr="00DF19A3">
        <w:rPr>
          <w:rFonts w:ascii="Segoe UI" w:hAnsi="Segoe UI" w:cs="Segoe UI"/>
          <w:lang w:eastAsia="it-IT"/>
        </w:rPr>
        <w:t>” e “</w:t>
      </w:r>
      <w:r w:rsidR="000E464F" w:rsidRPr="00DF19A3">
        <w:rPr>
          <w:rFonts w:ascii="Segoe UI" w:hAnsi="Segoe UI" w:cs="Segoe UI"/>
          <w:i/>
          <w:lang w:eastAsia="it-IT"/>
        </w:rPr>
        <w:t>material</w:t>
      </w:r>
      <w:r w:rsidR="000E464F" w:rsidRPr="00DF19A3">
        <w:rPr>
          <w:rFonts w:ascii="Segoe UI" w:hAnsi="Segoe UI" w:cs="Segoe UI"/>
          <w:lang w:eastAsia="it-IT"/>
        </w:rPr>
        <w:t>”</w:t>
      </w:r>
      <w:r w:rsidR="000E464F">
        <w:rPr>
          <w:rFonts w:ascii="Segoe UI" w:hAnsi="Segoe UI" w:cs="Segoe UI"/>
          <w:lang w:eastAsia="it-IT"/>
        </w:rPr>
        <w:t xml:space="preserve"> agli “omologhi” italiani</w:t>
      </w:r>
      <w:r w:rsidR="000E464F" w:rsidRPr="00DF19A3">
        <w:rPr>
          <w:rFonts w:ascii="Segoe UI" w:hAnsi="Segoe UI" w:cs="Segoe UI"/>
          <w:lang w:eastAsia="it-IT"/>
        </w:rPr>
        <w:t xml:space="preserve"> </w:t>
      </w:r>
      <w:r w:rsidR="000E464F">
        <w:rPr>
          <w:rFonts w:ascii="Segoe UI" w:hAnsi="Segoe UI" w:cs="Segoe UI"/>
          <w:lang w:eastAsia="it-IT"/>
        </w:rPr>
        <w:t xml:space="preserve">nelle due versioni (inglese e italiana) del provvedimento </w:t>
      </w:r>
      <w:r w:rsidRPr="00DF19A3">
        <w:rPr>
          <w:rFonts w:ascii="Segoe UI" w:hAnsi="Segoe UI" w:cs="Segoe UI"/>
          <w:lang w:eastAsia="it-IT"/>
        </w:rPr>
        <w:t xml:space="preserve">è, proprio per la sua natura, la Comunicazione della Commissione europea del </w:t>
      </w:r>
      <w:r w:rsidR="007619E5">
        <w:rPr>
          <w:rFonts w:ascii="Segoe UI" w:hAnsi="Segoe UI" w:cs="Segoe UI"/>
          <w:lang w:eastAsia="it-IT"/>
        </w:rPr>
        <w:t>5</w:t>
      </w:r>
      <w:r w:rsidRPr="00DF19A3">
        <w:rPr>
          <w:rFonts w:ascii="Segoe UI" w:hAnsi="Segoe UI" w:cs="Segoe UI"/>
          <w:lang w:eastAsia="it-IT"/>
        </w:rPr>
        <w:t xml:space="preserve"> luglio 2017</w:t>
      </w:r>
      <w:r w:rsidR="00A84D53">
        <w:rPr>
          <w:rFonts w:ascii="Segoe UI" w:hAnsi="Segoe UI" w:cs="Segoe UI"/>
          <w:lang w:eastAsia="it-IT"/>
        </w:rPr>
        <w:t xml:space="preserve">, </w:t>
      </w:r>
      <w:r w:rsidRPr="00DF19A3">
        <w:rPr>
          <w:rFonts w:ascii="Segoe UI" w:hAnsi="Segoe UI" w:cs="Segoe UI"/>
          <w:lang w:eastAsia="it-IT"/>
        </w:rPr>
        <w:t>C 215/01, “</w:t>
      </w:r>
      <w:r w:rsidRPr="003E68D4">
        <w:rPr>
          <w:rFonts w:ascii="Segoe UI" w:hAnsi="Segoe UI" w:cs="Segoe UI"/>
          <w:i/>
          <w:lang w:eastAsia="it-IT"/>
        </w:rPr>
        <w:t>Orientamenti sulla comunicazione di informazioni di carattere non finanziario. Metodologia per la comunicazione di informazioni di carattere non finanziario</w:t>
      </w:r>
      <w:r w:rsidRPr="00DF19A3">
        <w:rPr>
          <w:rFonts w:ascii="Segoe UI" w:hAnsi="Segoe UI" w:cs="Segoe UI"/>
          <w:lang w:eastAsia="it-IT"/>
        </w:rPr>
        <w:t>”, Orientamenti “non vincolanti” formulati ai sensi dell’art. 2 della direttiva 2014/95/UE</w:t>
      </w:r>
      <w:r w:rsidR="00B9065C">
        <w:rPr>
          <w:rFonts w:ascii="Segoe UI" w:hAnsi="Segoe UI" w:cs="Segoe UI"/>
          <w:lang w:eastAsia="it-IT"/>
        </w:rPr>
        <w:t xml:space="preserve"> </w:t>
      </w:r>
      <w:r w:rsidR="00B9065C" w:rsidRPr="00B9065C">
        <w:rPr>
          <w:rFonts w:ascii="Segoe UI" w:hAnsi="Segoe UI" w:cs="Segoe UI"/>
          <w:lang w:eastAsia="it-IT"/>
        </w:rPr>
        <w:t xml:space="preserve">(di qui in avanti, </w:t>
      </w:r>
      <w:r w:rsidR="001C6A8A">
        <w:rPr>
          <w:rFonts w:ascii="Segoe UI" w:hAnsi="Segoe UI" w:cs="Segoe UI"/>
          <w:lang w:eastAsia="it-IT"/>
        </w:rPr>
        <w:t xml:space="preserve">gli </w:t>
      </w:r>
      <w:r w:rsidR="00213C0C">
        <w:rPr>
          <w:rFonts w:ascii="Segoe UI" w:hAnsi="Segoe UI" w:cs="Segoe UI"/>
          <w:lang w:eastAsia="it-IT"/>
        </w:rPr>
        <w:t>“</w:t>
      </w:r>
      <w:r w:rsidR="001C6A8A">
        <w:rPr>
          <w:rFonts w:ascii="Segoe UI" w:hAnsi="Segoe UI" w:cs="Segoe UI"/>
          <w:lang w:eastAsia="it-IT"/>
        </w:rPr>
        <w:t xml:space="preserve">Orientamenti metodologici” o </w:t>
      </w:r>
      <w:r w:rsidR="00B9065C" w:rsidRPr="00B9065C">
        <w:rPr>
          <w:rFonts w:ascii="Segoe UI" w:hAnsi="Segoe UI" w:cs="Segoe UI"/>
          <w:lang w:eastAsia="it-IT"/>
        </w:rPr>
        <w:t>anche solo gli “Orientamenti”).</w:t>
      </w:r>
    </w:p>
    <w:p w14:paraId="71F1D6C1" w14:textId="52A83AF3" w:rsidR="000E464F" w:rsidRDefault="0067575B" w:rsidP="0067575B">
      <w:pPr>
        <w:spacing w:before="120" w:after="120" w:line="240" w:lineRule="auto"/>
        <w:jc w:val="both"/>
        <w:rPr>
          <w:rFonts w:ascii="Segoe UI" w:hAnsi="Segoe UI" w:cs="Segoe UI"/>
          <w:lang w:eastAsia="it-IT"/>
        </w:rPr>
      </w:pPr>
      <w:r w:rsidRPr="00DF19A3">
        <w:rPr>
          <w:rFonts w:ascii="Segoe UI" w:hAnsi="Segoe UI" w:cs="Segoe UI"/>
          <w:lang w:eastAsia="it-IT"/>
        </w:rPr>
        <w:t xml:space="preserve">Scopo principale di tale documento è quello di fornire esplicitazioni concettuali e di proporre strumenti di supporto ai fini di una più agevole applicazione della direttiva sulla </w:t>
      </w:r>
      <w:r w:rsidRPr="00DF19A3">
        <w:rPr>
          <w:rFonts w:ascii="Segoe UI" w:hAnsi="Segoe UI" w:cs="Segoe UI"/>
          <w:i/>
          <w:lang w:eastAsia="it-IT"/>
        </w:rPr>
        <w:t>disclosure</w:t>
      </w:r>
      <w:r w:rsidRPr="00DF19A3">
        <w:rPr>
          <w:rFonts w:ascii="Segoe UI" w:hAnsi="Segoe UI" w:cs="Segoe UI"/>
          <w:lang w:eastAsia="it-IT"/>
        </w:rPr>
        <w:t xml:space="preserve"> non finanziaria. Viceversa, </w:t>
      </w:r>
      <w:r w:rsidR="000E464F">
        <w:rPr>
          <w:rFonts w:ascii="Segoe UI" w:hAnsi="Segoe UI" w:cs="Segoe UI"/>
          <w:lang w:eastAsia="it-IT"/>
        </w:rPr>
        <w:t xml:space="preserve">sul piano della coerenza terminologica </w:t>
      </w:r>
      <w:r w:rsidR="003A2AF3">
        <w:rPr>
          <w:rFonts w:ascii="Segoe UI" w:hAnsi="Segoe UI" w:cs="Segoe UI"/>
          <w:lang w:eastAsia="it-IT"/>
        </w:rPr>
        <w:t xml:space="preserve">tra le versioni in lingua inglese e italiana, </w:t>
      </w:r>
      <w:r w:rsidRPr="00DF19A3">
        <w:rPr>
          <w:rFonts w:ascii="Segoe UI" w:hAnsi="Segoe UI" w:cs="Segoe UI"/>
          <w:lang w:eastAsia="it-IT"/>
        </w:rPr>
        <w:t xml:space="preserve">come </w:t>
      </w:r>
      <w:r w:rsidR="003A2AF3">
        <w:rPr>
          <w:rFonts w:ascii="Segoe UI" w:hAnsi="Segoe UI" w:cs="Segoe UI"/>
          <w:lang w:eastAsia="it-IT"/>
        </w:rPr>
        <w:t xml:space="preserve">si vedrà </w:t>
      </w:r>
      <w:r w:rsidRPr="00DF19A3">
        <w:rPr>
          <w:rFonts w:ascii="Segoe UI" w:hAnsi="Segoe UI" w:cs="Segoe UI"/>
          <w:lang w:eastAsia="it-IT"/>
        </w:rPr>
        <w:t>più i</w:t>
      </w:r>
      <w:r w:rsidR="003A2AF3">
        <w:rPr>
          <w:rFonts w:ascii="Segoe UI" w:hAnsi="Segoe UI" w:cs="Segoe UI"/>
          <w:lang w:eastAsia="it-IT"/>
        </w:rPr>
        <w:t>n</w:t>
      </w:r>
      <w:r w:rsidRPr="00DF19A3">
        <w:rPr>
          <w:rFonts w:ascii="Segoe UI" w:hAnsi="Segoe UI" w:cs="Segoe UI"/>
          <w:lang w:eastAsia="it-IT"/>
        </w:rPr>
        <w:t xml:space="preserve"> dettaglio di qui a poco, in luogo di dirimere problematiche che potrebbero sorgere da</w:t>
      </w:r>
      <w:r w:rsidR="003A2AF3">
        <w:rPr>
          <w:rFonts w:ascii="Segoe UI" w:hAnsi="Segoe UI" w:cs="Segoe UI"/>
          <w:lang w:eastAsia="it-IT"/>
        </w:rPr>
        <w:t xml:space="preserve"> un </w:t>
      </w:r>
      <w:r w:rsidRPr="00DF19A3">
        <w:rPr>
          <w:rFonts w:ascii="Segoe UI" w:hAnsi="Segoe UI" w:cs="Segoe UI"/>
          <w:lang w:eastAsia="it-IT"/>
        </w:rPr>
        <w:t>approfondimento metodologico</w:t>
      </w:r>
      <w:r w:rsidR="003A2AF3">
        <w:rPr>
          <w:rFonts w:ascii="Segoe UI" w:hAnsi="Segoe UI" w:cs="Segoe UI"/>
          <w:lang w:eastAsia="it-IT"/>
        </w:rPr>
        <w:t xml:space="preserve"> confrontando tra loro i vari provvedimenti normativi o cercando di leggerli alla luce di indicazioni contenute negli </w:t>
      </w:r>
      <w:r w:rsidR="003A2AF3" w:rsidRPr="00CA24BC">
        <w:rPr>
          <w:rFonts w:ascii="Segoe UI" w:hAnsi="Segoe UI" w:cs="Segoe UI"/>
          <w:i/>
          <w:lang w:eastAsia="it-IT"/>
        </w:rPr>
        <w:t xml:space="preserve">standard </w:t>
      </w:r>
      <w:r w:rsidR="003A2AF3">
        <w:rPr>
          <w:rFonts w:ascii="Segoe UI" w:hAnsi="Segoe UI" w:cs="Segoe UI"/>
          <w:lang w:eastAsia="it-IT"/>
        </w:rPr>
        <w:t xml:space="preserve">di rendicontazione più diffusi, approfondimento metodologico </w:t>
      </w:r>
      <w:r w:rsidRPr="00DF19A3">
        <w:rPr>
          <w:rFonts w:ascii="Segoe UI" w:hAnsi="Segoe UI" w:cs="Segoe UI"/>
          <w:lang w:eastAsia="it-IT"/>
        </w:rPr>
        <w:t xml:space="preserve">rispetto al quale la rotta è già stata tracciata dai Principi contabili internazionali (cui, peraltro, si fa </w:t>
      </w:r>
      <w:r w:rsidR="001C5D70">
        <w:rPr>
          <w:rFonts w:ascii="Segoe UI" w:hAnsi="Segoe UI" w:cs="Segoe UI"/>
          <w:lang w:eastAsia="it-IT"/>
        </w:rPr>
        <w:t xml:space="preserve">esplicito </w:t>
      </w:r>
      <w:r w:rsidRPr="00DF19A3">
        <w:rPr>
          <w:rFonts w:ascii="Segoe UI" w:hAnsi="Segoe UI" w:cs="Segoe UI"/>
          <w:lang w:eastAsia="it-IT"/>
        </w:rPr>
        <w:t>riferimento in questo stesso documento), gli Orientamenti della Commissione lasciano margini più o meno ampi all’interpretazione soggettiva.</w:t>
      </w:r>
      <w:r w:rsidR="003A2AF3">
        <w:rPr>
          <w:rFonts w:ascii="Segoe UI" w:hAnsi="Segoe UI" w:cs="Segoe UI"/>
          <w:lang w:eastAsia="it-IT"/>
        </w:rPr>
        <w:t xml:space="preserve"> </w:t>
      </w:r>
      <w:r w:rsidR="00405042">
        <w:rPr>
          <w:rFonts w:ascii="Segoe UI" w:hAnsi="Segoe UI" w:cs="Segoe UI"/>
          <w:lang w:eastAsia="it-IT"/>
        </w:rPr>
        <w:t>Peraltro, s</w:t>
      </w:r>
      <w:r w:rsidR="003A2AF3">
        <w:rPr>
          <w:rFonts w:ascii="Segoe UI" w:hAnsi="Segoe UI" w:cs="Segoe UI"/>
          <w:lang w:eastAsia="it-IT"/>
        </w:rPr>
        <w:t>i consideri</w:t>
      </w:r>
      <w:r w:rsidR="00FA1760">
        <w:rPr>
          <w:rFonts w:ascii="Segoe UI" w:hAnsi="Segoe UI" w:cs="Segoe UI"/>
          <w:lang w:eastAsia="it-IT"/>
        </w:rPr>
        <w:t xml:space="preserve"> che</w:t>
      </w:r>
      <w:r w:rsidR="006A0051">
        <w:rPr>
          <w:rFonts w:ascii="Segoe UI" w:hAnsi="Segoe UI" w:cs="Segoe UI"/>
          <w:lang w:eastAsia="it-IT"/>
        </w:rPr>
        <w:t>,</w:t>
      </w:r>
      <w:r w:rsidR="00FA1760">
        <w:rPr>
          <w:rFonts w:ascii="Segoe UI" w:hAnsi="Segoe UI" w:cs="Segoe UI"/>
          <w:lang w:eastAsia="it-IT"/>
        </w:rPr>
        <w:t xml:space="preserve"> a ben vedere, tale incertezza rest</w:t>
      </w:r>
      <w:r w:rsidR="006A0051">
        <w:rPr>
          <w:rFonts w:ascii="Segoe UI" w:hAnsi="Segoe UI" w:cs="Segoe UI"/>
          <w:lang w:eastAsia="it-IT"/>
        </w:rPr>
        <w:t>i</w:t>
      </w:r>
      <w:r w:rsidR="00FA1760">
        <w:rPr>
          <w:rFonts w:ascii="Segoe UI" w:hAnsi="Segoe UI" w:cs="Segoe UI"/>
          <w:lang w:eastAsia="it-IT"/>
        </w:rPr>
        <w:t xml:space="preserve"> sostanzialmente </w:t>
      </w:r>
      <w:r w:rsidR="006A0051">
        <w:rPr>
          <w:rFonts w:ascii="Segoe UI" w:hAnsi="Segoe UI" w:cs="Segoe UI"/>
          <w:lang w:eastAsia="it-IT"/>
        </w:rPr>
        <w:t>confinata</w:t>
      </w:r>
      <w:r w:rsidR="00FA1760">
        <w:rPr>
          <w:rFonts w:ascii="Segoe UI" w:hAnsi="Segoe UI" w:cs="Segoe UI"/>
          <w:lang w:eastAsia="it-IT"/>
        </w:rPr>
        <w:t xml:space="preserve"> proprio al</w:t>
      </w:r>
      <w:r w:rsidR="000E464F">
        <w:rPr>
          <w:rFonts w:ascii="Segoe UI" w:hAnsi="Segoe UI" w:cs="Segoe UI"/>
          <w:lang w:eastAsia="it-IT"/>
        </w:rPr>
        <w:t xml:space="preserve"> piano dell</w:t>
      </w:r>
      <w:r w:rsidR="00FA1760">
        <w:rPr>
          <w:rFonts w:ascii="Segoe UI" w:hAnsi="Segoe UI" w:cs="Segoe UI"/>
          <w:lang w:eastAsia="it-IT"/>
        </w:rPr>
        <w:t>’allineamento costante dei lemmi</w:t>
      </w:r>
      <w:r w:rsidR="006A0051">
        <w:rPr>
          <w:rFonts w:ascii="Segoe UI" w:hAnsi="Segoe UI" w:cs="Segoe UI"/>
          <w:lang w:eastAsia="it-IT"/>
        </w:rPr>
        <w:t xml:space="preserve">; </w:t>
      </w:r>
      <w:r w:rsidR="006A0051" w:rsidRPr="00DF19A3">
        <w:rPr>
          <w:rFonts w:ascii="Segoe UI" w:hAnsi="Segoe UI" w:cs="Segoe UI"/>
          <w:lang w:eastAsia="it-IT"/>
        </w:rPr>
        <w:t>paradossalmente, sebbene talvolta sia davvero palese l’infelicità della scelta del</w:t>
      </w:r>
      <w:r w:rsidR="00405042">
        <w:rPr>
          <w:rFonts w:ascii="Segoe UI" w:hAnsi="Segoe UI" w:cs="Segoe UI"/>
          <w:lang w:eastAsia="it-IT"/>
        </w:rPr>
        <w:t xml:space="preserve"> vocabolo</w:t>
      </w:r>
      <w:r w:rsidR="006A0051" w:rsidRPr="00DF19A3">
        <w:rPr>
          <w:rFonts w:ascii="Segoe UI" w:hAnsi="Segoe UI" w:cs="Segoe UI"/>
          <w:lang w:eastAsia="it-IT"/>
        </w:rPr>
        <w:t xml:space="preserve"> italiano, in realtà il contesto e le frasi in cui le parole sono inserite sembrano rendere sovente manifesto il significato che il redattore ha voluto attribuire al concetto: in altri termini, in questi casi, a dispetto dell</w:t>
      </w:r>
      <w:r w:rsidR="00AE61CF">
        <w:rPr>
          <w:rFonts w:ascii="Segoe UI" w:hAnsi="Segoe UI" w:cs="Segoe UI"/>
          <w:lang w:eastAsia="it-IT"/>
        </w:rPr>
        <w:t>a</w:t>
      </w:r>
      <w:r w:rsidR="006A0051" w:rsidRPr="00DF19A3">
        <w:rPr>
          <w:rFonts w:ascii="Segoe UI" w:hAnsi="Segoe UI" w:cs="Segoe UI"/>
          <w:lang w:eastAsia="it-IT"/>
        </w:rPr>
        <w:t xml:space="preserve"> varietà </w:t>
      </w:r>
      <w:r w:rsidR="006A0051">
        <w:rPr>
          <w:rFonts w:ascii="Segoe UI" w:hAnsi="Segoe UI" w:cs="Segoe UI"/>
          <w:lang w:eastAsia="it-IT"/>
        </w:rPr>
        <w:t xml:space="preserve">nelle soluzioni utilizzate, </w:t>
      </w:r>
      <w:r w:rsidR="006A0051" w:rsidRPr="00DF19A3">
        <w:rPr>
          <w:rFonts w:ascii="Segoe UI" w:hAnsi="Segoe UI" w:cs="Segoe UI"/>
          <w:lang w:eastAsia="it-IT"/>
        </w:rPr>
        <w:t>si può rilevare una coerenza di significato riconducibile a un determinato numero di accezioni attribuite dal redattore</w:t>
      </w:r>
      <w:r w:rsidR="006A0051">
        <w:rPr>
          <w:rFonts w:ascii="Segoe UI" w:hAnsi="Segoe UI" w:cs="Segoe UI"/>
          <w:lang w:eastAsia="it-IT"/>
        </w:rPr>
        <w:t xml:space="preserve"> (che dunque facilitano in definitiva l’</w:t>
      </w:r>
      <w:r w:rsidR="000E464F" w:rsidRPr="00DF19A3">
        <w:rPr>
          <w:rFonts w:ascii="Segoe UI" w:hAnsi="Segoe UI" w:cs="Segoe UI"/>
          <w:lang w:eastAsia="it-IT"/>
        </w:rPr>
        <w:t>esegesi interpretativ</w:t>
      </w:r>
      <w:r w:rsidR="006A0051">
        <w:rPr>
          <w:rFonts w:ascii="Segoe UI" w:hAnsi="Segoe UI" w:cs="Segoe UI"/>
          <w:lang w:eastAsia="it-IT"/>
        </w:rPr>
        <w:t>a).</w:t>
      </w:r>
    </w:p>
    <w:p w14:paraId="359E855D" w14:textId="1A3E651A" w:rsidR="00C01F23" w:rsidRPr="00C01F23" w:rsidRDefault="0067575B" w:rsidP="00C01F23">
      <w:pPr>
        <w:spacing w:before="120" w:after="120" w:line="240" w:lineRule="auto"/>
        <w:jc w:val="both"/>
        <w:rPr>
          <w:rFonts w:ascii="Segoe UI" w:hAnsi="Segoe UI" w:cs="Segoe UI"/>
          <w:lang w:eastAsia="it-IT"/>
        </w:rPr>
      </w:pPr>
      <w:r w:rsidRPr="00DF19A3">
        <w:rPr>
          <w:rFonts w:ascii="Segoe UI" w:hAnsi="Segoe UI" w:cs="Segoe UI"/>
          <w:lang w:eastAsia="it-IT"/>
        </w:rPr>
        <w:t xml:space="preserve">Per rigore espositivo, tuttavia, in questo paragrafo, come per i provvedimenti normativi vincolanti già illustrati, si forniscono soltanto esempi di traduzioni differenti dei due termini, rinviando ai successivi paragrafi </w:t>
      </w:r>
      <w:r w:rsidR="006A0051">
        <w:rPr>
          <w:rFonts w:ascii="Segoe UI" w:hAnsi="Segoe UI" w:cs="Segoe UI"/>
          <w:lang w:eastAsia="it-IT"/>
        </w:rPr>
        <w:t>alcu</w:t>
      </w:r>
      <w:r w:rsidR="00B60AC4">
        <w:rPr>
          <w:rFonts w:ascii="Segoe UI" w:hAnsi="Segoe UI" w:cs="Segoe UI"/>
          <w:lang w:eastAsia="it-IT"/>
        </w:rPr>
        <w:t xml:space="preserve">ni </w:t>
      </w:r>
      <w:r w:rsidRPr="00DF19A3">
        <w:rPr>
          <w:rFonts w:ascii="Segoe UI" w:hAnsi="Segoe UI" w:cs="Segoe UI"/>
          <w:lang w:eastAsia="it-IT"/>
        </w:rPr>
        <w:t>ragionament</w:t>
      </w:r>
      <w:r w:rsidR="00B60AC4">
        <w:rPr>
          <w:rFonts w:ascii="Segoe UI" w:hAnsi="Segoe UI" w:cs="Segoe UI"/>
          <w:lang w:eastAsia="it-IT"/>
        </w:rPr>
        <w:t>i</w:t>
      </w:r>
      <w:r w:rsidRPr="00DF19A3">
        <w:rPr>
          <w:rFonts w:ascii="Segoe UI" w:hAnsi="Segoe UI" w:cs="Segoe UI"/>
          <w:lang w:eastAsia="it-IT"/>
        </w:rPr>
        <w:t xml:space="preserve"> sull</w:t>
      </w:r>
      <w:r w:rsidR="00B60AC4">
        <w:rPr>
          <w:rFonts w:ascii="Segoe UI" w:hAnsi="Segoe UI" w:cs="Segoe UI"/>
          <w:lang w:eastAsia="it-IT"/>
        </w:rPr>
        <w:t xml:space="preserve">e potenziali </w:t>
      </w:r>
      <w:r w:rsidRPr="00DF19A3">
        <w:rPr>
          <w:rFonts w:ascii="Segoe UI" w:hAnsi="Segoe UI" w:cs="Segoe UI"/>
          <w:lang w:eastAsia="it-IT"/>
        </w:rPr>
        <w:t>ambiguità che i contenuti</w:t>
      </w:r>
      <w:r w:rsidR="00B60AC4">
        <w:rPr>
          <w:rFonts w:ascii="Segoe UI" w:hAnsi="Segoe UI" w:cs="Segoe UI"/>
          <w:lang w:eastAsia="it-IT"/>
        </w:rPr>
        <w:t xml:space="preserve"> degli Orientamenti metodologici</w:t>
      </w:r>
      <w:r w:rsidRPr="00DF19A3">
        <w:rPr>
          <w:rFonts w:ascii="Segoe UI" w:hAnsi="Segoe UI" w:cs="Segoe UI"/>
          <w:lang w:eastAsia="it-IT"/>
        </w:rPr>
        <w:t xml:space="preserve"> assumono nel momento in cui li si po</w:t>
      </w:r>
      <w:r w:rsidR="00B60AC4">
        <w:rPr>
          <w:rFonts w:ascii="Segoe UI" w:hAnsi="Segoe UI" w:cs="Segoe UI"/>
          <w:lang w:eastAsia="it-IT"/>
        </w:rPr>
        <w:t>nga</w:t>
      </w:r>
      <w:r w:rsidRPr="00DF19A3">
        <w:rPr>
          <w:rFonts w:ascii="Segoe UI" w:hAnsi="Segoe UI" w:cs="Segoe UI"/>
          <w:lang w:eastAsia="it-IT"/>
        </w:rPr>
        <w:t xml:space="preserve"> in rapporto alle disposizioni in materia come recepite dal d.lgs. n. 25</w:t>
      </w:r>
      <w:r w:rsidR="005A546B">
        <w:rPr>
          <w:rFonts w:ascii="Segoe UI" w:hAnsi="Segoe UI" w:cs="Segoe UI"/>
          <w:lang w:eastAsia="it-IT"/>
        </w:rPr>
        <w:t>4</w:t>
      </w:r>
      <w:r w:rsidRPr="00DF19A3">
        <w:rPr>
          <w:rFonts w:ascii="Segoe UI" w:hAnsi="Segoe UI" w:cs="Segoe UI"/>
          <w:lang w:eastAsia="it-IT"/>
        </w:rPr>
        <w:t>/2016 nell’ordin</w:t>
      </w:r>
      <w:r w:rsidR="008E4785" w:rsidRPr="00DF19A3">
        <w:rPr>
          <w:rFonts w:ascii="Segoe UI" w:hAnsi="Segoe UI" w:cs="Segoe UI"/>
          <w:lang w:eastAsia="it-IT"/>
        </w:rPr>
        <w:t>a</w:t>
      </w:r>
      <w:r w:rsidRPr="00DF19A3">
        <w:rPr>
          <w:rFonts w:ascii="Segoe UI" w:hAnsi="Segoe UI" w:cs="Segoe UI"/>
          <w:lang w:eastAsia="it-IT"/>
        </w:rPr>
        <w:t>m</w:t>
      </w:r>
      <w:r w:rsidR="008B0D4F">
        <w:rPr>
          <w:rFonts w:ascii="Segoe UI" w:hAnsi="Segoe UI" w:cs="Segoe UI"/>
          <w:lang w:eastAsia="it-IT"/>
        </w:rPr>
        <w:t>e</w:t>
      </w:r>
      <w:r w:rsidRPr="00DF19A3">
        <w:rPr>
          <w:rFonts w:ascii="Segoe UI" w:hAnsi="Segoe UI" w:cs="Segoe UI"/>
          <w:lang w:eastAsia="it-IT"/>
        </w:rPr>
        <w:t>nto nazionale</w:t>
      </w:r>
      <w:r w:rsidR="00860A81">
        <w:rPr>
          <w:rFonts w:ascii="Segoe UI" w:hAnsi="Segoe UI" w:cs="Segoe UI"/>
          <w:lang w:eastAsia="it-IT"/>
        </w:rPr>
        <w:t xml:space="preserve"> o ai contenuti dei documenti a corredo delle disposizioni regolamentari emanate in gennaio dalla Consob</w:t>
      </w:r>
      <w:r w:rsidR="00C01F23">
        <w:rPr>
          <w:rFonts w:ascii="Segoe UI" w:hAnsi="Segoe UI" w:cs="Segoe UI"/>
          <w:lang w:eastAsia="it-IT"/>
        </w:rPr>
        <w:t xml:space="preserve"> ai fini dell’</w:t>
      </w:r>
      <w:r w:rsidR="00C01F23" w:rsidRPr="00C01F23">
        <w:rPr>
          <w:rFonts w:ascii="Segoe UI" w:hAnsi="Segoe UI" w:cs="Segoe UI"/>
          <w:lang w:eastAsia="it-IT"/>
        </w:rPr>
        <w:t xml:space="preserve">attuazione </w:t>
      </w:r>
      <w:r w:rsidR="00C01F23">
        <w:rPr>
          <w:rFonts w:ascii="Segoe UI" w:hAnsi="Segoe UI" w:cs="Segoe UI"/>
          <w:lang w:eastAsia="it-IT"/>
        </w:rPr>
        <w:t>d</w:t>
      </w:r>
      <w:r w:rsidR="00F970FF">
        <w:rPr>
          <w:rFonts w:ascii="Segoe UI" w:hAnsi="Segoe UI" w:cs="Segoe UI"/>
          <w:lang w:eastAsia="it-IT"/>
        </w:rPr>
        <w:t xml:space="preserve">i questo stesso </w:t>
      </w:r>
      <w:r w:rsidR="00C01F23" w:rsidRPr="00C01F23">
        <w:rPr>
          <w:rFonts w:ascii="Segoe UI" w:hAnsi="Segoe UI" w:cs="Segoe UI"/>
          <w:lang w:eastAsia="it-IT"/>
        </w:rPr>
        <w:t>d</w:t>
      </w:r>
      <w:r w:rsidR="00C01F23">
        <w:rPr>
          <w:rFonts w:ascii="Segoe UI" w:hAnsi="Segoe UI" w:cs="Segoe UI"/>
          <w:lang w:eastAsia="it-IT"/>
        </w:rPr>
        <w:t>ecret</w:t>
      </w:r>
      <w:r w:rsidR="00F970FF">
        <w:rPr>
          <w:rFonts w:ascii="Segoe UI" w:hAnsi="Segoe UI" w:cs="Segoe UI"/>
          <w:lang w:eastAsia="it-IT"/>
        </w:rPr>
        <w:t>o</w:t>
      </w:r>
      <w:r w:rsidR="00C01F23" w:rsidRPr="00C01F23">
        <w:rPr>
          <w:rFonts w:ascii="Segoe UI" w:hAnsi="Segoe UI" w:cs="Segoe UI"/>
          <w:lang w:eastAsia="it-IT"/>
        </w:rPr>
        <w:t>.</w:t>
      </w:r>
    </w:p>
    <w:p w14:paraId="67AA52A7" w14:textId="77777777" w:rsidR="0067575B" w:rsidRDefault="0067575B" w:rsidP="0067575B">
      <w:pPr>
        <w:spacing w:before="120" w:after="120" w:line="240" w:lineRule="auto"/>
        <w:jc w:val="both"/>
        <w:rPr>
          <w:rFonts w:ascii="Segoe UI" w:hAnsi="Segoe UI" w:cs="Segoe UI"/>
          <w:lang w:eastAsia="it-IT"/>
        </w:rPr>
      </w:pPr>
    </w:p>
    <w:p w14:paraId="73F82344" w14:textId="77777777" w:rsidR="006F102B" w:rsidRPr="00DF19A3" w:rsidRDefault="006F102B" w:rsidP="0067575B">
      <w:pPr>
        <w:spacing w:before="120" w:after="120" w:line="240" w:lineRule="auto"/>
        <w:jc w:val="both"/>
        <w:rPr>
          <w:rFonts w:ascii="Segoe UI" w:hAnsi="Segoe UI" w:cs="Segoe UI"/>
          <w:lang w:eastAsia="it-IT"/>
        </w:rPr>
      </w:pPr>
    </w:p>
    <w:p w14:paraId="0C31B154" w14:textId="4D2B5613" w:rsidR="0067575B" w:rsidRPr="00DF19A3" w:rsidRDefault="0067575B" w:rsidP="008E4785">
      <w:pPr>
        <w:keepNext/>
        <w:keepLines/>
        <w:tabs>
          <w:tab w:val="left" w:pos="284"/>
        </w:tabs>
        <w:autoSpaceDE w:val="0"/>
        <w:autoSpaceDN w:val="0"/>
        <w:adjustRightInd w:val="0"/>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A.</w:t>
      </w:r>
      <w:r w:rsidRPr="00DF19A3">
        <w:rPr>
          <w:rFonts w:ascii="Segoe UI" w:hAnsi="Segoe UI" w:cs="Segoe UI"/>
          <w:color w:val="000000"/>
          <w:lang w:eastAsia="it-IT"/>
        </w:rPr>
        <w:tab/>
      </w:r>
      <w:r w:rsidRPr="00F96E8A">
        <w:rPr>
          <w:rFonts w:ascii="Segoe UI" w:hAnsi="Segoe UI" w:cs="Segoe UI"/>
          <w:i/>
          <w:color w:val="000000"/>
          <w:lang w:eastAsia="it-IT"/>
        </w:rPr>
        <w:t>Relevant</w:t>
      </w:r>
    </w:p>
    <w:p w14:paraId="696CA321" w14:textId="77777777" w:rsidR="0067575B" w:rsidRPr="00DF19A3" w:rsidRDefault="0067575B" w:rsidP="008E4785">
      <w:pPr>
        <w:keepNext/>
        <w:keepLines/>
        <w:spacing w:before="120" w:after="120" w:line="240" w:lineRule="auto"/>
        <w:jc w:val="both"/>
        <w:rPr>
          <w:rFonts w:ascii="Segoe UI" w:hAnsi="Segoe UI" w:cs="Segoe UI"/>
          <w:color w:val="000000"/>
          <w:lang w:eastAsia="it-IT"/>
        </w:rPr>
      </w:pPr>
    </w:p>
    <w:p w14:paraId="07BB0B00" w14:textId="7A85A9A3" w:rsidR="0067575B" w:rsidRPr="00DF19A3" w:rsidRDefault="00FE3D6F" w:rsidP="0067575B">
      <w:pPr>
        <w:spacing w:before="120" w:after="120" w:line="240" w:lineRule="auto"/>
        <w:jc w:val="both"/>
        <w:rPr>
          <w:rFonts w:ascii="Segoe UI" w:hAnsi="Segoe UI" w:cs="Segoe UI"/>
          <w:lang w:eastAsia="it-IT"/>
        </w:rPr>
      </w:pPr>
      <w:r>
        <w:rPr>
          <w:rFonts w:ascii="Segoe UI" w:hAnsi="Segoe UI" w:cs="Segoe UI"/>
          <w:lang w:eastAsia="it-IT"/>
        </w:rPr>
        <w:t>Ne</w:t>
      </w:r>
      <w:r w:rsidR="00647A3B">
        <w:rPr>
          <w:rFonts w:ascii="Segoe UI" w:hAnsi="Segoe UI" w:cs="Segoe UI"/>
          <w:lang w:eastAsia="it-IT"/>
        </w:rPr>
        <w:t>lla versione italiana de</w:t>
      </w:r>
      <w:r>
        <w:rPr>
          <w:rFonts w:ascii="Segoe UI" w:hAnsi="Segoe UI" w:cs="Segoe UI"/>
          <w:lang w:eastAsia="it-IT"/>
        </w:rPr>
        <w:t xml:space="preserve">gli Orientamenti metodologici </w:t>
      </w:r>
      <w:r w:rsidR="00647A3B">
        <w:rPr>
          <w:rFonts w:ascii="Segoe UI" w:hAnsi="Segoe UI" w:cs="Segoe UI"/>
          <w:lang w:eastAsia="it-IT"/>
        </w:rPr>
        <w:t xml:space="preserve">della Commissione </w:t>
      </w:r>
      <w:r w:rsidR="007E6B46">
        <w:rPr>
          <w:rFonts w:ascii="Segoe UI" w:hAnsi="Segoe UI" w:cs="Segoe UI"/>
          <w:lang w:eastAsia="it-IT"/>
        </w:rPr>
        <w:t>a</w:t>
      </w:r>
      <w:r>
        <w:rPr>
          <w:rFonts w:ascii="Segoe UI" w:hAnsi="Segoe UI" w:cs="Segoe UI"/>
          <w:lang w:eastAsia="it-IT"/>
        </w:rPr>
        <w:t>l</w:t>
      </w:r>
      <w:r w:rsidR="0067575B" w:rsidRPr="00DF19A3">
        <w:rPr>
          <w:rFonts w:ascii="Segoe UI" w:hAnsi="Segoe UI" w:cs="Segoe UI"/>
          <w:lang w:eastAsia="it-IT"/>
        </w:rPr>
        <w:t xml:space="preserve"> termine “</w:t>
      </w:r>
      <w:r w:rsidR="0067575B" w:rsidRPr="00DF19A3">
        <w:rPr>
          <w:rFonts w:ascii="Segoe UI" w:hAnsi="Segoe UI" w:cs="Segoe UI"/>
          <w:i/>
          <w:lang w:eastAsia="it-IT"/>
        </w:rPr>
        <w:t>relevant</w:t>
      </w:r>
      <w:r w:rsidR="0067575B" w:rsidRPr="00DF19A3">
        <w:rPr>
          <w:rFonts w:ascii="Segoe UI" w:hAnsi="Segoe UI" w:cs="Segoe UI"/>
          <w:lang w:eastAsia="it-IT"/>
        </w:rPr>
        <w:t xml:space="preserve">” </w:t>
      </w:r>
      <w:r w:rsidR="007E6B46">
        <w:rPr>
          <w:rFonts w:ascii="Segoe UI" w:hAnsi="Segoe UI" w:cs="Segoe UI"/>
          <w:lang w:eastAsia="it-IT"/>
        </w:rPr>
        <w:t>corrisponde più di un termine</w:t>
      </w:r>
      <w:r>
        <w:rPr>
          <w:rFonts w:ascii="Segoe UI" w:hAnsi="Segoe UI" w:cs="Segoe UI"/>
          <w:lang w:eastAsia="it-IT"/>
        </w:rPr>
        <w:t>.</w:t>
      </w:r>
    </w:p>
    <w:p w14:paraId="2DA1A298" w14:textId="77777777" w:rsidR="0067575B" w:rsidRPr="00DF19A3" w:rsidRDefault="0067575B" w:rsidP="0067575B">
      <w:pPr>
        <w:spacing w:before="120" w:after="120" w:line="240" w:lineRule="auto"/>
        <w:jc w:val="both"/>
        <w:rPr>
          <w:rFonts w:ascii="Segoe UI" w:hAnsi="Segoe UI" w:cs="Segoe UI"/>
          <w:lang w:eastAsia="it-IT"/>
        </w:rPr>
      </w:pPr>
    </w:p>
    <w:p w14:paraId="2CE75F69" w14:textId="77777777" w:rsidR="0067575B" w:rsidRPr="00DF19A3" w:rsidRDefault="0067575B" w:rsidP="0067575B">
      <w:pPr>
        <w:keepNext/>
        <w:keepLines/>
        <w:spacing w:before="120" w:after="120" w:line="240" w:lineRule="auto"/>
        <w:jc w:val="both"/>
        <w:rPr>
          <w:rFonts w:ascii="Segoe UI" w:hAnsi="Segoe UI" w:cs="Segoe UI"/>
          <w:lang w:eastAsia="it-IT"/>
        </w:rPr>
      </w:pPr>
      <w:r w:rsidRPr="00DF19A3">
        <w:rPr>
          <w:rFonts w:ascii="Segoe UI" w:hAnsi="Segoe UI" w:cs="Segoe UI"/>
          <w:lang w:eastAsia="it-IT"/>
        </w:rPr>
        <w:t>Traduzione opzione 1 / Accezione: opzione ambigua</w:t>
      </w:r>
    </w:p>
    <w:p w14:paraId="43440FD8" w14:textId="77777777" w:rsidR="0067575B" w:rsidRPr="00DF19A3" w:rsidRDefault="0067575B" w:rsidP="0067575B">
      <w:pPr>
        <w:keepNext/>
        <w:keepLines/>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Nell’introduzione al documento, al paragrafo 1, si legge:</w:t>
      </w:r>
    </w:p>
    <w:p w14:paraId="25209D00" w14:textId="77777777" w:rsidR="0067575B" w:rsidRPr="007F5442" w:rsidRDefault="0067575B" w:rsidP="007F5442">
      <w:pPr>
        <w:keepNext/>
        <w:keepLines/>
        <w:spacing w:before="120" w:after="120" w:line="240" w:lineRule="auto"/>
        <w:ind w:left="284" w:right="284"/>
        <w:jc w:val="both"/>
        <w:rPr>
          <w:rFonts w:ascii="Segoe UI" w:hAnsi="Segoe UI" w:cs="Segoe UI"/>
          <w:color w:val="525252" w:themeColor="accent3" w:themeShade="80"/>
          <w:sz w:val="20"/>
          <w:szCs w:val="20"/>
          <w:lang w:val="en-US" w:eastAsia="it-IT"/>
        </w:rPr>
      </w:pPr>
      <w:r w:rsidRPr="007F5442">
        <w:rPr>
          <w:rFonts w:ascii="Segoe UI" w:hAnsi="Segoe UI" w:cs="Segoe UI"/>
          <w:color w:val="525252" w:themeColor="accent3" w:themeShade="80"/>
          <w:sz w:val="20"/>
          <w:szCs w:val="20"/>
          <w:lang w:val="en-US" w:eastAsia="it-IT"/>
        </w:rPr>
        <w:t>“1. Introduction</w:t>
      </w:r>
    </w:p>
    <w:p w14:paraId="6F33C012" w14:textId="67FF4956" w:rsidR="0067575B" w:rsidRPr="007F5442" w:rsidRDefault="0067575B" w:rsidP="007F5442">
      <w:pPr>
        <w:spacing w:before="120" w:after="120" w:line="240" w:lineRule="auto"/>
        <w:ind w:left="284" w:right="284"/>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val="en-US" w:eastAsia="it-IT"/>
        </w:rPr>
        <w:t>[...] Companies are required to disclose relevant, useful information that is necessary to understand their development, performance, position and the impact of their activity, rather than an exhaustive, detailed report</w:t>
      </w:r>
      <w:r w:rsidR="0043558D">
        <w:rPr>
          <w:rFonts w:ascii="Segoe UI" w:hAnsi="Segoe UI" w:cs="Segoe UI"/>
          <w:color w:val="525252" w:themeColor="accent3" w:themeShade="80"/>
          <w:sz w:val="20"/>
          <w:szCs w:val="20"/>
          <w:lang w:val="en-US" w:eastAsia="it-IT"/>
        </w:rPr>
        <w:t>.</w:t>
      </w:r>
      <w:r w:rsidRPr="007F5442">
        <w:rPr>
          <w:rFonts w:ascii="Segoe UI" w:hAnsi="Segoe UI" w:cs="Segoe UI"/>
          <w:color w:val="525252" w:themeColor="accent3" w:themeShade="80"/>
          <w:sz w:val="20"/>
          <w:szCs w:val="20"/>
          <w:lang w:val="en-US" w:eastAsia="it-IT"/>
        </w:rPr>
        <w:t xml:space="preserve"> </w:t>
      </w:r>
      <w:r w:rsidRPr="007F5442">
        <w:rPr>
          <w:rFonts w:ascii="Segoe UI" w:hAnsi="Segoe UI" w:cs="Segoe UI"/>
          <w:color w:val="525252" w:themeColor="accent3" w:themeShade="80"/>
          <w:sz w:val="20"/>
          <w:szCs w:val="20"/>
          <w:lang w:eastAsia="it-IT"/>
        </w:rPr>
        <w:t>[...]”.</w:t>
      </w:r>
    </w:p>
    <w:p w14:paraId="2F5C5FC9" w14:textId="77777777" w:rsidR="0067575B" w:rsidRPr="00DF19A3" w:rsidRDefault="0067575B" w:rsidP="0067575B">
      <w:pPr>
        <w:keepNext/>
        <w:keepLines/>
        <w:spacing w:before="120" w:after="120" w:line="240" w:lineRule="auto"/>
        <w:jc w:val="both"/>
        <w:rPr>
          <w:rFonts w:ascii="Segoe UI" w:hAnsi="Segoe UI" w:cs="Segoe UI"/>
          <w:lang w:eastAsia="it-IT"/>
        </w:rPr>
      </w:pPr>
      <w:r w:rsidRPr="00DF19A3">
        <w:rPr>
          <w:rFonts w:ascii="Segoe UI" w:hAnsi="Segoe UI" w:cs="Segoe UI"/>
        </w:rPr>
        <w:t>Nella versione in italiano tale proposizione è tradotta come segue:</w:t>
      </w:r>
    </w:p>
    <w:p w14:paraId="05D37592" w14:textId="77777777" w:rsidR="0067575B" w:rsidRPr="007F5442" w:rsidRDefault="0067575B" w:rsidP="007F5442">
      <w:pPr>
        <w:keepNext/>
        <w:keepLines/>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“1. Introduzione</w:t>
      </w:r>
    </w:p>
    <w:p w14:paraId="1C520376" w14:textId="41E65EDA" w:rsidR="0067575B" w:rsidRPr="007F5442" w:rsidRDefault="0067575B" w:rsidP="007F5442">
      <w:pPr>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 Piuttosto che presentare una relazione esaustiva e dettagliata, le imprese sono tenute a comunicare informazioni utili e pertinenti, necessarie per comprendere l’andamento delle stesse, i loro risultati, la loro posizione, nonché l’impatto della loro attività</w:t>
      </w:r>
      <w:r w:rsidR="0043558D">
        <w:rPr>
          <w:rFonts w:ascii="Segoe UI" w:hAnsi="Segoe UI" w:cs="Segoe UI"/>
          <w:color w:val="525252" w:themeColor="accent3" w:themeShade="80"/>
          <w:sz w:val="20"/>
          <w:szCs w:val="20"/>
          <w:lang w:eastAsia="it-IT"/>
        </w:rPr>
        <w:t>.</w:t>
      </w:r>
      <w:r w:rsidRPr="007F5442">
        <w:rPr>
          <w:rFonts w:ascii="Segoe UI" w:hAnsi="Segoe UI" w:cs="Segoe UI"/>
          <w:color w:val="525252" w:themeColor="accent3" w:themeShade="80"/>
          <w:sz w:val="20"/>
          <w:szCs w:val="20"/>
          <w:lang w:eastAsia="it-IT"/>
        </w:rPr>
        <w:t xml:space="preserve"> [...]”.</w:t>
      </w:r>
    </w:p>
    <w:p w14:paraId="115B79CC" w14:textId="2E7A427D" w:rsidR="0067575B" w:rsidRPr="00DF19A3" w:rsidRDefault="0067575B" w:rsidP="0067575B">
      <w:pPr>
        <w:keepNext/>
        <w:keepLines/>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 xml:space="preserve">Un secondo esempio conferma l’accezione </w:t>
      </w:r>
      <w:r w:rsidR="009D4EBB">
        <w:rPr>
          <w:rFonts w:ascii="Segoe UI" w:hAnsi="Segoe UI" w:cs="Segoe UI"/>
          <w:color w:val="000000"/>
          <w:lang w:eastAsia="it-IT"/>
        </w:rPr>
        <w:t>e</w:t>
      </w:r>
      <w:r w:rsidR="00405042">
        <w:rPr>
          <w:rFonts w:ascii="Segoe UI" w:hAnsi="Segoe UI" w:cs="Segoe UI"/>
          <w:color w:val="000000"/>
          <w:lang w:eastAsia="it-IT"/>
        </w:rPr>
        <w:t xml:space="preserve"> </w:t>
      </w:r>
      <w:r w:rsidR="00AE61CF">
        <w:rPr>
          <w:rFonts w:ascii="Segoe UI" w:hAnsi="Segoe UI" w:cs="Segoe UI"/>
          <w:color w:val="000000"/>
          <w:lang w:eastAsia="it-IT"/>
        </w:rPr>
        <w:t xml:space="preserve">manifesta </w:t>
      </w:r>
      <w:r w:rsidR="00E865A3">
        <w:rPr>
          <w:rFonts w:ascii="Segoe UI" w:hAnsi="Segoe UI" w:cs="Segoe UI"/>
          <w:color w:val="000000"/>
          <w:lang w:eastAsia="it-IT"/>
        </w:rPr>
        <w:t>altresì</w:t>
      </w:r>
      <w:r w:rsidR="00E865A3" w:rsidRPr="00DF19A3">
        <w:rPr>
          <w:rFonts w:ascii="Segoe UI" w:hAnsi="Segoe UI" w:cs="Segoe UI"/>
          <w:color w:val="000000"/>
          <w:lang w:eastAsia="it-IT"/>
        </w:rPr>
        <w:t xml:space="preserve"> </w:t>
      </w:r>
      <w:r w:rsidRPr="00DF19A3">
        <w:rPr>
          <w:rFonts w:ascii="Segoe UI" w:hAnsi="Segoe UI" w:cs="Segoe UI"/>
          <w:color w:val="000000"/>
          <w:lang w:eastAsia="it-IT"/>
        </w:rPr>
        <w:t>un’intenzione del redattore:</w:t>
      </w:r>
    </w:p>
    <w:p w14:paraId="7D5C35DC" w14:textId="77777777" w:rsidR="0067575B" w:rsidRPr="00B9065C" w:rsidRDefault="0067575B" w:rsidP="007F5442">
      <w:pPr>
        <w:keepNext/>
        <w:keepLines/>
        <w:spacing w:before="120" w:after="120" w:line="240" w:lineRule="auto"/>
        <w:ind w:left="284" w:right="282"/>
        <w:jc w:val="both"/>
        <w:rPr>
          <w:rFonts w:ascii="Segoe UI" w:hAnsi="Segoe UI" w:cs="Segoe UI"/>
          <w:color w:val="525252" w:themeColor="accent3" w:themeShade="80"/>
          <w:sz w:val="20"/>
          <w:szCs w:val="20"/>
          <w:lang w:val="en-US" w:eastAsia="it-IT"/>
        </w:rPr>
      </w:pPr>
      <w:r w:rsidRPr="00B9065C">
        <w:rPr>
          <w:rFonts w:ascii="Segoe UI" w:hAnsi="Segoe UI" w:cs="Segoe UI"/>
          <w:color w:val="525252" w:themeColor="accent3" w:themeShade="80"/>
          <w:sz w:val="20"/>
          <w:szCs w:val="20"/>
          <w:lang w:val="en-US" w:eastAsia="it-IT"/>
        </w:rPr>
        <w:t>“2 Purpose</w:t>
      </w:r>
    </w:p>
    <w:p w14:paraId="558B4650" w14:textId="77777777" w:rsidR="0067575B" w:rsidRPr="007F5442" w:rsidRDefault="0067575B" w:rsidP="007F5442">
      <w:pPr>
        <w:spacing w:before="120" w:after="120" w:line="240" w:lineRule="auto"/>
        <w:ind w:left="284" w:right="282"/>
        <w:jc w:val="both"/>
        <w:rPr>
          <w:rFonts w:ascii="Segoe UI" w:hAnsi="Segoe UI" w:cs="Segoe UI"/>
          <w:color w:val="525252" w:themeColor="accent3" w:themeShade="80"/>
          <w:sz w:val="20"/>
          <w:szCs w:val="20"/>
          <w:lang w:eastAsia="it-IT"/>
        </w:rPr>
      </w:pPr>
      <w:r w:rsidRPr="00B9065C">
        <w:rPr>
          <w:rFonts w:ascii="Segoe UI" w:hAnsi="Segoe UI" w:cs="Segoe UI"/>
          <w:color w:val="525252" w:themeColor="accent3" w:themeShade="80"/>
          <w:sz w:val="20"/>
          <w:szCs w:val="20"/>
          <w:lang w:val="en-US" w:eastAsia="it-IT"/>
        </w:rPr>
        <w:t xml:space="preserve">The aim of these guidelines is to help companies disclose high quality, relevant, useful, consistent and more comparable non-financial (environmental, social and governance-related) information in a way that fosters resilient and sustainable growth and employment, and provides transparency to stakeholders. </w:t>
      </w:r>
      <w:r w:rsidRPr="007F5442">
        <w:rPr>
          <w:rFonts w:ascii="Segoe UI" w:hAnsi="Segoe UI" w:cs="Segoe UI"/>
          <w:color w:val="525252" w:themeColor="accent3" w:themeShade="80"/>
          <w:sz w:val="20"/>
          <w:szCs w:val="20"/>
          <w:lang w:eastAsia="it-IT"/>
        </w:rPr>
        <w:t>[...]”.</w:t>
      </w:r>
    </w:p>
    <w:p w14:paraId="5B153B9C" w14:textId="77777777" w:rsidR="0067575B" w:rsidRPr="00DF19A3" w:rsidRDefault="0067575B" w:rsidP="0067575B">
      <w:pPr>
        <w:keepNext/>
        <w:keepLines/>
        <w:spacing w:before="120" w:after="120" w:line="240" w:lineRule="auto"/>
        <w:jc w:val="both"/>
        <w:rPr>
          <w:rFonts w:ascii="Segoe UI" w:hAnsi="Segoe UI" w:cs="Segoe UI"/>
          <w:lang w:eastAsia="it-IT"/>
        </w:rPr>
      </w:pPr>
      <w:r w:rsidRPr="00DF19A3">
        <w:rPr>
          <w:rFonts w:ascii="Segoe UI" w:hAnsi="Segoe UI" w:cs="Segoe UI"/>
        </w:rPr>
        <w:t>Nella versione in italiano tale proposizione è tradotta come segue:</w:t>
      </w:r>
    </w:p>
    <w:p w14:paraId="589CB3A0" w14:textId="77777777" w:rsidR="0067575B" w:rsidRPr="007F5442" w:rsidRDefault="0067575B" w:rsidP="007F5442">
      <w:pPr>
        <w:keepNext/>
        <w:keepLines/>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“2 Scopo</w:t>
      </w:r>
    </w:p>
    <w:p w14:paraId="0EA3E6CE" w14:textId="77777777" w:rsidR="0067575B" w:rsidRPr="007F5442" w:rsidRDefault="0067575B" w:rsidP="007F5442">
      <w:pPr>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I presenti orientamenti intendono aiutare le imprese a comunicare informazioni di carattere non finanziario (relative ad aspetti ambientali, sociali e di governance) di qualità, pertinenti, utili, coerenti e più comparabili in modo tale da favorire una crescita e un’occupazione sostenibili e resilienti e da offrire trasparenza alle parti interessate. [...]”.</w:t>
      </w:r>
    </w:p>
    <w:p w14:paraId="0DE22E89" w14:textId="0E51AD55" w:rsidR="0067575B" w:rsidRPr="00DF19A3" w:rsidRDefault="0067575B" w:rsidP="0067575B">
      <w:pPr>
        <w:pStyle w:val="Default"/>
        <w:jc w:val="both"/>
        <w:rPr>
          <w:rFonts w:ascii="Segoe UI" w:hAnsi="Segoe UI" w:cs="Segoe UI"/>
          <w:sz w:val="22"/>
          <w:szCs w:val="22"/>
        </w:rPr>
      </w:pPr>
      <w:r w:rsidRPr="00DF19A3">
        <w:rPr>
          <w:rFonts w:ascii="Segoe UI" w:hAnsi="Segoe UI" w:cs="Segoe UI"/>
          <w:sz w:val="22"/>
          <w:szCs w:val="22"/>
          <w:lang w:eastAsia="it-IT"/>
        </w:rPr>
        <w:t xml:space="preserve">Conclusione: </w:t>
      </w:r>
      <w:r w:rsidRPr="00DF19A3">
        <w:rPr>
          <w:rFonts w:ascii="Segoe UI" w:hAnsi="Segoe UI" w:cs="Segoe UI"/>
          <w:sz w:val="22"/>
          <w:szCs w:val="22"/>
        </w:rPr>
        <w:t xml:space="preserve">in questo caso </w:t>
      </w:r>
      <w:r w:rsidR="00E865A3">
        <w:rPr>
          <w:rFonts w:ascii="Segoe UI" w:hAnsi="Segoe UI" w:cs="Segoe UI"/>
          <w:sz w:val="22"/>
          <w:szCs w:val="22"/>
        </w:rPr>
        <w:t xml:space="preserve">al termine </w:t>
      </w:r>
      <w:r w:rsidRPr="00DF19A3">
        <w:rPr>
          <w:rFonts w:ascii="Segoe UI" w:hAnsi="Segoe UI" w:cs="Segoe UI"/>
          <w:sz w:val="22"/>
          <w:szCs w:val="22"/>
        </w:rPr>
        <w:t>“</w:t>
      </w:r>
      <w:r w:rsidRPr="00DF19A3">
        <w:rPr>
          <w:rFonts w:ascii="Segoe UI" w:hAnsi="Segoe UI" w:cs="Segoe UI"/>
          <w:b/>
          <w:i/>
          <w:sz w:val="22"/>
          <w:szCs w:val="22"/>
        </w:rPr>
        <w:t>r</w:t>
      </w:r>
      <w:r w:rsidRPr="00DF19A3">
        <w:rPr>
          <w:rFonts w:ascii="Segoe UI" w:hAnsi="Segoe UI" w:cs="Segoe UI"/>
          <w:b/>
          <w:i/>
          <w:sz w:val="22"/>
          <w:szCs w:val="22"/>
          <w:lang w:eastAsia="it-IT"/>
        </w:rPr>
        <w:t>elevant</w:t>
      </w:r>
      <w:r w:rsidRPr="00DF19A3">
        <w:rPr>
          <w:rFonts w:ascii="Segoe UI" w:hAnsi="Segoe UI" w:cs="Segoe UI"/>
          <w:sz w:val="22"/>
          <w:szCs w:val="22"/>
          <w:lang w:eastAsia="it-IT"/>
        </w:rPr>
        <w:t xml:space="preserve">” </w:t>
      </w:r>
      <w:r w:rsidR="00E865A3">
        <w:rPr>
          <w:rFonts w:ascii="Segoe UI" w:hAnsi="Segoe UI" w:cs="Segoe UI"/>
          <w:sz w:val="22"/>
          <w:szCs w:val="22"/>
          <w:lang w:eastAsia="it-IT"/>
        </w:rPr>
        <w:t xml:space="preserve">corrisponde il termine </w:t>
      </w:r>
      <w:r w:rsidRPr="00DF19A3">
        <w:rPr>
          <w:rFonts w:ascii="Segoe UI" w:hAnsi="Segoe UI" w:cs="Segoe UI"/>
          <w:sz w:val="22"/>
          <w:szCs w:val="22"/>
          <w:lang w:eastAsia="it-IT"/>
        </w:rPr>
        <w:t>“</w:t>
      </w:r>
      <w:r w:rsidRPr="00DF19A3">
        <w:rPr>
          <w:rFonts w:ascii="Segoe UI" w:hAnsi="Segoe UI" w:cs="Segoe UI"/>
          <w:b/>
          <w:sz w:val="22"/>
          <w:szCs w:val="22"/>
          <w:lang w:eastAsia="it-IT"/>
        </w:rPr>
        <w:t>pertinente</w:t>
      </w:r>
      <w:r w:rsidRPr="00DF19A3">
        <w:rPr>
          <w:rFonts w:ascii="Segoe UI" w:hAnsi="Segoe UI" w:cs="Segoe UI"/>
          <w:sz w:val="22"/>
          <w:szCs w:val="22"/>
          <w:lang w:eastAsia="it-IT"/>
        </w:rPr>
        <w:t>” e riprende sostanzialmente la locuzione presente nella direttiva</w:t>
      </w:r>
      <w:r w:rsidR="0092060B">
        <w:rPr>
          <w:rFonts w:ascii="Segoe UI" w:hAnsi="Segoe UI" w:cs="Segoe UI"/>
          <w:sz w:val="22"/>
          <w:szCs w:val="22"/>
          <w:lang w:eastAsia="it-IT"/>
        </w:rPr>
        <w:t xml:space="preserve"> 2014/95/UE</w:t>
      </w:r>
      <w:r w:rsidRPr="00DF19A3">
        <w:rPr>
          <w:rFonts w:ascii="Segoe UI" w:hAnsi="Segoe UI" w:cs="Segoe UI"/>
          <w:sz w:val="22"/>
          <w:szCs w:val="22"/>
          <w:lang w:eastAsia="it-IT"/>
        </w:rPr>
        <w:t xml:space="preserve"> all’art</w:t>
      </w:r>
      <w:r w:rsidR="005A546B">
        <w:rPr>
          <w:rFonts w:ascii="Segoe UI" w:hAnsi="Segoe UI" w:cs="Segoe UI"/>
          <w:sz w:val="22"/>
          <w:szCs w:val="22"/>
          <w:lang w:eastAsia="it-IT"/>
        </w:rPr>
        <w:t>.</w:t>
      </w:r>
      <w:r w:rsidRPr="00DF19A3">
        <w:rPr>
          <w:rFonts w:ascii="Segoe UI" w:hAnsi="Segoe UI" w:cs="Segoe UI"/>
          <w:sz w:val="22"/>
          <w:szCs w:val="22"/>
          <w:lang w:eastAsia="it-IT"/>
        </w:rPr>
        <w:t xml:space="preserve"> 2, “</w:t>
      </w:r>
      <w:r w:rsidRPr="00DF19A3">
        <w:rPr>
          <w:rFonts w:ascii="Segoe UI" w:hAnsi="Segoe UI" w:cs="Segoe UI"/>
          <w:bCs/>
          <w:sz w:val="22"/>
          <w:szCs w:val="22"/>
        </w:rPr>
        <w:t>Guidance on reporting”: “</w:t>
      </w:r>
      <w:r w:rsidRPr="00D92BFB">
        <w:rPr>
          <w:rFonts w:ascii="Segoe UI" w:hAnsi="Segoe UI" w:cs="Segoe UI"/>
          <w:i/>
          <w:sz w:val="22"/>
          <w:szCs w:val="22"/>
        </w:rPr>
        <w:t>The Commission shall prepare non-binding guidelines on methodology for reporting non-financial information, including non-financial key performance indicators, general and sectoral, with a view to facilitating relevant, useful and comparable disclosure of non-financial information by undertakings. In doing so, the Commission shall consult relevant stakeholders</w:t>
      </w:r>
      <w:r w:rsidRPr="00DF19A3">
        <w:rPr>
          <w:rFonts w:ascii="Segoe UI" w:hAnsi="Segoe UI" w:cs="Segoe UI"/>
          <w:i/>
          <w:sz w:val="22"/>
          <w:szCs w:val="22"/>
        </w:rPr>
        <w:t>.</w:t>
      </w:r>
      <w:r w:rsidRPr="00DF19A3">
        <w:rPr>
          <w:rFonts w:ascii="Segoe UI" w:hAnsi="Segoe UI" w:cs="Segoe UI"/>
          <w:sz w:val="22"/>
          <w:szCs w:val="22"/>
        </w:rPr>
        <w:t xml:space="preserve"> [...]” (art</w:t>
      </w:r>
      <w:r w:rsidR="005A546B">
        <w:rPr>
          <w:rFonts w:ascii="Segoe UI" w:hAnsi="Segoe UI" w:cs="Segoe UI"/>
          <w:sz w:val="22"/>
          <w:szCs w:val="22"/>
        </w:rPr>
        <w:t>.</w:t>
      </w:r>
      <w:r w:rsidRPr="00DF19A3">
        <w:rPr>
          <w:rFonts w:ascii="Segoe UI" w:hAnsi="Segoe UI" w:cs="Segoe UI"/>
          <w:sz w:val="22"/>
          <w:szCs w:val="22"/>
        </w:rPr>
        <w:t xml:space="preserve"> 2, “</w:t>
      </w:r>
      <w:r w:rsidRPr="00DF19A3">
        <w:rPr>
          <w:rFonts w:ascii="Segoe UI" w:hAnsi="Segoe UI" w:cs="Segoe UI"/>
          <w:bCs/>
          <w:sz w:val="22"/>
          <w:szCs w:val="22"/>
        </w:rPr>
        <w:t>Orientamenti in materia di comunicazione”: “</w:t>
      </w:r>
      <w:r w:rsidRPr="00DF19A3">
        <w:rPr>
          <w:rFonts w:ascii="Segoe UI" w:hAnsi="Segoe UI" w:cs="Segoe UI"/>
          <w:i/>
          <w:sz w:val="22"/>
          <w:szCs w:val="22"/>
        </w:rPr>
        <w:t>La Commissione elabora orientamenti non vincolanti sulla metodologia di comunicazione delle informazioni di carattere non finanziario, compresi gli indicatori fondamentali di prestazione generali e settoriali, al fine di agevolare la divulgazione pertinente, utile e comparabile di informazioni di carattere non finanziario da parte delle imprese. Nell'elaborazione di tali orientamenti, la Commissione consulta i portatori di interesse.</w:t>
      </w:r>
      <w:r w:rsidRPr="00DF19A3">
        <w:rPr>
          <w:rFonts w:ascii="Segoe UI" w:hAnsi="Segoe UI" w:cs="Segoe UI"/>
          <w:sz w:val="22"/>
          <w:szCs w:val="22"/>
        </w:rPr>
        <w:t xml:space="preserve"> [...]”)</w:t>
      </w:r>
      <w:r w:rsidR="009346CD">
        <w:rPr>
          <w:rFonts w:ascii="Segoe UI" w:hAnsi="Segoe UI" w:cs="Segoe UI"/>
          <w:sz w:val="22"/>
          <w:szCs w:val="22"/>
        </w:rPr>
        <w:t>.</w:t>
      </w:r>
      <w:r w:rsidRPr="00DF19A3">
        <w:rPr>
          <w:rFonts w:ascii="Segoe UI" w:hAnsi="Segoe UI" w:cs="Segoe UI"/>
          <w:sz w:val="22"/>
          <w:szCs w:val="22"/>
        </w:rPr>
        <w:t xml:space="preserve"> </w:t>
      </w:r>
      <w:r w:rsidR="005A546B">
        <w:rPr>
          <w:rFonts w:ascii="Segoe UI" w:hAnsi="Segoe UI" w:cs="Segoe UI"/>
          <w:sz w:val="22"/>
          <w:szCs w:val="22"/>
        </w:rPr>
        <w:t>I</w:t>
      </w:r>
      <w:r w:rsidRPr="00DF19A3">
        <w:rPr>
          <w:rFonts w:ascii="Segoe UI" w:hAnsi="Segoe UI" w:cs="Segoe UI"/>
          <w:sz w:val="22"/>
          <w:szCs w:val="22"/>
        </w:rPr>
        <w:t>l punto è, però, che nel secondo esempio “</w:t>
      </w:r>
      <w:r w:rsidRPr="00DF19A3">
        <w:rPr>
          <w:rFonts w:ascii="Segoe UI" w:hAnsi="Segoe UI" w:cs="Segoe UI"/>
          <w:i/>
          <w:sz w:val="22"/>
          <w:szCs w:val="22"/>
        </w:rPr>
        <w:t>relevant</w:t>
      </w:r>
      <w:r w:rsidRPr="00DF19A3">
        <w:rPr>
          <w:rFonts w:ascii="Segoe UI" w:hAnsi="Segoe UI" w:cs="Segoe UI"/>
          <w:sz w:val="22"/>
          <w:szCs w:val="22"/>
        </w:rPr>
        <w:t>” è associato a</w:t>
      </w:r>
      <w:r w:rsidRPr="00DF19A3">
        <w:rPr>
          <w:rFonts w:ascii="Segoe UI" w:hAnsi="Segoe UI" w:cs="Segoe UI"/>
          <w:sz w:val="22"/>
          <w:szCs w:val="22"/>
          <w:lang w:eastAsia="it-IT"/>
        </w:rPr>
        <w:t xml:space="preserve"> “</w:t>
      </w:r>
      <w:r w:rsidRPr="00DF19A3">
        <w:rPr>
          <w:rFonts w:ascii="Segoe UI" w:hAnsi="Segoe UI" w:cs="Segoe UI"/>
          <w:i/>
          <w:sz w:val="22"/>
          <w:szCs w:val="22"/>
          <w:lang w:eastAsia="it-IT"/>
        </w:rPr>
        <w:t>useful</w:t>
      </w:r>
      <w:r w:rsidRPr="00DF19A3">
        <w:rPr>
          <w:rFonts w:ascii="Segoe UI" w:hAnsi="Segoe UI" w:cs="Segoe UI"/>
          <w:sz w:val="22"/>
          <w:szCs w:val="22"/>
          <w:lang w:eastAsia="it-IT"/>
        </w:rPr>
        <w:t>”, “</w:t>
      </w:r>
      <w:r w:rsidRPr="00DF19A3">
        <w:rPr>
          <w:rFonts w:ascii="Segoe UI" w:hAnsi="Segoe UI" w:cs="Segoe UI"/>
          <w:i/>
          <w:sz w:val="22"/>
          <w:szCs w:val="22"/>
          <w:lang w:eastAsia="it-IT"/>
        </w:rPr>
        <w:t>consistent</w:t>
      </w:r>
      <w:r w:rsidRPr="00DF19A3">
        <w:rPr>
          <w:rFonts w:ascii="Segoe UI" w:hAnsi="Segoe UI" w:cs="Segoe UI"/>
          <w:sz w:val="22"/>
          <w:szCs w:val="22"/>
          <w:lang w:eastAsia="it-IT"/>
        </w:rPr>
        <w:t>” e “</w:t>
      </w:r>
      <w:r w:rsidRPr="00DF19A3">
        <w:rPr>
          <w:rFonts w:ascii="Segoe UI" w:hAnsi="Segoe UI" w:cs="Segoe UI"/>
          <w:i/>
          <w:sz w:val="22"/>
          <w:szCs w:val="22"/>
          <w:lang w:eastAsia="it-IT"/>
        </w:rPr>
        <w:t>comparable ... ... information</w:t>
      </w:r>
      <w:r w:rsidRPr="00DF19A3">
        <w:rPr>
          <w:rFonts w:ascii="Segoe UI" w:hAnsi="Segoe UI" w:cs="Segoe UI"/>
          <w:sz w:val="22"/>
          <w:szCs w:val="22"/>
          <w:lang w:eastAsia="it-IT"/>
        </w:rPr>
        <w:t>”, che sembrano rimandare ai relativi principi metodologici di rendicontazione finanziaria</w:t>
      </w:r>
      <w:r w:rsidR="00441E2C">
        <w:rPr>
          <w:rFonts w:ascii="Segoe UI" w:hAnsi="Segoe UI" w:cs="Segoe UI"/>
          <w:sz w:val="22"/>
          <w:szCs w:val="22"/>
          <w:lang w:eastAsia="it-IT"/>
        </w:rPr>
        <w:t>; tale</w:t>
      </w:r>
      <w:r w:rsidRPr="00DF19A3">
        <w:rPr>
          <w:rFonts w:ascii="Segoe UI" w:hAnsi="Segoe UI" w:cs="Segoe UI"/>
          <w:sz w:val="22"/>
          <w:szCs w:val="22"/>
        </w:rPr>
        <w:t xml:space="preserve"> circostanza non può non far sorgere il dubbio se </w:t>
      </w:r>
      <w:r w:rsidR="00534458">
        <w:rPr>
          <w:rFonts w:ascii="Segoe UI" w:hAnsi="Segoe UI" w:cs="Segoe UI"/>
          <w:sz w:val="22"/>
          <w:szCs w:val="22"/>
        </w:rPr>
        <w:t xml:space="preserve">con </w:t>
      </w:r>
      <w:r w:rsidRPr="00DF19A3">
        <w:rPr>
          <w:rFonts w:ascii="Segoe UI" w:hAnsi="Segoe UI" w:cs="Segoe UI"/>
          <w:sz w:val="22"/>
          <w:szCs w:val="22"/>
        </w:rPr>
        <w:t>“</w:t>
      </w:r>
      <w:r w:rsidRPr="00DF19A3">
        <w:rPr>
          <w:rFonts w:ascii="Segoe UI" w:hAnsi="Segoe UI" w:cs="Segoe UI"/>
          <w:i/>
          <w:sz w:val="22"/>
          <w:szCs w:val="22"/>
        </w:rPr>
        <w:t>relevant</w:t>
      </w:r>
      <w:r w:rsidRPr="00DF19A3">
        <w:rPr>
          <w:rFonts w:ascii="Segoe UI" w:hAnsi="Segoe UI" w:cs="Segoe UI"/>
          <w:sz w:val="22"/>
          <w:szCs w:val="22"/>
        </w:rPr>
        <w:t xml:space="preserve">”, in questo caso, </w:t>
      </w:r>
      <w:r w:rsidR="00534458">
        <w:rPr>
          <w:rFonts w:ascii="Segoe UI" w:hAnsi="Segoe UI" w:cs="Segoe UI"/>
          <w:sz w:val="22"/>
          <w:szCs w:val="22"/>
        </w:rPr>
        <w:t xml:space="preserve">il legislatore </w:t>
      </w:r>
      <w:r w:rsidRPr="00DF19A3">
        <w:rPr>
          <w:rFonts w:ascii="Segoe UI" w:hAnsi="Segoe UI" w:cs="Segoe UI"/>
          <w:sz w:val="22"/>
          <w:szCs w:val="22"/>
        </w:rPr>
        <w:t>non intendesse propriamente richiamare il concetto di “</w:t>
      </w:r>
      <w:r w:rsidRPr="00DF19A3">
        <w:rPr>
          <w:rFonts w:ascii="Segoe UI" w:hAnsi="Segoe UI" w:cs="Segoe UI"/>
          <w:i/>
          <w:sz w:val="22"/>
          <w:szCs w:val="22"/>
        </w:rPr>
        <w:t>relevance</w:t>
      </w:r>
      <w:r w:rsidRPr="009D4EBB">
        <w:rPr>
          <w:rFonts w:ascii="Segoe UI" w:hAnsi="Segoe UI" w:cs="Segoe UI"/>
          <w:sz w:val="22"/>
          <w:szCs w:val="22"/>
        </w:rPr>
        <w:t>” (significatività) in</w:t>
      </w:r>
      <w:r w:rsidRPr="00DF19A3">
        <w:rPr>
          <w:rFonts w:ascii="Segoe UI" w:hAnsi="Segoe UI" w:cs="Segoe UI"/>
          <w:sz w:val="22"/>
          <w:szCs w:val="22"/>
        </w:rPr>
        <w:t xml:space="preserve"> senso tecnico</w:t>
      </w:r>
      <w:r w:rsidR="00534458">
        <w:rPr>
          <w:rFonts w:ascii="Segoe UI" w:hAnsi="Segoe UI" w:cs="Segoe UI"/>
          <w:sz w:val="22"/>
          <w:szCs w:val="22"/>
        </w:rPr>
        <w:t xml:space="preserve"> – come esplicitato nei Principi contabili</w:t>
      </w:r>
      <w:r w:rsidR="00441E2C">
        <w:rPr>
          <w:rFonts w:ascii="Segoe UI" w:hAnsi="Segoe UI" w:cs="Segoe UI"/>
          <w:sz w:val="22"/>
          <w:szCs w:val="22"/>
        </w:rPr>
        <w:t xml:space="preserve"> internazionali</w:t>
      </w:r>
      <w:r w:rsidR="00534458">
        <w:rPr>
          <w:rFonts w:ascii="Segoe UI" w:hAnsi="Segoe UI" w:cs="Segoe UI"/>
          <w:sz w:val="22"/>
          <w:szCs w:val="22"/>
        </w:rPr>
        <w:t xml:space="preserve"> – </w:t>
      </w:r>
      <w:r w:rsidRPr="00DF19A3">
        <w:rPr>
          <w:rFonts w:ascii="Segoe UI" w:hAnsi="Segoe UI" w:cs="Segoe UI"/>
          <w:sz w:val="22"/>
          <w:szCs w:val="22"/>
        </w:rPr>
        <w:t>o, addirittura (</w:t>
      </w:r>
      <w:r w:rsidR="007F1C32" w:rsidRPr="00DF19A3">
        <w:rPr>
          <w:rFonts w:ascii="Segoe UI" w:hAnsi="Segoe UI" w:cs="Segoe UI"/>
          <w:sz w:val="22"/>
          <w:szCs w:val="22"/>
        </w:rPr>
        <w:t>in tal caso</w:t>
      </w:r>
      <w:r w:rsidR="007F1C32">
        <w:rPr>
          <w:rFonts w:ascii="Segoe UI" w:hAnsi="Segoe UI" w:cs="Segoe UI"/>
          <w:sz w:val="22"/>
          <w:szCs w:val="22"/>
        </w:rPr>
        <w:t xml:space="preserve"> </w:t>
      </w:r>
      <w:r w:rsidR="008D193D">
        <w:rPr>
          <w:rFonts w:ascii="Segoe UI" w:hAnsi="Segoe UI" w:cs="Segoe UI"/>
          <w:sz w:val="22"/>
          <w:szCs w:val="22"/>
        </w:rPr>
        <w:t>risultando</w:t>
      </w:r>
      <w:r w:rsidR="00E33DF4" w:rsidRPr="00E33DF4">
        <w:rPr>
          <w:rFonts w:ascii="Segoe UI" w:hAnsi="Segoe UI" w:cs="Segoe UI"/>
          <w:sz w:val="22"/>
          <w:szCs w:val="22"/>
        </w:rPr>
        <w:t xml:space="preserve"> </w:t>
      </w:r>
      <w:r w:rsidR="008D193D">
        <w:rPr>
          <w:rFonts w:ascii="Segoe UI" w:hAnsi="Segoe UI" w:cs="Segoe UI"/>
          <w:sz w:val="22"/>
          <w:szCs w:val="22"/>
        </w:rPr>
        <w:t xml:space="preserve">poco efficace anche la versione </w:t>
      </w:r>
      <w:r w:rsidRPr="00DF19A3">
        <w:rPr>
          <w:rFonts w:ascii="Segoe UI" w:hAnsi="Segoe UI" w:cs="Segoe UI"/>
          <w:sz w:val="22"/>
          <w:szCs w:val="22"/>
        </w:rPr>
        <w:t>inglese)</w:t>
      </w:r>
      <w:r w:rsidR="00441E2C">
        <w:rPr>
          <w:rFonts w:ascii="Segoe UI" w:hAnsi="Segoe UI" w:cs="Segoe UI"/>
          <w:sz w:val="22"/>
          <w:szCs w:val="22"/>
        </w:rPr>
        <w:t xml:space="preserve"> – c</w:t>
      </w:r>
      <w:r w:rsidRPr="00DF19A3">
        <w:rPr>
          <w:rFonts w:ascii="Segoe UI" w:hAnsi="Segoe UI" w:cs="Segoe UI"/>
          <w:sz w:val="22"/>
          <w:szCs w:val="22"/>
        </w:rPr>
        <w:t>onsiderando anche la frase del primo esempio (“</w:t>
      </w:r>
      <w:r w:rsidRPr="00DF19A3">
        <w:rPr>
          <w:rFonts w:ascii="Segoe UI" w:hAnsi="Segoe UI" w:cs="Segoe UI"/>
          <w:sz w:val="22"/>
          <w:szCs w:val="22"/>
          <w:lang w:eastAsia="it-IT"/>
        </w:rPr>
        <w:t>relevant, useful information that is necessary to understand their development, performance, position and the impact of their activity”)</w:t>
      </w:r>
      <w:r w:rsidR="00441E2C">
        <w:rPr>
          <w:rFonts w:ascii="Segoe UI" w:hAnsi="Segoe UI" w:cs="Segoe UI"/>
          <w:sz w:val="22"/>
          <w:szCs w:val="22"/>
          <w:lang w:eastAsia="it-IT"/>
        </w:rPr>
        <w:t xml:space="preserve"> –</w:t>
      </w:r>
      <w:r w:rsidRPr="00DF19A3">
        <w:rPr>
          <w:rFonts w:ascii="Segoe UI" w:hAnsi="Segoe UI" w:cs="Segoe UI"/>
          <w:sz w:val="22"/>
          <w:szCs w:val="22"/>
        </w:rPr>
        <w:t>, il principio di “</w:t>
      </w:r>
      <w:r w:rsidRPr="00DF19A3">
        <w:rPr>
          <w:rFonts w:ascii="Segoe UI" w:hAnsi="Segoe UI" w:cs="Segoe UI"/>
          <w:i/>
          <w:sz w:val="22"/>
          <w:szCs w:val="22"/>
        </w:rPr>
        <w:t>materiality</w:t>
      </w:r>
      <w:r w:rsidRPr="00DF19A3">
        <w:rPr>
          <w:rFonts w:ascii="Segoe UI" w:hAnsi="Segoe UI" w:cs="Segoe UI"/>
          <w:sz w:val="22"/>
          <w:szCs w:val="22"/>
        </w:rPr>
        <w:t>” (rilevanza), i cui contenuti, tra l’altro sono così descritti in questi stessi Orientamenti: “</w:t>
      </w:r>
      <w:r w:rsidRPr="00DF19A3">
        <w:rPr>
          <w:rFonts w:ascii="Segoe UI" w:hAnsi="Segoe UI" w:cs="Segoe UI"/>
          <w:sz w:val="22"/>
          <w:szCs w:val="22"/>
          <w:lang w:eastAsia="it-IT"/>
        </w:rPr>
        <w:t xml:space="preserve">The Directive introduces a new element to be taken into account when assessing the materiality of non-financial information by referring to </w:t>
      </w:r>
      <w:r w:rsidRPr="00DF19A3">
        <w:rPr>
          <w:rFonts w:ascii="Segoe UI" w:hAnsi="Segoe UI" w:cs="Segoe UI"/>
          <w:iCs/>
          <w:sz w:val="22"/>
          <w:szCs w:val="22"/>
          <w:lang w:eastAsia="it-IT"/>
        </w:rPr>
        <w:t>information ‘</w:t>
      </w:r>
      <w:r w:rsidRPr="00DF19A3">
        <w:rPr>
          <w:rFonts w:ascii="Segoe UI" w:hAnsi="Segoe UI" w:cs="Segoe UI"/>
          <w:i/>
          <w:sz w:val="22"/>
          <w:szCs w:val="22"/>
          <w:lang w:eastAsia="it-IT"/>
        </w:rPr>
        <w:t xml:space="preserve">to the extent necessary for an understanding of the […] impact of (the company's) </w:t>
      </w:r>
      <w:r w:rsidRPr="00DF19A3">
        <w:rPr>
          <w:rFonts w:ascii="Segoe UI" w:hAnsi="Segoe UI" w:cs="Segoe UI"/>
          <w:i/>
          <w:iCs/>
          <w:sz w:val="22"/>
          <w:szCs w:val="22"/>
          <w:lang w:eastAsia="it-IT"/>
        </w:rPr>
        <w:t>activity</w:t>
      </w:r>
      <w:r w:rsidRPr="00DF19A3">
        <w:rPr>
          <w:rFonts w:ascii="Segoe UI" w:hAnsi="Segoe UI" w:cs="Segoe UI"/>
          <w:iCs/>
          <w:sz w:val="22"/>
          <w:szCs w:val="22"/>
          <w:lang w:eastAsia="it-IT"/>
        </w:rPr>
        <w:t xml:space="preserve">’ </w:t>
      </w:r>
      <w:r w:rsidRPr="00DF19A3">
        <w:rPr>
          <w:rFonts w:ascii="Segoe UI" w:hAnsi="Segoe UI" w:cs="Segoe UI"/>
          <w:sz w:val="22"/>
          <w:szCs w:val="22"/>
          <w:lang w:eastAsia="it-IT"/>
        </w:rPr>
        <w:t>(n.d.r.: art. 1</w:t>
      </w:r>
      <w:r w:rsidR="000511E1">
        <w:rPr>
          <w:rFonts w:ascii="Segoe UI" w:hAnsi="Segoe UI" w:cs="Segoe UI"/>
          <w:sz w:val="22"/>
          <w:szCs w:val="22"/>
          <w:lang w:eastAsia="it-IT"/>
        </w:rPr>
        <w:t>,</w:t>
      </w:r>
      <w:r w:rsidRPr="00DF19A3">
        <w:rPr>
          <w:rFonts w:ascii="Segoe UI" w:hAnsi="Segoe UI" w:cs="Segoe UI"/>
          <w:sz w:val="22"/>
          <w:szCs w:val="22"/>
          <w:lang w:eastAsia="it-IT"/>
        </w:rPr>
        <w:t xml:space="preserve"> direttiva </w:t>
      </w:r>
      <w:r w:rsidR="009D4EBB" w:rsidRPr="009D4EBB">
        <w:rPr>
          <w:rFonts w:ascii="Segoe UI" w:hAnsi="Segoe UI" w:cs="Segoe UI"/>
          <w:sz w:val="22"/>
          <w:szCs w:val="22"/>
          <w:lang w:eastAsia="it-IT"/>
        </w:rPr>
        <w:t>2014/95/UE)”</w:t>
      </w:r>
      <w:r w:rsidR="009D4EBB" w:rsidRPr="009D4EBB">
        <w:rPr>
          <w:rStyle w:val="Rimandonotaapidipagina"/>
          <w:rFonts w:cs="Segoe UI"/>
          <w:szCs w:val="22"/>
          <w:lang w:eastAsia="it-IT"/>
        </w:rPr>
        <w:footnoteReference w:id="14"/>
      </w:r>
      <w:r w:rsidR="009D4EBB" w:rsidRPr="009D4EBB">
        <w:rPr>
          <w:rFonts w:ascii="Segoe UI" w:hAnsi="Segoe UI" w:cs="Segoe UI"/>
          <w:sz w:val="22"/>
          <w:szCs w:val="22"/>
          <w:lang w:eastAsia="it-IT"/>
        </w:rPr>
        <w:t>.</w:t>
      </w:r>
    </w:p>
    <w:p w14:paraId="1AD85FA7" w14:textId="77777777" w:rsidR="0067575B" w:rsidRPr="00DF19A3" w:rsidRDefault="0067575B" w:rsidP="0067575B">
      <w:pPr>
        <w:autoSpaceDE w:val="0"/>
        <w:autoSpaceDN w:val="0"/>
        <w:adjustRightInd w:val="0"/>
        <w:spacing w:before="120" w:after="120" w:line="240" w:lineRule="auto"/>
        <w:jc w:val="both"/>
        <w:rPr>
          <w:rFonts w:ascii="Segoe UI" w:hAnsi="Segoe UI" w:cs="Segoe UI"/>
          <w:color w:val="000000"/>
          <w:lang w:eastAsia="it-IT"/>
        </w:rPr>
      </w:pPr>
    </w:p>
    <w:p w14:paraId="79DA5AE3" w14:textId="51738883" w:rsidR="0067575B" w:rsidRDefault="0067575B" w:rsidP="0067575B">
      <w:pPr>
        <w:keepNext/>
        <w:keepLines/>
        <w:spacing w:before="120" w:after="120" w:line="240" w:lineRule="auto"/>
        <w:jc w:val="both"/>
        <w:rPr>
          <w:rFonts w:ascii="Segoe UI" w:hAnsi="Segoe UI" w:cs="Segoe UI"/>
          <w:lang w:eastAsia="it-IT"/>
        </w:rPr>
      </w:pPr>
      <w:r w:rsidRPr="00DF19A3">
        <w:rPr>
          <w:rFonts w:ascii="Segoe UI" w:hAnsi="Segoe UI" w:cs="Segoe UI"/>
          <w:lang w:eastAsia="it-IT"/>
        </w:rPr>
        <w:t>Traduzione opzione 2 / Accezione: opzione 2</w:t>
      </w:r>
    </w:p>
    <w:p w14:paraId="5848F303" w14:textId="707850D3" w:rsidR="00F67ECD" w:rsidRPr="00DF19A3" w:rsidRDefault="00F67ECD" w:rsidP="0067575B">
      <w:pPr>
        <w:keepNext/>
        <w:keepLines/>
        <w:spacing w:before="120" w:after="120" w:line="240" w:lineRule="auto"/>
        <w:jc w:val="both"/>
        <w:rPr>
          <w:rFonts w:ascii="Segoe UI" w:hAnsi="Segoe UI" w:cs="Segoe UI"/>
          <w:lang w:eastAsia="it-IT"/>
        </w:rPr>
      </w:pPr>
      <w:r>
        <w:rPr>
          <w:rFonts w:ascii="Segoe UI" w:hAnsi="Segoe UI" w:cs="Segoe UI"/>
          <w:lang w:eastAsia="it-IT"/>
        </w:rPr>
        <w:t>Di seguito si riporta un altro significativo esempio:</w:t>
      </w:r>
    </w:p>
    <w:p w14:paraId="48DDB2C5" w14:textId="77777777" w:rsidR="0067575B" w:rsidRPr="00D92BFB" w:rsidRDefault="0067575B" w:rsidP="007F5442">
      <w:pPr>
        <w:keepNext/>
        <w:keepLines/>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lang w:val="en-US" w:eastAsia="it-IT"/>
        </w:rPr>
      </w:pPr>
      <w:r w:rsidRPr="00D92BFB">
        <w:rPr>
          <w:rFonts w:ascii="Segoe UI" w:hAnsi="Segoe UI" w:cs="Segoe UI"/>
          <w:color w:val="525252" w:themeColor="accent3" w:themeShade="80"/>
          <w:sz w:val="20"/>
          <w:szCs w:val="20"/>
          <w:lang w:val="en-US" w:eastAsia="it-IT"/>
        </w:rPr>
        <w:t xml:space="preserve">“3 </w:t>
      </w:r>
      <w:r w:rsidRPr="00D92BFB">
        <w:rPr>
          <w:rFonts w:ascii="Segoe UI" w:hAnsi="Segoe UI" w:cs="Segoe UI"/>
          <w:bCs/>
          <w:color w:val="525252" w:themeColor="accent3" w:themeShade="80"/>
          <w:sz w:val="20"/>
          <w:szCs w:val="20"/>
          <w:lang w:val="en-US" w:eastAsia="it-IT"/>
        </w:rPr>
        <w:t>Key Principles</w:t>
      </w:r>
    </w:p>
    <w:p w14:paraId="7C201697" w14:textId="77777777" w:rsidR="0067575B" w:rsidRPr="00035FDE" w:rsidRDefault="0067575B" w:rsidP="007F5442">
      <w:pPr>
        <w:keepNext/>
        <w:keepLines/>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lang w:val="en-US" w:eastAsia="it-IT"/>
        </w:rPr>
      </w:pPr>
      <w:r w:rsidRPr="00035FDE">
        <w:rPr>
          <w:rFonts w:ascii="Segoe UI" w:hAnsi="Segoe UI" w:cs="Segoe UI"/>
          <w:bCs/>
          <w:color w:val="525252" w:themeColor="accent3" w:themeShade="80"/>
          <w:sz w:val="20"/>
          <w:szCs w:val="20"/>
          <w:lang w:val="en-US" w:eastAsia="it-IT"/>
        </w:rPr>
        <w:t>3.1 Disclose material information</w:t>
      </w:r>
    </w:p>
    <w:p w14:paraId="760F95B0" w14:textId="77777777" w:rsidR="0067575B" w:rsidRPr="00035FDE" w:rsidRDefault="0067575B" w:rsidP="007F5442">
      <w:pPr>
        <w:keepNext/>
        <w:keepLines/>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lang w:val="en-US" w:eastAsia="it-IT"/>
        </w:rPr>
      </w:pPr>
      <w:r w:rsidRPr="00035FDE">
        <w:rPr>
          <w:rFonts w:ascii="Segoe UI" w:hAnsi="Segoe UI" w:cs="Segoe UI"/>
          <w:color w:val="525252" w:themeColor="accent3" w:themeShade="80"/>
          <w:sz w:val="20"/>
          <w:szCs w:val="20"/>
          <w:lang w:val="en-US" w:eastAsia="it-IT"/>
        </w:rPr>
        <w:t>[...]</w:t>
      </w:r>
    </w:p>
    <w:p w14:paraId="4EEE8470" w14:textId="77777777" w:rsidR="0067575B" w:rsidRPr="00035FDE" w:rsidRDefault="0067575B" w:rsidP="007F5442">
      <w:pPr>
        <w:keepNext/>
        <w:keepLines/>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lang w:val="en-US" w:eastAsia="it-IT"/>
        </w:rPr>
      </w:pPr>
      <w:r w:rsidRPr="00035FDE">
        <w:rPr>
          <w:rFonts w:ascii="Segoe UI" w:hAnsi="Segoe UI" w:cs="Segoe UI"/>
          <w:color w:val="525252" w:themeColor="accent3" w:themeShade="80"/>
          <w:sz w:val="20"/>
          <w:szCs w:val="20"/>
          <w:lang w:val="en-US" w:eastAsia="it-IT"/>
        </w:rPr>
        <w:t>A number of factors may be taken into account when assessing the materiality of information. These include:</w:t>
      </w:r>
    </w:p>
    <w:p w14:paraId="2F5B8E23" w14:textId="77777777" w:rsidR="0067575B" w:rsidRPr="00035FDE" w:rsidRDefault="0067575B" w:rsidP="00B924CD">
      <w:pPr>
        <w:pStyle w:val="Paragrafoelenco"/>
        <w:numPr>
          <w:ilvl w:val="0"/>
          <w:numId w:val="32"/>
        </w:numPr>
        <w:tabs>
          <w:tab w:val="left" w:pos="567"/>
        </w:tabs>
        <w:autoSpaceDE w:val="0"/>
        <w:autoSpaceDN w:val="0"/>
        <w:adjustRightInd w:val="0"/>
        <w:spacing w:before="120" w:after="120" w:line="240" w:lineRule="auto"/>
        <w:ind w:left="567" w:right="284" w:hanging="283"/>
        <w:jc w:val="both"/>
        <w:rPr>
          <w:rFonts w:ascii="Segoe UI" w:hAnsi="Segoe UI" w:cs="Segoe UI"/>
          <w:color w:val="525252" w:themeColor="accent3" w:themeShade="80"/>
          <w:sz w:val="20"/>
          <w:szCs w:val="20"/>
          <w:lang w:val="en-US" w:eastAsia="it-IT"/>
        </w:rPr>
      </w:pPr>
      <w:r w:rsidRPr="00035FDE">
        <w:rPr>
          <w:rFonts w:ascii="Segoe UI" w:hAnsi="Segoe UI" w:cs="Segoe UI"/>
          <w:iCs/>
          <w:color w:val="525252" w:themeColor="accent3" w:themeShade="80"/>
          <w:sz w:val="20"/>
          <w:szCs w:val="20"/>
          <w:lang w:val="en-US" w:eastAsia="it-IT"/>
        </w:rPr>
        <w:t>Business model, strategy and principal risks</w:t>
      </w:r>
      <w:r w:rsidRPr="00035FDE">
        <w:rPr>
          <w:rFonts w:ascii="Segoe UI" w:hAnsi="Segoe UI" w:cs="Segoe UI"/>
          <w:color w:val="525252" w:themeColor="accent3" w:themeShade="80"/>
          <w:sz w:val="20"/>
          <w:szCs w:val="20"/>
          <w:lang w:val="en-US" w:eastAsia="it-IT"/>
        </w:rPr>
        <w:t>: a company's goals, strategies, management approach and systems, values, tangible and intangible assets, value chain and principal risks are relevant considerations.</w:t>
      </w:r>
    </w:p>
    <w:p w14:paraId="66689933" w14:textId="77777777" w:rsidR="0067575B" w:rsidRPr="00035FDE" w:rsidRDefault="0067575B" w:rsidP="00B924CD">
      <w:pPr>
        <w:pStyle w:val="Paragrafoelenco"/>
        <w:numPr>
          <w:ilvl w:val="0"/>
          <w:numId w:val="32"/>
        </w:numPr>
        <w:tabs>
          <w:tab w:val="left" w:pos="567"/>
        </w:tabs>
        <w:autoSpaceDE w:val="0"/>
        <w:autoSpaceDN w:val="0"/>
        <w:adjustRightInd w:val="0"/>
        <w:spacing w:before="120" w:after="120" w:line="240" w:lineRule="auto"/>
        <w:ind w:left="567" w:right="284" w:hanging="283"/>
        <w:jc w:val="both"/>
        <w:rPr>
          <w:rFonts w:ascii="Segoe UI" w:hAnsi="Segoe UI" w:cs="Segoe UI"/>
          <w:color w:val="525252" w:themeColor="accent3" w:themeShade="80"/>
          <w:sz w:val="20"/>
          <w:szCs w:val="20"/>
          <w:lang w:val="en-US" w:eastAsia="it-IT"/>
        </w:rPr>
      </w:pPr>
      <w:r w:rsidRPr="00035FDE">
        <w:rPr>
          <w:rFonts w:ascii="Segoe UI" w:hAnsi="Segoe UI" w:cs="Segoe UI"/>
          <w:iCs/>
          <w:color w:val="525252" w:themeColor="accent3" w:themeShade="80"/>
          <w:sz w:val="20"/>
          <w:szCs w:val="20"/>
          <w:lang w:val="en-US" w:eastAsia="it-IT"/>
        </w:rPr>
        <w:t xml:space="preserve">Main sectoral issues </w:t>
      </w:r>
      <w:r w:rsidRPr="00035FDE">
        <w:rPr>
          <w:rFonts w:ascii="Segoe UI" w:hAnsi="Segoe UI" w:cs="Segoe UI"/>
          <w:color w:val="525252" w:themeColor="accent3" w:themeShade="80"/>
          <w:sz w:val="20"/>
          <w:szCs w:val="20"/>
          <w:lang w:val="en-US" w:eastAsia="it-IT"/>
        </w:rPr>
        <w:t>Similar issues are likely to be material to companies operating in the same sector, or sharing supply chains. Topics already identified by competitors, customers or suppliers are likely to be relevant for a company. [...]”.</w:t>
      </w:r>
    </w:p>
    <w:p w14:paraId="55CA141D" w14:textId="77777777" w:rsidR="0067575B" w:rsidRPr="00DF19A3" w:rsidRDefault="0067575B" w:rsidP="0067575B">
      <w:pPr>
        <w:keepNext/>
        <w:keepLines/>
        <w:spacing w:before="120" w:after="120" w:line="240" w:lineRule="auto"/>
        <w:jc w:val="both"/>
        <w:rPr>
          <w:rFonts w:ascii="Segoe UI" w:hAnsi="Segoe UI" w:cs="Segoe UI"/>
          <w:lang w:eastAsia="it-IT"/>
        </w:rPr>
      </w:pPr>
      <w:r w:rsidRPr="00DF19A3">
        <w:rPr>
          <w:rFonts w:ascii="Segoe UI" w:hAnsi="Segoe UI" w:cs="Segoe UI"/>
        </w:rPr>
        <w:t>Nella versione in italiano tale proposizione è tradotta come segue:</w:t>
      </w:r>
    </w:p>
    <w:p w14:paraId="44728D87" w14:textId="77777777" w:rsidR="0067575B" w:rsidRPr="007F5442" w:rsidRDefault="0067575B" w:rsidP="007F5442">
      <w:pPr>
        <w:keepNext/>
        <w:keepLines/>
        <w:spacing w:before="120" w:after="120" w:line="240" w:lineRule="auto"/>
        <w:ind w:left="284" w:right="284"/>
        <w:jc w:val="both"/>
        <w:rPr>
          <w:rFonts w:ascii="Segoe UI" w:hAnsi="Segoe UI" w:cs="Segoe UI"/>
          <w:bCs/>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 xml:space="preserve">“3 </w:t>
      </w:r>
      <w:r w:rsidRPr="007F5442">
        <w:rPr>
          <w:rFonts w:ascii="Segoe UI" w:hAnsi="Segoe UI" w:cs="Segoe UI"/>
          <w:bCs/>
          <w:color w:val="525252" w:themeColor="accent3" w:themeShade="80"/>
          <w:sz w:val="20"/>
          <w:szCs w:val="20"/>
          <w:lang w:eastAsia="it-IT"/>
        </w:rPr>
        <w:t>Principi fondamentali</w:t>
      </w:r>
    </w:p>
    <w:p w14:paraId="79AC4A95" w14:textId="77777777" w:rsidR="0067575B" w:rsidRPr="007F5442" w:rsidRDefault="0067575B" w:rsidP="007F5442">
      <w:pPr>
        <w:keepNext/>
        <w:keepLines/>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lang w:eastAsia="it-IT"/>
        </w:rPr>
      </w:pPr>
      <w:r w:rsidRPr="007F5442">
        <w:rPr>
          <w:rFonts w:ascii="Segoe UI" w:hAnsi="Segoe UI" w:cs="Segoe UI"/>
          <w:bCs/>
          <w:color w:val="525252" w:themeColor="accent3" w:themeShade="80"/>
          <w:sz w:val="20"/>
          <w:szCs w:val="20"/>
          <w:lang w:eastAsia="it-IT"/>
        </w:rPr>
        <w:t>3.1 Comunicazione di informazioni rilevanti</w:t>
      </w:r>
    </w:p>
    <w:p w14:paraId="61B62E76" w14:textId="77777777" w:rsidR="0067575B" w:rsidRPr="007F5442" w:rsidRDefault="0067575B" w:rsidP="007F5442">
      <w:pPr>
        <w:keepNext/>
        <w:keepLines/>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w:t>
      </w:r>
    </w:p>
    <w:p w14:paraId="25215A48" w14:textId="77777777" w:rsidR="0067575B" w:rsidRPr="00B924CD" w:rsidRDefault="0067575B" w:rsidP="007F5442">
      <w:pPr>
        <w:keepNext/>
        <w:keepLines/>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lang w:eastAsia="it-IT"/>
        </w:rPr>
      </w:pPr>
      <w:r w:rsidRPr="00B924CD">
        <w:rPr>
          <w:rFonts w:ascii="Segoe UI" w:hAnsi="Segoe UI" w:cs="Segoe UI"/>
          <w:color w:val="525252" w:themeColor="accent3" w:themeShade="80"/>
          <w:sz w:val="20"/>
          <w:szCs w:val="20"/>
          <w:lang w:eastAsia="it-IT"/>
        </w:rPr>
        <w:t>Nel valutare la rilevanza delle informazioni possono essere presi in considerazione diversi fattori, tra i quali:</w:t>
      </w:r>
    </w:p>
    <w:p w14:paraId="0B9147D6" w14:textId="77777777" w:rsidR="0067575B" w:rsidRPr="00B924CD" w:rsidRDefault="0067575B" w:rsidP="00B924CD">
      <w:pPr>
        <w:pStyle w:val="Paragrafoelenco"/>
        <w:numPr>
          <w:ilvl w:val="0"/>
          <w:numId w:val="32"/>
        </w:numPr>
        <w:tabs>
          <w:tab w:val="left" w:pos="567"/>
        </w:tabs>
        <w:autoSpaceDE w:val="0"/>
        <w:autoSpaceDN w:val="0"/>
        <w:adjustRightInd w:val="0"/>
        <w:spacing w:before="120" w:after="120" w:line="240" w:lineRule="auto"/>
        <w:ind w:left="567" w:right="284" w:hanging="283"/>
        <w:jc w:val="both"/>
        <w:rPr>
          <w:rFonts w:ascii="Segoe UI" w:hAnsi="Segoe UI" w:cs="Segoe UI"/>
          <w:color w:val="525252" w:themeColor="accent3" w:themeShade="80"/>
          <w:sz w:val="20"/>
          <w:szCs w:val="20"/>
          <w:lang w:eastAsia="it-IT"/>
        </w:rPr>
      </w:pPr>
      <w:r w:rsidRPr="00B924CD">
        <w:rPr>
          <w:rFonts w:ascii="Segoe UI" w:hAnsi="Segoe UI" w:cs="Segoe UI"/>
          <w:iCs/>
          <w:color w:val="525252" w:themeColor="accent3" w:themeShade="80"/>
          <w:sz w:val="20"/>
          <w:szCs w:val="20"/>
          <w:lang w:eastAsia="it-IT"/>
        </w:rPr>
        <w:t>modello aziendale, strategia e r</w:t>
      </w:r>
      <w:r w:rsidRPr="00B924CD">
        <w:rPr>
          <w:rFonts w:ascii="Segoe UI" w:hAnsi="Segoe UI" w:cs="Segoe UI"/>
          <w:color w:val="525252" w:themeColor="accent3" w:themeShade="80"/>
          <w:sz w:val="20"/>
          <w:szCs w:val="20"/>
          <w:lang w:eastAsia="it-IT"/>
        </w:rPr>
        <w:t>ischi principali: gli obiettivi, le strategie, l’approccio e i sistemi di gestione, i valori, le attività materiali e immateriali, la catena del valore e i rischi principali di un’impresa sono considerazioni rilevanti,</w:t>
      </w:r>
    </w:p>
    <w:p w14:paraId="5F7DA1C0" w14:textId="77777777" w:rsidR="0067575B" w:rsidRPr="00B924CD" w:rsidRDefault="0067575B" w:rsidP="00B924CD">
      <w:pPr>
        <w:pStyle w:val="Paragrafoelenco"/>
        <w:numPr>
          <w:ilvl w:val="0"/>
          <w:numId w:val="32"/>
        </w:numPr>
        <w:tabs>
          <w:tab w:val="left" w:pos="567"/>
        </w:tabs>
        <w:autoSpaceDE w:val="0"/>
        <w:autoSpaceDN w:val="0"/>
        <w:adjustRightInd w:val="0"/>
        <w:spacing w:before="120" w:after="120" w:line="240" w:lineRule="auto"/>
        <w:ind w:left="567" w:right="284" w:hanging="283"/>
        <w:jc w:val="both"/>
        <w:rPr>
          <w:rFonts w:ascii="Segoe UI" w:hAnsi="Segoe UI" w:cs="Segoe UI"/>
          <w:color w:val="525252" w:themeColor="accent3" w:themeShade="80"/>
          <w:sz w:val="20"/>
          <w:szCs w:val="20"/>
          <w:lang w:eastAsia="it-IT"/>
        </w:rPr>
      </w:pPr>
      <w:r w:rsidRPr="00B924CD">
        <w:rPr>
          <w:rFonts w:ascii="Segoe UI" w:hAnsi="Segoe UI" w:cs="Segoe UI"/>
          <w:iCs/>
          <w:color w:val="525252" w:themeColor="accent3" w:themeShade="80"/>
          <w:sz w:val="20"/>
          <w:szCs w:val="20"/>
          <w:lang w:eastAsia="it-IT"/>
        </w:rPr>
        <w:t xml:space="preserve">principali questioni settoriali: </w:t>
      </w:r>
      <w:r w:rsidRPr="00B924CD">
        <w:rPr>
          <w:rFonts w:ascii="Segoe UI" w:hAnsi="Segoe UI" w:cs="Segoe UI"/>
          <w:color w:val="525252" w:themeColor="accent3" w:themeShade="80"/>
          <w:sz w:val="20"/>
          <w:szCs w:val="20"/>
          <w:lang w:eastAsia="it-IT"/>
        </w:rPr>
        <w:t>è probabile che questioni simili siano rilevanti per imprese che operano nello stesso settore o che condividono catene di fornitura. Argomenti già individuati da concorrenti, clienti o fornitori sono probabilmente rilevanti per un’impresa, [...]”.</w:t>
      </w:r>
    </w:p>
    <w:p w14:paraId="0108EB43" w14:textId="72E730E3" w:rsidR="0067575B" w:rsidRPr="00DF19A3" w:rsidRDefault="0067575B" w:rsidP="0067575B">
      <w:pPr>
        <w:autoSpaceDE w:val="0"/>
        <w:autoSpaceDN w:val="0"/>
        <w:adjustRightInd w:val="0"/>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 xml:space="preserve">Conclusione: </w:t>
      </w:r>
      <w:r w:rsidRPr="00DF19A3">
        <w:rPr>
          <w:rFonts w:ascii="Segoe UI" w:hAnsi="Segoe UI" w:cs="Segoe UI"/>
        </w:rPr>
        <w:t>in questo caso “</w:t>
      </w:r>
      <w:r w:rsidRPr="00DF19A3">
        <w:rPr>
          <w:rFonts w:ascii="Segoe UI" w:hAnsi="Segoe UI" w:cs="Segoe UI"/>
          <w:b/>
          <w:i/>
        </w:rPr>
        <w:t>r</w:t>
      </w:r>
      <w:r w:rsidRPr="00DF19A3">
        <w:rPr>
          <w:rFonts w:ascii="Segoe UI" w:hAnsi="Segoe UI" w:cs="Segoe UI"/>
          <w:b/>
          <w:i/>
          <w:color w:val="000000"/>
          <w:lang w:eastAsia="it-IT"/>
        </w:rPr>
        <w:t>elevant</w:t>
      </w:r>
      <w:r w:rsidRPr="00DF19A3">
        <w:rPr>
          <w:rFonts w:ascii="Segoe UI" w:hAnsi="Segoe UI" w:cs="Segoe UI"/>
          <w:color w:val="000000"/>
          <w:lang w:eastAsia="it-IT"/>
        </w:rPr>
        <w:t>” è tradotto “</w:t>
      </w:r>
      <w:r w:rsidRPr="00DF19A3">
        <w:rPr>
          <w:rFonts w:ascii="Segoe UI" w:hAnsi="Segoe UI" w:cs="Segoe UI"/>
          <w:b/>
          <w:color w:val="000000"/>
          <w:lang w:eastAsia="it-IT"/>
        </w:rPr>
        <w:t>rilevante</w:t>
      </w:r>
      <w:r w:rsidRPr="00DF19A3">
        <w:rPr>
          <w:rFonts w:ascii="Segoe UI" w:hAnsi="Segoe UI" w:cs="Segoe UI"/>
          <w:color w:val="000000"/>
          <w:lang w:eastAsia="it-IT"/>
        </w:rPr>
        <w:t>”; si noti che in tale contesto il termine è utilizzato nell’ambito della fondamentale esplicazione che gli Orientamenti intendono fornire a proposito del concetto di “</w:t>
      </w:r>
      <w:r w:rsidRPr="00DF19A3">
        <w:rPr>
          <w:rFonts w:ascii="Segoe UI" w:hAnsi="Segoe UI" w:cs="Segoe UI"/>
          <w:i/>
          <w:color w:val="000000"/>
          <w:lang w:eastAsia="it-IT"/>
        </w:rPr>
        <w:t>materiality</w:t>
      </w:r>
      <w:r w:rsidRPr="00DF19A3">
        <w:rPr>
          <w:rFonts w:ascii="Segoe UI" w:hAnsi="Segoe UI" w:cs="Segoe UI"/>
          <w:color w:val="000000"/>
          <w:lang w:eastAsia="it-IT"/>
        </w:rPr>
        <w:t>” (rilevanza) e che in poche righe appaia adottato insieme all’aggettivo “</w:t>
      </w:r>
      <w:r w:rsidRPr="00DF19A3">
        <w:rPr>
          <w:rFonts w:ascii="Segoe UI" w:hAnsi="Segoe UI" w:cs="Segoe UI"/>
          <w:i/>
          <w:color w:val="000000"/>
          <w:lang w:eastAsia="it-IT"/>
        </w:rPr>
        <w:t>material</w:t>
      </w:r>
      <w:r w:rsidRPr="00DF19A3">
        <w:rPr>
          <w:rFonts w:ascii="Segoe UI" w:hAnsi="Segoe UI" w:cs="Segoe UI"/>
          <w:color w:val="000000"/>
          <w:lang w:eastAsia="it-IT"/>
        </w:rPr>
        <w:t>”, quest’ultimo riferito però specificamente alle informazioni laddove “</w:t>
      </w:r>
      <w:r w:rsidRPr="00DF19A3">
        <w:rPr>
          <w:rFonts w:ascii="Segoe UI" w:hAnsi="Segoe UI" w:cs="Segoe UI"/>
          <w:i/>
          <w:color w:val="000000"/>
          <w:lang w:eastAsia="it-IT"/>
        </w:rPr>
        <w:t>relevant</w:t>
      </w:r>
      <w:r w:rsidRPr="00DF19A3">
        <w:rPr>
          <w:rFonts w:ascii="Segoe UI" w:hAnsi="Segoe UI" w:cs="Segoe UI"/>
          <w:color w:val="000000"/>
          <w:lang w:eastAsia="it-IT"/>
        </w:rPr>
        <w:t xml:space="preserve">” è invece riferito a singoli aspetti (“goals, strategies, management approach and systems, values, tangible and intangible assets, value chain and principal risks”). Potrebbe un singolo aspetto risultare rilevante ma la </w:t>
      </w:r>
      <w:r w:rsidRPr="00DF19A3">
        <w:rPr>
          <w:rFonts w:ascii="Segoe UI" w:hAnsi="Segoe UI" w:cs="Segoe UI"/>
          <w:i/>
          <w:color w:val="000000"/>
          <w:lang w:eastAsia="it-IT"/>
        </w:rPr>
        <w:t>disclosure</w:t>
      </w:r>
      <w:r w:rsidRPr="00DF19A3">
        <w:rPr>
          <w:rFonts w:ascii="Segoe UI" w:hAnsi="Segoe UI" w:cs="Segoe UI"/>
          <w:color w:val="000000"/>
          <w:lang w:eastAsia="it-IT"/>
        </w:rPr>
        <w:t xml:space="preserve"> della sua informazioni risultare non “</w:t>
      </w:r>
      <w:r w:rsidRPr="00DF19A3">
        <w:rPr>
          <w:rFonts w:ascii="Segoe UI" w:hAnsi="Segoe UI" w:cs="Segoe UI"/>
          <w:i/>
          <w:color w:val="000000"/>
          <w:lang w:eastAsia="it-IT"/>
        </w:rPr>
        <w:t>material</w:t>
      </w:r>
      <w:r w:rsidRPr="00DF19A3">
        <w:rPr>
          <w:rFonts w:ascii="Segoe UI" w:hAnsi="Segoe UI" w:cs="Segoe UI"/>
          <w:color w:val="000000"/>
          <w:lang w:eastAsia="it-IT"/>
        </w:rPr>
        <w:t xml:space="preserve">”? Per l’IIRC, ad esempio, si tratta di una circostanza che potrebbe </w:t>
      </w:r>
      <w:r w:rsidR="007B6432">
        <w:rPr>
          <w:rFonts w:ascii="Segoe UI" w:hAnsi="Segoe UI" w:cs="Segoe UI"/>
          <w:color w:val="000000"/>
          <w:lang w:eastAsia="it-IT"/>
        </w:rPr>
        <w:t xml:space="preserve">tranquillamente </w:t>
      </w:r>
      <w:r w:rsidRPr="00DF19A3">
        <w:rPr>
          <w:rFonts w:ascii="Segoe UI" w:hAnsi="Segoe UI" w:cs="Segoe UI"/>
          <w:color w:val="000000"/>
          <w:lang w:eastAsia="it-IT"/>
        </w:rPr>
        <w:t>verificarsi.</w:t>
      </w:r>
    </w:p>
    <w:p w14:paraId="4E361C37" w14:textId="01BFA4D5" w:rsidR="0067575B" w:rsidRPr="00DF19A3" w:rsidRDefault="0067575B" w:rsidP="0067575B">
      <w:pPr>
        <w:autoSpaceDE w:val="0"/>
        <w:autoSpaceDN w:val="0"/>
        <w:adjustRightInd w:val="0"/>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 xml:space="preserve">Si osservi infine che nel d.lgs. n. 254/2016 l’utilizzo del termine “rilevante” è </w:t>
      </w:r>
      <w:r w:rsidR="007B6432">
        <w:rPr>
          <w:rFonts w:ascii="Segoe UI" w:hAnsi="Segoe UI" w:cs="Segoe UI"/>
          <w:color w:val="000000"/>
          <w:lang w:eastAsia="it-IT"/>
        </w:rPr>
        <w:t>riferito</w:t>
      </w:r>
      <w:r w:rsidRPr="00DF19A3">
        <w:rPr>
          <w:rFonts w:ascii="Segoe UI" w:hAnsi="Segoe UI" w:cs="Segoe UI"/>
          <w:color w:val="000000"/>
          <w:lang w:eastAsia="it-IT"/>
        </w:rPr>
        <w:t xml:space="preserve"> ai 5 temi di </w:t>
      </w:r>
      <w:r w:rsidRPr="00DF19A3">
        <w:rPr>
          <w:rFonts w:ascii="Segoe UI" w:hAnsi="Segoe UI" w:cs="Segoe UI"/>
          <w:i/>
          <w:color w:val="000000"/>
          <w:lang w:eastAsia="it-IT"/>
        </w:rPr>
        <w:t>disclosure</w:t>
      </w:r>
      <w:r w:rsidRPr="00DF19A3">
        <w:rPr>
          <w:rFonts w:ascii="Segoe UI" w:hAnsi="Segoe UI" w:cs="Segoe UI"/>
          <w:color w:val="000000"/>
          <w:lang w:eastAsia="it-IT"/>
        </w:rPr>
        <w:t xml:space="preserve">; </w:t>
      </w:r>
      <w:r w:rsidR="007B6432">
        <w:rPr>
          <w:rFonts w:ascii="Segoe UI" w:hAnsi="Segoe UI" w:cs="Segoe UI"/>
          <w:color w:val="000000"/>
          <w:lang w:eastAsia="it-IT"/>
        </w:rPr>
        <w:t xml:space="preserve">come si è già segnalato, </w:t>
      </w:r>
      <w:r w:rsidRPr="00DF19A3">
        <w:rPr>
          <w:rFonts w:ascii="Segoe UI" w:hAnsi="Segoe UI" w:cs="Segoe UI"/>
          <w:color w:val="000000"/>
          <w:lang w:eastAsia="it-IT"/>
        </w:rPr>
        <w:t>gli Orientamenti, che sono successivi al d.lgs. n. 254/2016, sdoganano invece il termine “</w:t>
      </w:r>
      <w:r w:rsidRPr="00DF19A3">
        <w:rPr>
          <w:rFonts w:ascii="Segoe UI" w:hAnsi="Segoe UI" w:cs="Segoe UI"/>
          <w:i/>
          <w:color w:val="000000"/>
          <w:lang w:eastAsia="it-IT"/>
        </w:rPr>
        <w:t>material</w:t>
      </w:r>
      <w:r w:rsidRPr="00DF19A3">
        <w:rPr>
          <w:rFonts w:ascii="Segoe UI" w:hAnsi="Segoe UI" w:cs="Segoe UI"/>
          <w:color w:val="000000"/>
          <w:lang w:eastAsia="it-IT"/>
        </w:rPr>
        <w:t xml:space="preserve">” (assente, con questo significato, nella direttiva </w:t>
      </w:r>
      <w:r w:rsidR="007B6432">
        <w:rPr>
          <w:rFonts w:ascii="Segoe UI" w:hAnsi="Segoe UI" w:cs="Segoe UI"/>
          <w:color w:val="000000"/>
          <w:lang w:eastAsia="it-IT"/>
        </w:rPr>
        <w:t>2014/95/UE</w:t>
      </w:r>
      <w:r w:rsidRPr="00DF19A3">
        <w:rPr>
          <w:rFonts w:ascii="Segoe UI" w:hAnsi="Segoe UI" w:cs="Segoe UI"/>
          <w:color w:val="000000"/>
          <w:lang w:eastAsia="it-IT"/>
        </w:rPr>
        <w:t>) nel contesto giuridico dell’Unione europea con riferimento alla rendicontazione non finanziaria</w:t>
      </w:r>
      <w:r w:rsidR="00E9660C">
        <w:rPr>
          <w:rFonts w:ascii="Segoe UI" w:hAnsi="Segoe UI" w:cs="Segoe UI"/>
          <w:color w:val="000000"/>
          <w:lang w:eastAsia="it-IT"/>
        </w:rPr>
        <w:t xml:space="preserve">, quasi a voler, il legislatore, iniziare a </w:t>
      </w:r>
      <w:r w:rsidR="00E9660C" w:rsidRPr="00DF19A3">
        <w:rPr>
          <w:rFonts w:ascii="Segoe UI" w:hAnsi="Segoe UI" w:cs="Segoe UI"/>
          <w:color w:val="000000"/>
          <w:lang w:eastAsia="it-IT"/>
        </w:rPr>
        <w:t xml:space="preserve">“recepire”, ancorché in uno strumento normativo non vincolante </w:t>
      </w:r>
      <w:r w:rsidR="00E9660C">
        <w:rPr>
          <w:rFonts w:ascii="Segoe UI" w:hAnsi="Segoe UI" w:cs="Segoe UI"/>
          <w:color w:val="000000"/>
          <w:lang w:eastAsia="it-IT"/>
        </w:rPr>
        <w:t xml:space="preserve">di </w:t>
      </w:r>
      <w:r w:rsidR="00E9660C" w:rsidRPr="00DF19A3">
        <w:rPr>
          <w:rFonts w:ascii="Segoe UI" w:hAnsi="Segoe UI" w:cs="Segoe UI"/>
          <w:i/>
          <w:color w:val="000000"/>
          <w:lang w:eastAsia="it-IT"/>
        </w:rPr>
        <w:t>soft law</w:t>
      </w:r>
      <w:r w:rsidRPr="00E9660C">
        <w:rPr>
          <w:rFonts w:ascii="Segoe UI" w:hAnsi="Segoe UI" w:cs="Segoe UI"/>
          <w:color w:val="000000"/>
          <w:lang w:eastAsia="it-IT"/>
        </w:rPr>
        <w:t>,</w:t>
      </w:r>
      <w:r w:rsidRPr="00DF19A3">
        <w:rPr>
          <w:rFonts w:ascii="Segoe UI" w:hAnsi="Segoe UI" w:cs="Segoe UI"/>
          <w:color w:val="000000"/>
          <w:lang w:eastAsia="it-IT"/>
        </w:rPr>
        <w:t xml:space="preserve"> appunto, l’interpretazione che attribuisce al concetto di “</w:t>
      </w:r>
      <w:r w:rsidRPr="00DF19A3">
        <w:rPr>
          <w:rFonts w:ascii="Segoe UI" w:hAnsi="Segoe UI" w:cs="Segoe UI"/>
          <w:i/>
          <w:color w:val="000000"/>
          <w:lang w:eastAsia="it-IT"/>
        </w:rPr>
        <w:t>material</w:t>
      </w:r>
      <w:r w:rsidRPr="00DF19A3">
        <w:rPr>
          <w:rFonts w:ascii="Segoe UI" w:hAnsi="Segoe UI" w:cs="Segoe UI"/>
          <w:color w:val="000000"/>
          <w:lang w:eastAsia="it-IT"/>
        </w:rPr>
        <w:t>” un significato sostanzialmente diverso rispetto al concetto di “</w:t>
      </w:r>
      <w:r w:rsidRPr="00DF19A3">
        <w:rPr>
          <w:rFonts w:ascii="Segoe UI" w:hAnsi="Segoe UI" w:cs="Segoe UI"/>
          <w:i/>
          <w:color w:val="000000"/>
          <w:lang w:eastAsia="it-IT"/>
        </w:rPr>
        <w:t>relevant</w:t>
      </w:r>
      <w:r w:rsidRPr="00DF19A3">
        <w:rPr>
          <w:rFonts w:ascii="Segoe UI" w:hAnsi="Segoe UI" w:cs="Segoe UI"/>
          <w:color w:val="000000"/>
          <w:lang w:eastAsia="it-IT"/>
        </w:rPr>
        <w:t>”</w:t>
      </w:r>
      <w:r w:rsidR="00E9660C">
        <w:rPr>
          <w:rFonts w:ascii="Segoe UI" w:hAnsi="Segoe UI" w:cs="Segoe UI"/>
          <w:color w:val="000000"/>
          <w:lang w:eastAsia="it-IT"/>
        </w:rPr>
        <w:t>. N</w:t>
      </w:r>
      <w:r w:rsidRPr="00DF19A3">
        <w:rPr>
          <w:rFonts w:ascii="Segoe UI" w:hAnsi="Segoe UI" w:cs="Segoe UI"/>
          <w:color w:val="000000"/>
          <w:lang w:eastAsia="it-IT"/>
        </w:rPr>
        <w:t>ella versione italiana degli Orientamenti, viceversa, tale opportunità non è stata colta e il termine “materiale” è assente, se non in un’unica circostanza, nella quale, tuttavia, è assolutamente inidoneo a delineare le differenze semantiche con il termine “rilevante”: in effetti, nel paragrafo 2, “Scopo”, si legge anche: “L’intento (n.d.r.: del legislatore, o del documento) è quello di fornire orientamenti equilibrati e flessibili in materia di comunicazione di informazioni di carattere non finanziario in modo tale da aiutare le imprese a comunicare informazioni materiali in maniera coerente e sistematica. Per quanto possibile, i presenti orientamenti dovrebbero contribuire a garantire la comparabilità tra imprese e settori.”.</w:t>
      </w:r>
    </w:p>
    <w:p w14:paraId="0CE550A3" w14:textId="77777777" w:rsidR="0067575B" w:rsidRPr="00DF19A3" w:rsidRDefault="0067575B" w:rsidP="0067575B">
      <w:pPr>
        <w:autoSpaceDE w:val="0"/>
        <w:autoSpaceDN w:val="0"/>
        <w:adjustRightInd w:val="0"/>
        <w:spacing w:before="120" w:after="120" w:line="240" w:lineRule="auto"/>
        <w:jc w:val="both"/>
        <w:rPr>
          <w:rFonts w:ascii="Segoe UI" w:hAnsi="Segoe UI" w:cs="Segoe UI"/>
          <w:color w:val="000000"/>
          <w:lang w:eastAsia="it-IT"/>
        </w:rPr>
      </w:pPr>
    </w:p>
    <w:p w14:paraId="5453364F" w14:textId="77777777" w:rsidR="0067575B" w:rsidRPr="00DF19A3" w:rsidRDefault="0067575B" w:rsidP="0067575B">
      <w:pPr>
        <w:keepNext/>
        <w:keepLines/>
        <w:spacing w:before="120" w:after="120" w:line="240" w:lineRule="auto"/>
        <w:jc w:val="both"/>
        <w:rPr>
          <w:rFonts w:ascii="Segoe UI" w:hAnsi="Segoe UI" w:cs="Segoe UI"/>
          <w:lang w:eastAsia="it-IT"/>
        </w:rPr>
      </w:pPr>
      <w:r w:rsidRPr="00DF19A3">
        <w:rPr>
          <w:rFonts w:ascii="Segoe UI" w:hAnsi="Segoe UI" w:cs="Segoe UI"/>
          <w:lang w:eastAsia="it-IT"/>
        </w:rPr>
        <w:t>Traduzione: opzione 1 / Accezione: opzione 3</w:t>
      </w:r>
    </w:p>
    <w:p w14:paraId="17575E47" w14:textId="77777777" w:rsidR="0067575B" w:rsidRPr="00DF19A3" w:rsidRDefault="0067575B" w:rsidP="008E4785">
      <w:pPr>
        <w:keepNext/>
        <w:keepLines/>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Negli Orientamenti si riscontrano poi anche casi in cui la traduzione appare effettivamente inesatta (se non erronea) rispetto alla versione originaria; naturalmente, ciò non inficia di per sé la comprensione del concetto di rilevanza sul piano tecnico, nella misura in cui in tali circostanze non si risconta una fattispecie di ambiguità concettuale bensì soltanto una traduzione alquanto superficiale; di seguito si fornisce un esempio di tale eventualità:</w:t>
      </w:r>
    </w:p>
    <w:p w14:paraId="0DC87AA6" w14:textId="77777777" w:rsidR="0067575B" w:rsidRPr="003720C0"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3720C0">
        <w:rPr>
          <w:rFonts w:ascii="Segoe UI" w:hAnsi="Segoe UI" w:cs="Segoe UI"/>
          <w:color w:val="525252" w:themeColor="accent3" w:themeShade="80"/>
          <w:sz w:val="20"/>
          <w:szCs w:val="20"/>
          <w:lang w:val="en-US" w:eastAsia="it-IT"/>
        </w:rPr>
        <w:t>“</w:t>
      </w:r>
      <w:r w:rsidRPr="003720C0">
        <w:rPr>
          <w:rFonts w:ascii="Segoe UI" w:hAnsi="Segoe UI" w:cs="Segoe UI"/>
          <w:bCs/>
          <w:color w:val="525252" w:themeColor="accent3" w:themeShade="80"/>
          <w:sz w:val="20"/>
          <w:szCs w:val="20"/>
          <w:lang w:val="en-US" w:eastAsia="it-IT"/>
        </w:rPr>
        <w:t>3.2 Fair, balanced and understandable</w:t>
      </w:r>
    </w:p>
    <w:p w14:paraId="5F15F643" w14:textId="77777777" w:rsidR="0067575B" w:rsidRPr="003720C0"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3720C0">
        <w:rPr>
          <w:rFonts w:ascii="Segoe UI" w:hAnsi="Segoe UI" w:cs="Segoe UI"/>
          <w:color w:val="525252" w:themeColor="accent3" w:themeShade="80"/>
          <w:sz w:val="20"/>
          <w:szCs w:val="20"/>
          <w:lang w:val="en-US" w:eastAsia="it-IT"/>
        </w:rPr>
        <w:t>[...]</w:t>
      </w:r>
    </w:p>
    <w:p w14:paraId="68955EE0" w14:textId="77777777" w:rsidR="0067575B" w:rsidRPr="003720C0" w:rsidRDefault="0067575B" w:rsidP="007F5442">
      <w:pPr>
        <w:spacing w:before="120" w:after="120" w:line="240" w:lineRule="auto"/>
        <w:ind w:left="284" w:right="282"/>
        <w:jc w:val="both"/>
        <w:rPr>
          <w:rFonts w:ascii="Segoe UI" w:hAnsi="Segoe UI" w:cs="Segoe UI"/>
          <w:color w:val="525252" w:themeColor="accent3" w:themeShade="80"/>
          <w:sz w:val="20"/>
          <w:szCs w:val="20"/>
          <w:lang w:val="en-US" w:eastAsia="it-IT"/>
        </w:rPr>
      </w:pPr>
      <w:r w:rsidRPr="003720C0">
        <w:rPr>
          <w:rFonts w:ascii="Segoe UI" w:hAnsi="Segoe UI" w:cs="Segoe UI"/>
          <w:color w:val="525252" w:themeColor="accent3" w:themeShade="80"/>
          <w:sz w:val="20"/>
          <w:szCs w:val="20"/>
          <w:lang w:val="en-US" w:eastAsia="it-IT"/>
        </w:rPr>
        <w:t>Disclosing information in a customary business language in addition to a company's national language is likely to improve a company's transparency and help make information more accessible for relevant investors and other stakeholders.”.</w:t>
      </w:r>
    </w:p>
    <w:p w14:paraId="45659EDA" w14:textId="77777777" w:rsidR="0067575B" w:rsidRPr="00DF19A3" w:rsidRDefault="0067575B" w:rsidP="008E4785">
      <w:pPr>
        <w:keepNext/>
        <w:keepLines/>
        <w:autoSpaceDE w:val="0"/>
        <w:autoSpaceDN w:val="0"/>
        <w:adjustRightInd w:val="0"/>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Questa proposizione è tradotta in italiano come segue:</w:t>
      </w:r>
    </w:p>
    <w:p w14:paraId="668BE51D" w14:textId="77777777" w:rsidR="0067575B" w:rsidRPr="007F5442" w:rsidRDefault="0067575B" w:rsidP="007F5442">
      <w:pPr>
        <w:keepNext/>
        <w:keepLines/>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w:t>
      </w:r>
      <w:r w:rsidRPr="007F5442">
        <w:rPr>
          <w:rFonts w:ascii="Segoe UI" w:hAnsi="Segoe UI" w:cs="Segoe UI"/>
          <w:bCs/>
          <w:color w:val="525252" w:themeColor="accent3" w:themeShade="80"/>
          <w:sz w:val="20"/>
          <w:szCs w:val="20"/>
          <w:lang w:eastAsia="it-IT"/>
        </w:rPr>
        <w:t>3.2 Informazioni corrette, equilibrate e comprensibili</w:t>
      </w:r>
    </w:p>
    <w:p w14:paraId="1FE17429" w14:textId="77777777" w:rsidR="0067575B" w:rsidRPr="007F5442" w:rsidRDefault="0067575B" w:rsidP="007F5442">
      <w:pPr>
        <w:keepNext/>
        <w:keepLines/>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w:t>
      </w:r>
    </w:p>
    <w:p w14:paraId="27320E94" w14:textId="77777777" w:rsidR="0067575B" w:rsidRPr="007F5442" w:rsidRDefault="0067575B" w:rsidP="007F5442">
      <w:pPr>
        <w:spacing w:before="120" w:after="120" w:line="240" w:lineRule="auto"/>
        <w:ind w:left="284" w:right="284"/>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Comunicare le informazioni impiegando una lingua degli affari comunemente utilizzata, in aggiunta alla lingua nazionale di un’impresa, può migliorare la trasparenza di tale impresa e contribuire a rendere le informazioni più accessibili agli investitori e alle altre parti interessate pertinenti.”.</w:t>
      </w:r>
    </w:p>
    <w:p w14:paraId="561D59E5" w14:textId="132F1563" w:rsidR="0067575B" w:rsidRPr="00DF19A3" w:rsidRDefault="0067575B" w:rsidP="0067575B">
      <w:pPr>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 xml:space="preserve">Conclusione: </w:t>
      </w:r>
      <w:r w:rsidRPr="00DF19A3">
        <w:rPr>
          <w:rFonts w:ascii="Segoe UI" w:hAnsi="Segoe UI" w:cs="Segoe UI"/>
        </w:rPr>
        <w:t xml:space="preserve">in questo caso, </w:t>
      </w:r>
      <w:r w:rsidR="00E865A3">
        <w:rPr>
          <w:rFonts w:ascii="Segoe UI" w:hAnsi="Segoe UI" w:cs="Segoe UI"/>
        </w:rPr>
        <w:t xml:space="preserve">al termine </w:t>
      </w:r>
      <w:r w:rsidRPr="00DF19A3">
        <w:rPr>
          <w:rFonts w:ascii="Segoe UI" w:hAnsi="Segoe UI" w:cs="Segoe UI"/>
        </w:rPr>
        <w:t>“</w:t>
      </w:r>
      <w:r w:rsidRPr="00DF19A3">
        <w:rPr>
          <w:rFonts w:ascii="Segoe UI" w:hAnsi="Segoe UI" w:cs="Segoe UI"/>
          <w:b/>
          <w:i/>
        </w:rPr>
        <w:t>r</w:t>
      </w:r>
      <w:r w:rsidRPr="00DF19A3">
        <w:rPr>
          <w:rFonts w:ascii="Segoe UI" w:hAnsi="Segoe UI" w:cs="Segoe UI"/>
          <w:b/>
          <w:i/>
          <w:color w:val="000000"/>
          <w:lang w:eastAsia="it-IT"/>
        </w:rPr>
        <w:t>elevant</w:t>
      </w:r>
      <w:r w:rsidRPr="00DF19A3">
        <w:rPr>
          <w:rFonts w:ascii="Segoe UI" w:hAnsi="Segoe UI" w:cs="Segoe UI"/>
          <w:color w:val="000000"/>
          <w:lang w:eastAsia="it-IT"/>
        </w:rPr>
        <w:t xml:space="preserve">” </w:t>
      </w:r>
      <w:r w:rsidR="00E865A3">
        <w:rPr>
          <w:rFonts w:ascii="Segoe UI" w:hAnsi="Segoe UI" w:cs="Segoe UI"/>
          <w:color w:val="000000"/>
          <w:lang w:eastAsia="it-IT"/>
        </w:rPr>
        <w:t xml:space="preserve">corrisponde </w:t>
      </w:r>
      <w:r w:rsidR="009D4EBB">
        <w:rPr>
          <w:rFonts w:ascii="Segoe UI" w:hAnsi="Segoe UI" w:cs="Segoe UI"/>
          <w:color w:val="000000"/>
          <w:lang w:eastAsia="it-IT"/>
        </w:rPr>
        <w:t xml:space="preserve">ancora </w:t>
      </w:r>
      <w:r w:rsidR="00E865A3">
        <w:rPr>
          <w:rFonts w:ascii="Segoe UI" w:hAnsi="Segoe UI" w:cs="Segoe UI"/>
          <w:color w:val="000000"/>
          <w:lang w:eastAsia="it-IT"/>
        </w:rPr>
        <w:t>i</w:t>
      </w:r>
      <w:r w:rsidRPr="00DF19A3">
        <w:rPr>
          <w:rFonts w:ascii="Segoe UI" w:hAnsi="Segoe UI" w:cs="Segoe UI"/>
          <w:color w:val="000000"/>
          <w:lang w:eastAsia="it-IT"/>
        </w:rPr>
        <w:t>l te</w:t>
      </w:r>
      <w:r w:rsidR="00C35DF4">
        <w:rPr>
          <w:rFonts w:ascii="Segoe UI" w:hAnsi="Segoe UI" w:cs="Segoe UI"/>
          <w:color w:val="000000"/>
          <w:lang w:eastAsia="it-IT"/>
        </w:rPr>
        <w:t>r</w:t>
      </w:r>
      <w:r w:rsidRPr="00DF19A3">
        <w:rPr>
          <w:rFonts w:ascii="Segoe UI" w:hAnsi="Segoe UI" w:cs="Segoe UI"/>
          <w:color w:val="000000"/>
          <w:lang w:eastAsia="it-IT"/>
        </w:rPr>
        <w:t>mine “</w:t>
      </w:r>
      <w:r w:rsidRPr="00DF19A3">
        <w:rPr>
          <w:rFonts w:ascii="Segoe UI" w:hAnsi="Segoe UI" w:cs="Segoe UI"/>
          <w:b/>
          <w:color w:val="000000"/>
          <w:lang w:eastAsia="it-IT"/>
        </w:rPr>
        <w:t>pertinente</w:t>
      </w:r>
      <w:r w:rsidRPr="00DF19A3">
        <w:rPr>
          <w:rFonts w:ascii="Segoe UI" w:hAnsi="Segoe UI" w:cs="Segoe UI"/>
          <w:color w:val="000000"/>
          <w:lang w:eastAsia="it-IT"/>
        </w:rPr>
        <w:t xml:space="preserve">” (prima opzione di traduzione illustrata) e, tuttavia, sembra evidente l’inadeguatezza del lemma in tale proposizione: infatti, nell’accezione qui sottesa con riferimento agli </w:t>
      </w:r>
      <w:r w:rsidRPr="00DF19A3">
        <w:rPr>
          <w:rFonts w:ascii="Segoe UI" w:hAnsi="Segoe UI" w:cs="Segoe UI"/>
          <w:i/>
          <w:color w:val="000000"/>
          <w:lang w:eastAsia="it-IT"/>
        </w:rPr>
        <w:t>stakeholder</w:t>
      </w:r>
      <w:r w:rsidRPr="00DF19A3">
        <w:rPr>
          <w:rFonts w:ascii="Segoe UI" w:hAnsi="Segoe UI" w:cs="Segoe UI"/>
          <w:color w:val="000000"/>
          <w:lang w:eastAsia="it-IT"/>
        </w:rPr>
        <w:t>, risulta generalizzato, sia in letteratura sia nel linguaggio più comune, l’impiego delle locuzioni “</w:t>
      </w:r>
      <w:r w:rsidRPr="00DF19A3">
        <w:rPr>
          <w:rFonts w:ascii="Segoe UI" w:hAnsi="Segoe UI" w:cs="Segoe UI"/>
          <w:i/>
          <w:color w:val="000000"/>
          <w:lang w:eastAsia="it-IT"/>
        </w:rPr>
        <w:t>stakeholder</w:t>
      </w:r>
      <w:r w:rsidRPr="00DF19A3">
        <w:rPr>
          <w:rFonts w:ascii="Segoe UI" w:hAnsi="Segoe UI" w:cs="Segoe UI"/>
          <w:color w:val="000000"/>
          <w:lang w:eastAsia="it-IT"/>
        </w:rPr>
        <w:t xml:space="preserve"> rilevanti” o “</w:t>
      </w:r>
      <w:r w:rsidRPr="00DF19A3">
        <w:rPr>
          <w:rFonts w:ascii="Segoe UI" w:hAnsi="Segoe UI" w:cs="Segoe UI"/>
          <w:i/>
          <w:color w:val="000000"/>
          <w:lang w:eastAsia="it-IT"/>
        </w:rPr>
        <w:t>stakeholder</w:t>
      </w:r>
      <w:r w:rsidRPr="00DF19A3">
        <w:rPr>
          <w:rFonts w:ascii="Segoe UI" w:hAnsi="Segoe UI" w:cs="Segoe UI"/>
          <w:color w:val="000000"/>
          <w:lang w:eastAsia="it-IT"/>
        </w:rPr>
        <w:t xml:space="preserve"> primari” (benché le due abbiano in verità un significato non esattamente coincidente) per indicare i portatori di interesse “di riferimento principale” di una organizzazione; la parola “pertinente” risulta invece qui ambigua (ambiguità che risiede, giova ripeterlo, nel riferimento</w:t>
      </w:r>
      <w:r w:rsidR="00D54CD6">
        <w:rPr>
          <w:rFonts w:ascii="Segoe UI" w:hAnsi="Segoe UI" w:cs="Segoe UI"/>
          <w:color w:val="000000"/>
          <w:lang w:eastAsia="it-IT"/>
        </w:rPr>
        <w:t>,</w:t>
      </w:r>
      <w:r w:rsidRPr="00DF19A3">
        <w:rPr>
          <w:rFonts w:ascii="Segoe UI" w:hAnsi="Segoe UI" w:cs="Segoe UI"/>
          <w:color w:val="000000"/>
          <w:lang w:eastAsia="it-IT"/>
        </w:rPr>
        <w:t xml:space="preserve"> non nel significato attribuito al concetto dal redattore).</w:t>
      </w:r>
    </w:p>
    <w:p w14:paraId="2AB9FFED" w14:textId="77777777" w:rsidR="0067575B" w:rsidRPr="00DF19A3" w:rsidRDefault="0067575B" w:rsidP="0067575B">
      <w:pPr>
        <w:spacing w:before="120" w:after="120" w:line="240" w:lineRule="auto"/>
        <w:jc w:val="both"/>
        <w:rPr>
          <w:rFonts w:ascii="Segoe UI" w:hAnsi="Segoe UI" w:cs="Segoe UI"/>
          <w:lang w:eastAsia="it-IT"/>
        </w:rPr>
      </w:pPr>
    </w:p>
    <w:p w14:paraId="3C9BDF38" w14:textId="77777777" w:rsidR="0067575B" w:rsidRPr="00DF19A3" w:rsidRDefault="0067575B" w:rsidP="0067575B">
      <w:pPr>
        <w:keepNext/>
        <w:keepLines/>
        <w:spacing w:before="120" w:after="120" w:line="240" w:lineRule="auto"/>
        <w:jc w:val="both"/>
        <w:rPr>
          <w:rFonts w:ascii="Segoe UI" w:hAnsi="Segoe UI" w:cs="Segoe UI"/>
          <w:lang w:eastAsia="it-IT"/>
        </w:rPr>
      </w:pPr>
      <w:r w:rsidRPr="00DF19A3">
        <w:rPr>
          <w:rFonts w:ascii="Segoe UI" w:hAnsi="Segoe UI" w:cs="Segoe UI"/>
          <w:lang w:eastAsia="it-IT"/>
        </w:rPr>
        <w:t>Traduzione: opzione 1 / Accezione: opzione 2</w:t>
      </w:r>
    </w:p>
    <w:p w14:paraId="42CF430E" w14:textId="458CFB92" w:rsidR="0067575B" w:rsidRPr="00DF19A3" w:rsidRDefault="0067575B" w:rsidP="0067575B">
      <w:pPr>
        <w:keepNext/>
        <w:keepLines/>
        <w:spacing w:before="120" w:after="120" w:line="240" w:lineRule="auto"/>
        <w:jc w:val="both"/>
        <w:rPr>
          <w:rFonts w:ascii="Segoe UI" w:hAnsi="Segoe UI" w:cs="Segoe UI"/>
          <w:lang w:eastAsia="it-IT"/>
        </w:rPr>
      </w:pPr>
      <w:r w:rsidRPr="00DF19A3">
        <w:rPr>
          <w:rFonts w:ascii="Segoe UI" w:hAnsi="Segoe UI" w:cs="Segoe UI"/>
          <w:lang w:eastAsia="it-IT"/>
        </w:rPr>
        <w:t xml:space="preserve">Di seguito si fornisce un’ulteriore circostanza in cui </w:t>
      </w:r>
      <w:r w:rsidR="00D54CD6">
        <w:rPr>
          <w:rFonts w:ascii="Segoe UI" w:hAnsi="Segoe UI" w:cs="Segoe UI"/>
          <w:lang w:eastAsia="it-IT"/>
        </w:rPr>
        <w:t>nella versione italiana sembra si sia persa</w:t>
      </w:r>
      <w:r w:rsidRPr="00DF19A3">
        <w:rPr>
          <w:rFonts w:ascii="Segoe UI" w:hAnsi="Segoe UI" w:cs="Segoe UI"/>
          <w:lang w:eastAsia="it-IT"/>
        </w:rPr>
        <w:t xml:space="preserve"> l’opportunità di adottare il termine “rilevante” nell’accezione (opzione 2) che appare più comprensibile e coerente rispetto ai concetti illustrati negli Orientamenti:</w:t>
      </w:r>
    </w:p>
    <w:p w14:paraId="244C5684" w14:textId="77777777" w:rsidR="0067575B" w:rsidRPr="007F5442"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7F5442">
        <w:rPr>
          <w:rFonts w:ascii="Segoe UI" w:hAnsi="Segoe UI" w:cs="Segoe UI"/>
          <w:color w:val="525252" w:themeColor="accent3" w:themeShade="80"/>
          <w:sz w:val="20"/>
          <w:szCs w:val="20"/>
          <w:lang w:val="en-US" w:eastAsia="it-IT"/>
        </w:rPr>
        <w:t>“</w:t>
      </w:r>
      <w:r w:rsidRPr="007F5442">
        <w:rPr>
          <w:rFonts w:ascii="Segoe UI" w:hAnsi="Segoe UI" w:cs="Segoe UI"/>
          <w:bCs/>
          <w:color w:val="525252" w:themeColor="accent3" w:themeShade="80"/>
          <w:sz w:val="20"/>
          <w:szCs w:val="20"/>
          <w:lang w:val="en-US" w:eastAsia="it-IT"/>
        </w:rPr>
        <w:t>4.3 Outcome</w:t>
      </w:r>
    </w:p>
    <w:p w14:paraId="1F9FC50C" w14:textId="77777777" w:rsidR="0067575B" w:rsidRPr="007F5442" w:rsidRDefault="0067575B" w:rsidP="007F5442">
      <w:pPr>
        <w:keepNext/>
        <w:keepLines/>
        <w:spacing w:before="120" w:after="120" w:line="240" w:lineRule="auto"/>
        <w:ind w:left="284" w:right="282"/>
        <w:jc w:val="both"/>
        <w:rPr>
          <w:rFonts w:ascii="Segoe UI" w:hAnsi="Segoe UI" w:cs="Segoe UI"/>
          <w:color w:val="525252" w:themeColor="accent3" w:themeShade="80"/>
          <w:sz w:val="20"/>
          <w:szCs w:val="20"/>
          <w:lang w:val="en-US" w:eastAsia="it-IT"/>
        </w:rPr>
      </w:pPr>
      <w:r w:rsidRPr="007F5442">
        <w:rPr>
          <w:rFonts w:ascii="Segoe UI" w:hAnsi="Segoe UI" w:cs="Segoe UI"/>
          <w:color w:val="525252" w:themeColor="accent3" w:themeShade="80"/>
          <w:sz w:val="20"/>
          <w:szCs w:val="20"/>
          <w:lang w:val="en-US" w:eastAsia="it-IT"/>
        </w:rPr>
        <w:t>[...]</w:t>
      </w:r>
    </w:p>
    <w:p w14:paraId="4F570E96" w14:textId="77777777" w:rsidR="0067575B" w:rsidRPr="007F5442" w:rsidRDefault="0067575B" w:rsidP="007F5442">
      <w:pPr>
        <w:spacing w:before="120" w:after="120" w:line="240" w:lineRule="auto"/>
        <w:ind w:left="284" w:right="282"/>
        <w:jc w:val="both"/>
        <w:rPr>
          <w:rFonts w:ascii="Segoe UI" w:hAnsi="Segoe UI" w:cs="Segoe UI"/>
          <w:color w:val="525252" w:themeColor="accent3" w:themeShade="80"/>
          <w:sz w:val="20"/>
          <w:szCs w:val="20"/>
          <w:lang w:val="en-US" w:eastAsia="it-IT"/>
        </w:rPr>
      </w:pPr>
      <w:r w:rsidRPr="007F5442">
        <w:rPr>
          <w:rFonts w:ascii="Segoe UI" w:hAnsi="Segoe UI" w:cs="Segoe UI"/>
          <w:color w:val="525252" w:themeColor="accent3" w:themeShade="80"/>
          <w:sz w:val="20"/>
          <w:szCs w:val="20"/>
          <w:lang w:val="en-US" w:eastAsia="it-IT"/>
        </w:rPr>
        <w:t>The analysis of outcomes should include relevant non-financial KPIs.”.</w:t>
      </w:r>
    </w:p>
    <w:p w14:paraId="59D7774B" w14:textId="77777777" w:rsidR="0067575B" w:rsidRPr="00DF19A3" w:rsidRDefault="0067575B" w:rsidP="003720C0">
      <w:pPr>
        <w:keepNext/>
        <w:keepLines/>
        <w:autoSpaceDE w:val="0"/>
        <w:autoSpaceDN w:val="0"/>
        <w:adjustRightInd w:val="0"/>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Nella versione italiana la frase risulta come segue:</w:t>
      </w:r>
    </w:p>
    <w:p w14:paraId="3A085A2E" w14:textId="77777777" w:rsidR="0067575B" w:rsidRPr="007F5442"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w:t>
      </w:r>
      <w:r w:rsidRPr="007F5442">
        <w:rPr>
          <w:rFonts w:ascii="Segoe UI" w:hAnsi="Segoe UI" w:cs="Segoe UI"/>
          <w:bCs/>
          <w:color w:val="525252" w:themeColor="accent3" w:themeShade="80"/>
          <w:sz w:val="20"/>
          <w:szCs w:val="20"/>
          <w:lang w:eastAsia="it-IT"/>
        </w:rPr>
        <w:t>4.3 Risultato</w:t>
      </w:r>
    </w:p>
    <w:p w14:paraId="6D7859B2" w14:textId="77777777" w:rsidR="0067575B" w:rsidRPr="007F5442" w:rsidRDefault="0067575B" w:rsidP="007F5442">
      <w:pPr>
        <w:keepNext/>
        <w:keepLines/>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w:t>
      </w:r>
    </w:p>
    <w:p w14:paraId="3D15EA57" w14:textId="77777777" w:rsidR="0067575B" w:rsidRPr="007F5442" w:rsidRDefault="0067575B" w:rsidP="007F5442">
      <w:pPr>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L’analisi dei risultati dovrebbe includere indicatori fondamentali di prestazione pertinenti di carattere non finanziario.”.</w:t>
      </w:r>
    </w:p>
    <w:p w14:paraId="0CCBDC02" w14:textId="10543323" w:rsidR="0067575B" w:rsidRPr="00DF19A3" w:rsidRDefault="0067575B" w:rsidP="0067575B">
      <w:pPr>
        <w:autoSpaceDE w:val="0"/>
        <w:autoSpaceDN w:val="0"/>
        <w:adjustRightInd w:val="0"/>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Conclusione: in questo caso, in cui</w:t>
      </w:r>
      <w:r w:rsidRPr="00DF19A3">
        <w:rPr>
          <w:rFonts w:ascii="Segoe UI" w:hAnsi="Segoe UI" w:cs="Segoe UI"/>
        </w:rPr>
        <w:t xml:space="preserve"> </w:t>
      </w:r>
      <w:r w:rsidR="000A76DB">
        <w:rPr>
          <w:rFonts w:ascii="Segoe UI" w:hAnsi="Segoe UI" w:cs="Segoe UI"/>
        </w:rPr>
        <w:t xml:space="preserve">al termine </w:t>
      </w:r>
      <w:r w:rsidRPr="00DF19A3">
        <w:rPr>
          <w:rFonts w:ascii="Segoe UI" w:hAnsi="Segoe UI" w:cs="Segoe UI"/>
        </w:rPr>
        <w:t>“</w:t>
      </w:r>
      <w:r w:rsidRPr="00DF19A3">
        <w:rPr>
          <w:rFonts w:ascii="Segoe UI" w:hAnsi="Segoe UI" w:cs="Segoe UI"/>
          <w:b/>
          <w:i/>
        </w:rPr>
        <w:t>r</w:t>
      </w:r>
      <w:r w:rsidRPr="00DF19A3">
        <w:rPr>
          <w:rFonts w:ascii="Segoe UI" w:hAnsi="Segoe UI" w:cs="Segoe UI"/>
          <w:b/>
          <w:i/>
          <w:color w:val="000000"/>
          <w:lang w:eastAsia="it-IT"/>
        </w:rPr>
        <w:t>elevant</w:t>
      </w:r>
      <w:r w:rsidRPr="00DF19A3">
        <w:rPr>
          <w:rFonts w:ascii="Segoe UI" w:hAnsi="Segoe UI" w:cs="Segoe UI"/>
          <w:color w:val="000000"/>
          <w:lang w:eastAsia="it-IT"/>
        </w:rPr>
        <w:t xml:space="preserve">” </w:t>
      </w:r>
      <w:r w:rsidR="000A76DB">
        <w:rPr>
          <w:rFonts w:ascii="Segoe UI" w:hAnsi="Segoe UI" w:cs="Segoe UI"/>
          <w:color w:val="000000"/>
          <w:lang w:eastAsia="it-IT"/>
        </w:rPr>
        <w:t>corrisponde i</w:t>
      </w:r>
      <w:r w:rsidRPr="00DF19A3">
        <w:rPr>
          <w:rFonts w:ascii="Segoe UI" w:hAnsi="Segoe UI" w:cs="Segoe UI"/>
          <w:color w:val="000000"/>
          <w:lang w:eastAsia="it-IT"/>
        </w:rPr>
        <w:t>l te</w:t>
      </w:r>
      <w:r w:rsidR="00C35DF4">
        <w:rPr>
          <w:rFonts w:ascii="Segoe UI" w:hAnsi="Segoe UI" w:cs="Segoe UI"/>
          <w:color w:val="000000"/>
          <w:lang w:eastAsia="it-IT"/>
        </w:rPr>
        <w:t>r</w:t>
      </w:r>
      <w:r w:rsidRPr="00DF19A3">
        <w:rPr>
          <w:rFonts w:ascii="Segoe UI" w:hAnsi="Segoe UI" w:cs="Segoe UI"/>
          <w:color w:val="000000"/>
          <w:lang w:eastAsia="it-IT"/>
        </w:rPr>
        <w:t>mine “</w:t>
      </w:r>
      <w:r w:rsidRPr="00DF19A3">
        <w:rPr>
          <w:rFonts w:ascii="Segoe UI" w:hAnsi="Segoe UI" w:cs="Segoe UI"/>
          <w:b/>
          <w:color w:val="000000"/>
          <w:lang w:eastAsia="it-IT"/>
        </w:rPr>
        <w:t>pertinente</w:t>
      </w:r>
      <w:r w:rsidRPr="00DF19A3">
        <w:rPr>
          <w:rFonts w:ascii="Segoe UI" w:hAnsi="Segoe UI" w:cs="Segoe UI"/>
          <w:color w:val="000000"/>
          <w:lang w:eastAsia="it-IT"/>
        </w:rPr>
        <w:t>”, di nuovo, non si comprende per quale motivo non sia stato adottato il termine “rilevante</w:t>
      </w:r>
      <w:r w:rsidR="00E865A3">
        <w:rPr>
          <w:rFonts w:ascii="Segoe UI" w:hAnsi="Segoe UI" w:cs="Segoe UI"/>
          <w:color w:val="000000"/>
          <w:lang w:eastAsia="it-IT"/>
        </w:rPr>
        <w:t>”</w:t>
      </w:r>
      <w:r w:rsidRPr="00DF19A3">
        <w:rPr>
          <w:rFonts w:ascii="Segoe UI" w:hAnsi="Segoe UI" w:cs="Segoe UI"/>
          <w:color w:val="000000"/>
          <w:lang w:eastAsia="it-IT"/>
        </w:rPr>
        <w:t xml:space="preserve"> con l’accezione di cui all’opzione 2.</w:t>
      </w:r>
    </w:p>
    <w:p w14:paraId="03C3E863" w14:textId="77777777" w:rsidR="0067575B" w:rsidRPr="00DF19A3" w:rsidRDefault="0067575B" w:rsidP="0067575B">
      <w:pPr>
        <w:autoSpaceDE w:val="0"/>
        <w:autoSpaceDN w:val="0"/>
        <w:adjustRightInd w:val="0"/>
        <w:spacing w:before="120" w:after="120" w:line="240" w:lineRule="auto"/>
        <w:jc w:val="both"/>
        <w:rPr>
          <w:rFonts w:ascii="Segoe UI" w:hAnsi="Segoe UI" w:cs="Segoe UI"/>
          <w:color w:val="000000"/>
          <w:lang w:eastAsia="it-IT"/>
        </w:rPr>
      </w:pPr>
    </w:p>
    <w:p w14:paraId="0DB6BF29" w14:textId="77777777" w:rsidR="0067575B" w:rsidRPr="00DF19A3" w:rsidRDefault="0067575B" w:rsidP="0067575B">
      <w:pPr>
        <w:keepNext/>
        <w:keepLines/>
        <w:spacing w:before="120" w:after="120" w:line="240" w:lineRule="auto"/>
        <w:jc w:val="both"/>
        <w:rPr>
          <w:rFonts w:ascii="Segoe UI" w:hAnsi="Segoe UI" w:cs="Segoe UI"/>
          <w:lang w:eastAsia="it-IT"/>
        </w:rPr>
      </w:pPr>
      <w:r w:rsidRPr="00DF19A3">
        <w:rPr>
          <w:rFonts w:ascii="Segoe UI" w:hAnsi="Segoe UI" w:cs="Segoe UI"/>
          <w:lang w:eastAsia="it-IT"/>
        </w:rPr>
        <w:t>Traduzione: opzione 3 / Accezione: opzione 4</w:t>
      </w:r>
    </w:p>
    <w:p w14:paraId="36D04D47" w14:textId="048C040E" w:rsidR="0067575B" w:rsidRPr="00DF19A3" w:rsidRDefault="0067575B" w:rsidP="0067575B">
      <w:pPr>
        <w:autoSpaceDE w:val="0"/>
        <w:autoSpaceDN w:val="0"/>
        <w:adjustRightInd w:val="0"/>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Di seguito, si riporta un ultimo caso di diversa traduzione del termine “</w:t>
      </w:r>
      <w:r w:rsidRPr="00DF19A3">
        <w:rPr>
          <w:rFonts w:ascii="Segoe UI" w:hAnsi="Segoe UI" w:cs="Segoe UI"/>
          <w:i/>
          <w:color w:val="000000"/>
          <w:lang w:eastAsia="it-IT"/>
        </w:rPr>
        <w:t>relevant</w:t>
      </w:r>
      <w:r w:rsidRPr="00DF19A3">
        <w:rPr>
          <w:rFonts w:ascii="Segoe UI" w:hAnsi="Segoe UI" w:cs="Segoe UI"/>
          <w:color w:val="000000"/>
          <w:lang w:eastAsia="it-IT"/>
        </w:rPr>
        <w:t>” che non pone tuttavia alcun problema sotto il profilo della comprensione dei concetti di rilevanza e materi</w:t>
      </w:r>
      <w:r w:rsidR="00804D9D" w:rsidRPr="00DF19A3">
        <w:rPr>
          <w:rFonts w:ascii="Segoe UI" w:hAnsi="Segoe UI" w:cs="Segoe UI"/>
          <w:color w:val="000000"/>
          <w:lang w:eastAsia="it-IT"/>
        </w:rPr>
        <w:t>a</w:t>
      </w:r>
      <w:r w:rsidRPr="00DF19A3">
        <w:rPr>
          <w:rFonts w:ascii="Segoe UI" w:hAnsi="Segoe UI" w:cs="Segoe UI"/>
          <w:color w:val="000000"/>
          <w:lang w:eastAsia="it-IT"/>
        </w:rPr>
        <w:t>lità</w:t>
      </w:r>
      <w:r w:rsidR="00804D9D" w:rsidRPr="00DF19A3">
        <w:rPr>
          <w:rFonts w:ascii="Segoe UI" w:hAnsi="Segoe UI" w:cs="Segoe UI"/>
          <w:color w:val="000000"/>
          <w:lang w:eastAsia="it-IT"/>
        </w:rPr>
        <w:t>,</w:t>
      </w:r>
      <w:r w:rsidRPr="00DF19A3">
        <w:rPr>
          <w:rFonts w:ascii="Segoe UI" w:hAnsi="Segoe UI" w:cs="Segoe UI"/>
          <w:color w:val="000000"/>
          <w:lang w:eastAsia="it-IT"/>
        </w:rPr>
        <w:t xml:space="preserve"> perché </w:t>
      </w:r>
      <w:r w:rsidR="00804D9D" w:rsidRPr="00DF19A3">
        <w:rPr>
          <w:rFonts w:ascii="Segoe UI" w:hAnsi="Segoe UI" w:cs="Segoe UI"/>
          <w:color w:val="000000"/>
          <w:lang w:eastAsia="it-IT"/>
        </w:rPr>
        <w:t xml:space="preserve">inserito </w:t>
      </w:r>
      <w:r w:rsidRPr="00DF19A3">
        <w:rPr>
          <w:rFonts w:ascii="Segoe UI" w:hAnsi="Segoe UI" w:cs="Segoe UI"/>
          <w:color w:val="000000"/>
          <w:lang w:eastAsia="it-IT"/>
        </w:rPr>
        <w:t>in una locuzione e in un contesto completamente avulsi dagli stessi</w:t>
      </w:r>
      <w:r w:rsidR="00804D9D" w:rsidRPr="00DF19A3">
        <w:rPr>
          <w:rFonts w:ascii="Segoe UI" w:hAnsi="Segoe UI" w:cs="Segoe UI"/>
          <w:color w:val="000000"/>
          <w:lang w:eastAsia="it-IT"/>
        </w:rPr>
        <w:t>:</w:t>
      </w:r>
    </w:p>
    <w:p w14:paraId="70317E46" w14:textId="77777777" w:rsidR="0067575B" w:rsidRPr="007F5442"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7F5442">
        <w:rPr>
          <w:rFonts w:ascii="Segoe UI" w:hAnsi="Segoe UI" w:cs="Segoe UI"/>
          <w:bCs/>
          <w:color w:val="525252" w:themeColor="accent3" w:themeShade="80"/>
          <w:sz w:val="20"/>
          <w:szCs w:val="20"/>
          <w:lang w:val="en-US" w:eastAsia="it-IT"/>
        </w:rPr>
        <w:t>“4.6 Thematic aspects</w:t>
      </w:r>
    </w:p>
    <w:p w14:paraId="35C62955" w14:textId="77777777" w:rsidR="0067575B" w:rsidRPr="007F5442" w:rsidRDefault="0067575B" w:rsidP="007F5442">
      <w:pPr>
        <w:keepNext/>
        <w:keepLines/>
        <w:autoSpaceDE w:val="0"/>
        <w:autoSpaceDN w:val="0"/>
        <w:adjustRightInd w:val="0"/>
        <w:spacing w:before="120" w:after="120" w:line="240" w:lineRule="auto"/>
        <w:ind w:left="284" w:right="282"/>
        <w:jc w:val="both"/>
        <w:rPr>
          <w:rFonts w:ascii="Segoe UI" w:hAnsi="Segoe UI" w:cs="Segoe UI"/>
          <w:iCs/>
          <w:color w:val="525252" w:themeColor="accent3" w:themeShade="80"/>
          <w:sz w:val="20"/>
          <w:szCs w:val="20"/>
          <w:lang w:val="en-US" w:eastAsia="it-IT"/>
        </w:rPr>
      </w:pPr>
      <w:r w:rsidRPr="007F5442">
        <w:rPr>
          <w:rFonts w:ascii="Segoe UI" w:hAnsi="Segoe UI" w:cs="Segoe UI"/>
          <w:iCs/>
          <w:color w:val="525252" w:themeColor="accent3" w:themeShade="80"/>
          <w:sz w:val="20"/>
          <w:szCs w:val="20"/>
          <w:lang w:val="en-US" w:eastAsia="it-IT"/>
        </w:rPr>
        <w:t>[...]</w:t>
      </w:r>
    </w:p>
    <w:p w14:paraId="0E2C7CEC" w14:textId="77777777" w:rsidR="0067575B" w:rsidRPr="006231CC"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6231CC">
        <w:rPr>
          <w:rFonts w:ascii="Segoe UI" w:hAnsi="Segoe UI" w:cs="Segoe UI"/>
          <w:iCs/>
          <w:color w:val="525252" w:themeColor="accent3" w:themeShade="80"/>
          <w:sz w:val="20"/>
          <w:szCs w:val="20"/>
          <w:lang w:val="en-US" w:eastAsia="it-IT"/>
        </w:rPr>
        <w:t>e.</w:t>
      </w:r>
      <w:r w:rsidRPr="006231CC">
        <w:rPr>
          <w:rFonts w:ascii="Segoe UI" w:hAnsi="Segoe UI" w:cs="Segoe UI"/>
          <w:iCs/>
          <w:color w:val="525252" w:themeColor="accent3" w:themeShade="80"/>
          <w:sz w:val="20"/>
          <w:szCs w:val="20"/>
          <w:lang w:val="en-US" w:eastAsia="it-IT"/>
        </w:rPr>
        <w:tab/>
        <w:t>Others</w:t>
      </w:r>
    </w:p>
    <w:p w14:paraId="5BC11172" w14:textId="77777777" w:rsidR="0067575B" w:rsidRPr="007F5442"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7F5442">
        <w:rPr>
          <w:rFonts w:ascii="Segoe UI" w:hAnsi="Segoe UI" w:cs="Segoe UI"/>
          <w:color w:val="525252" w:themeColor="accent3" w:themeShade="80"/>
          <w:sz w:val="20"/>
          <w:szCs w:val="20"/>
          <w:lang w:val="en-US" w:eastAsia="it-IT"/>
        </w:rPr>
        <w:t>[...]</w:t>
      </w:r>
    </w:p>
    <w:p w14:paraId="18C72699" w14:textId="77777777" w:rsidR="0067575B" w:rsidRPr="007F5442"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7F5442">
        <w:rPr>
          <w:rFonts w:ascii="Segoe UI" w:hAnsi="Segoe UI" w:cs="Segoe UI"/>
          <w:color w:val="525252" w:themeColor="accent3" w:themeShade="80"/>
          <w:sz w:val="20"/>
          <w:szCs w:val="20"/>
          <w:lang w:val="en-US" w:eastAsia="it-IT"/>
        </w:rPr>
        <w:t>Conflict minerals</w:t>
      </w:r>
    </w:p>
    <w:p w14:paraId="2B206971" w14:textId="77777777" w:rsidR="0067575B" w:rsidRPr="007F5442" w:rsidRDefault="0067575B" w:rsidP="007F5442">
      <w:pPr>
        <w:spacing w:before="120" w:after="120" w:line="240" w:lineRule="auto"/>
        <w:ind w:left="284" w:right="282"/>
        <w:jc w:val="both"/>
        <w:rPr>
          <w:rFonts w:ascii="Segoe UI" w:hAnsi="Segoe UI" w:cs="Segoe UI"/>
          <w:color w:val="525252" w:themeColor="accent3" w:themeShade="80"/>
          <w:sz w:val="20"/>
          <w:szCs w:val="20"/>
          <w:lang w:val="en-US" w:eastAsia="it-IT"/>
        </w:rPr>
      </w:pPr>
      <w:r w:rsidRPr="007F5442">
        <w:rPr>
          <w:rFonts w:ascii="Segoe UI" w:hAnsi="Segoe UI" w:cs="Segoe UI"/>
          <w:color w:val="525252" w:themeColor="accent3" w:themeShade="80"/>
          <w:sz w:val="20"/>
          <w:szCs w:val="20"/>
          <w:lang w:val="en-US" w:eastAsia="it-IT"/>
        </w:rPr>
        <w:t>Companies, where relevant and proportionate, are expected to disclose relevant information on due diligence to ensure responsible supply chains for tin, tantalum, tungsten and gold from conflict-affected and high-risk areas.”.</w:t>
      </w:r>
    </w:p>
    <w:p w14:paraId="1579CDD3" w14:textId="0A843D7E" w:rsidR="0067575B" w:rsidRPr="00DF19A3" w:rsidRDefault="00804D9D" w:rsidP="00804D9D">
      <w:pPr>
        <w:keepNext/>
        <w:keepLines/>
        <w:autoSpaceDE w:val="0"/>
        <w:autoSpaceDN w:val="0"/>
        <w:adjustRightInd w:val="0"/>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La versione italiana della frase è la seguente:</w:t>
      </w:r>
    </w:p>
    <w:p w14:paraId="7CD9CCD9" w14:textId="77777777" w:rsidR="0067575B" w:rsidRPr="007F5442"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bCs/>
          <w:color w:val="525252" w:themeColor="accent3" w:themeShade="80"/>
          <w:sz w:val="20"/>
          <w:szCs w:val="20"/>
          <w:lang w:eastAsia="it-IT"/>
        </w:rPr>
        <w:t>“4.6 Aspetti tematici</w:t>
      </w:r>
    </w:p>
    <w:p w14:paraId="4A949FAF" w14:textId="77777777" w:rsidR="0067575B" w:rsidRPr="007F5442"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w:t>
      </w:r>
    </w:p>
    <w:p w14:paraId="42BEEA58" w14:textId="77777777" w:rsidR="0067575B" w:rsidRPr="007F5442"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e. Altri</w:t>
      </w:r>
    </w:p>
    <w:p w14:paraId="31310FC8" w14:textId="77777777" w:rsidR="0067575B" w:rsidRPr="007F5442"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w:t>
      </w:r>
    </w:p>
    <w:p w14:paraId="42372F04" w14:textId="77777777" w:rsidR="0067575B" w:rsidRPr="007F5442" w:rsidRDefault="0067575B"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Minerali provenienti da zone di conflitto</w:t>
      </w:r>
    </w:p>
    <w:p w14:paraId="5A13919B" w14:textId="77777777" w:rsidR="0067575B" w:rsidRPr="007F5442" w:rsidRDefault="0067575B" w:rsidP="007F5442">
      <w:pPr>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Ove opportuno e proporzionato le imprese dovrebbero divulgare informazioni pertinenti sulla dovuta diligenza per garantire catene di fornitura responsabili per stagno, tantalio, tungsteno e oro provenienti da zone colpite da conflitti e che presentano rischi elevati.”.</w:t>
      </w:r>
    </w:p>
    <w:p w14:paraId="2DCBD241" w14:textId="28CDD599" w:rsidR="0067575B" w:rsidRPr="00DF19A3" w:rsidRDefault="0067575B" w:rsidP="0067575B">
      <w:pPr>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 xml:space="preserve">Conclusione: in questo caso, </w:t>
      </w:r>
      <w:r w:rsidR="00E865A3">
        <w:rPr>
          <w:rFonts w:ascii="Segoe UI" w:hAnsi="Segoe UI" w:cs="Segoe UI"/>
          <w:color w:val="000000"/>
          <w:lang w:eastAsia="it-IT"/>
        </w:rPr>
        <w:t xml:space="preserve">al termine </w:t>
      </w:r>
      <w:r w:rsidRPr="00DF19A3">
        <w:rPr>
          <w:rFonts w:ascii="Segoe UI" w:hAnsi="Segoe UI" w:cs="Segoe UI"/>
          <w:color w:val="000000"/>
          <w:lang w:eastAsia="it-IT"/>
        </w:rPr>
        <w:t>“</w:t>
      </w:r>
      <w:r w:rsidRPr="00DF19A3">
        <w:rPr>
          <w:rFonts w:ascii="Segoe UI" w:hAnsi="Segoe UI" w:cs="Segoe UI"/>
          <w:b/>
          <w:color w:val="000000"/>
          <w:lang w:eastAsia="it-IT"/>
        </w:rPr>
        <w:t>relevant</w:t>
      </w:r>
      <w:r w:rsidRPr="00DF19A3">
        <w:rPr>
          <w:rFonts w:ascii="Segoe UI" w:hAnsi="Segoe UI" w:cs="Segoe UI"/>
          <w:color w:val="000000"/>
          <w:lang w:eastAsia="it-IT"/>
        </w:rPr>
        <w:t xml:space="preserve">” </w:t>
      </w:r>
      <w:r w:rsidR="00E865A3">
        <w:rPr>
          <w:rFonts w:ascii="Segoe UI" w:hAnsi="Segoe UI" w:cs="Segoe UI"/>
          <w:color w:val="000000"/>
          <w:lang w:eastAsia="it-IT"/>
        </w:rPr>
        <w:t xml:space="preserve">corrisponde il termine </w:t>
      </w:r>
      <w:r w:rsidRPr="00DF19A3">
        <w:rPr>
          <w:rFonts w:ascii="Segoe UI" w:hAnsi="Segoe UI" w:cs="Segoe UI"/>
          <w:color w:val="000000"/>
          <w:lang w:eastAsia="it-IT"/>
        </w:rPr>
        <w:t>“</w:t>
      </w:r>
      <w:r w:rsidRPr="00DF19A3">
        <w:rPr>
          <w:rFonts w:ascii="Segoe UI" w:hAnsi="Segoe UI" w:cs="Segoe UI"/>
          <w:b/>
          <w:color w:val="000000"/>
          <w:lang w:eastAsia="it-IT"/>
        </w:rPr>
        <w:t>opportuno</w:t>
      </w:r>
      <w:r w:rsidRPr="00DF19A3">
        <w:rPr>
          <w:rFonts w:ascii="Segoe UI" w:hAnsi="Segoe UI" w:cs="Segoe UI"/>
          <w:color w:val="000000"/>
          <w:lang w:eastAsia="it-IT"/>
        </w:rPr>
        <w:t>” in un significato inequivocabile che rimanda alla locuzione “</w:t>
      </w:r>
      <w:r w:rsidRPr="00DF19A3">
        <w:rPr>
          <w:rFonts w:ascii="Segoe UI" w:hAnsi="Segoe UI" w:cs="Segoe UI"/>
          <w:i/>
          <w:color w:val="000000"/>
          <w:lang w:eastAsia="it-IT"/>
        </w:rPr>
        <w:t>where relevant and proportionate</w:t>
      </w:r>
      <w:r w:rsidRPr="00DF19A3">
        <w:rPr>
          <w:rFonts w:ascii="Segoe UI" w:hAnsi="Segoe UI" w:cs="Segoe UI"/>
          <w:color w:val="000000"/>
          <w:lang w:eastAsia="it-IT"/>
        </w:rPr>
        <w:t>” (“</w:t>
      </w:r>
      <w:r w:rsidRPr="00DF19A3">
        <w:rPr>
          <w:rFonts w:ascii="Segoe UI" w:hAnsi="Segoe UI" w:cs="Segoe UI"/>
          <w:i/>
          <w:color w:val="000000"/>
          <w:lang w:eastAsia="it-IT"/>
        </w:rPr>
        <w:t>ove opportuno e proporzionato</w:t>
      </w:r>
      <w:r w:rsidRPr="00DF19A3">
        <w:rPr>
          <w:rFonts w:ascii="Segoe UI" w:hAnsi="Segoe UI" w:cs="Segoe UI"/>
          <w:color w:val="000000"/>
          <w:lang w:eastAsia="it-IT"/>
        </w:rPr>
        <w:t xml:space="preserve">”) più volte presente nella direttiva 2014/95/UE (e nella sua versione in italiano) sia nei </w:t>
      </w:r>
      <w:r w:rsidRPr="00DF19A3">
        <w:rPr>
          <w:rFonts w:ascii="Segoe UI" w:hAnsi="Segoe UI" w:cs="Segoe UI"/>
          <w:i/>
          <w:color w:val="000000"/>
          <w:lang w:eastAsia="it-IT"/>
        </w:rPr>
        <w:t xml:space="preserve">considerando </w:t>
      </w:r>
      <w:r w:rsidRPr="00DF19A3">
        <w:rPr>
          <w:rFonts w:ascii="Segoe UI" w:hAnsi="Segoe UI" w:cs="Segoe UI"/>
          <w:color w:val="000000"/>
          <w:lang w:eastAsia="it-IT"/>
        </w:rPr>
        <w:t xml:space="preserve">(con riguardo alle informazioni sulla </w:t>
      </w:r>
      <w:r w:rsidRPr="00DF19A3">
        <w:rPr>
          <w:rFonts w:ascii="Segoe UI" w:hAnsi="Segoe UI" w:cs="Segoe UI"/>
          <w:i/>
          <w:color w:val="000000"/>
          <w:lang w:eastAsia="it-IT"/>
        </w:rPr>
        <w:t>due diligence</w:t>
      </w:r>
      <w:r w:rsidRPr="00DF19A3">
        <w:rPr>
          <w:rFonts w:ascii="Segoe UI" w:hAnsi="Segoe UI" w:cs="Segoe UI"/>
          <w:color w:val="000000"/>
          <w:lang w:eastAsia="it-IT"/>
        </w:rPr>
        <w:t xml:space="preserve"> relative al</w:t>
      </w:r>
      <w:r w:rsidRPr="00DF19A3">
        <w:rPr>
          <w:rFonts w:ascii="Segoe UI" w:hAnsi="Segoe UI" w:cs="Segoe UI"/>
        </w:rPr>
        <w:t>le catene di fornitura e subappalto delle imprese e sugli aspetti legati a rischi di gravi ripercussioni negative potenzialmente derivanti, oltre che dalle attività proprie dell'impresa, anche ai suoi prodotti, servizi e rapporti commerciali, incluse le catene di fornitura e subappalto)</w:t>
      </w:r>
      <w:r w:rsidRPr="00DF19A3">
        <w:rPr>
          <w:rFonts w:ascii="Segoe UI" w:hAnsi="Segoe UI" w:cs="Segoe UI"/>
          <w:color w:val="000000"/>
          <w:lang w:eastAsia="it-IT"/>
        </w:rPr>
        <w:t xml:space="preserve"> sia nel </w:t>
      </w:r>
      <w:r w:rsidRPr="00DF19A3">
        <w:rPr>
          <w:rFonts w:ascii="Segoe UI" w:hAnsi="Segoe UI" w:cs="Segoe UI"/>
          <w:i/>
          <w:color w:val="000000"/>
          <w:lang w:eastAsia="it-IT"/>
        </w:rPr>
        <w:t>corpus</w:t>
      </w:r>
      <w:r w:rsidRPr="00DF19A3">
        <w:rPr>
          <w:rFonts w:ascii="Segoe UI" w:hAnsi="Segoe UI" w:cs="Segoe UI"/>
          <w:color w:val="000000"/>
          <w:lang w:eastAsia="it-IT"/>
        </w:rPr>
        <w:t xml:space="preserve"> normativo (con riguardo alle informazioni da fornire nella dichiarazione non finanziaria sui </w:t>
      </w:r>
      <w:r w:rsidRPr="00DF19A3">
        <w:rPr>
          <w:rFonts w:ascii="Segoe UI" w:hAnsi="Segoe UI" w:cs="Segoe UI"/>
        </w:rPr>
        <w:t xml:space="preserve">principali rischi connessi ai </w:t>
      </w:r>
      <w:r w:rsidRPr="00DF19A3">
        <w:rPr>
          <w:rFonts w:ascii="Segoe UI" w:hAnsi="Segoe UI" w:cs="Segoe UI"/>
          <w:i/>
        </w:rPr>
        <w:t>driver</w:t>
      </w:r>
      <w:r w:rsidRPr="00DF19A3">
        <w:rPr>
          <w:rFonts w:ascii="Segoe UI" w:hAnsi="Segoe UI" w:cs="Segoe UI"/>
        </w:rPr>
        <w:t xml:space="preserve"> di sostenibilità “</w:t>
      </w:r>
      <w:r w:rsidRPr="00DF19A3">
        <w:rPr>
          <w:rFonts w:ascii="Segoe UI" w:hAnsi="Segoe UI" w:cs="Segoe UI"/>
          <w:i/>
        </w:rPr>
        <w:t>legati alle attività dell'impresa anche in riferimento ... ... ai suoi rapporti, prodotti e servizi commerciali che possono avere ripercussioni negative in tali ambiti, nonché le relative modalità di gestione adottate dall'impresa</w:t>
      </w:r>
      <w:r w:rsidRPr="00DF19A3">
        <w:rPr>
          <w:rFonts w:ascii="Segoe UI" w:hAnsi="Segoe UI" w:cs="Segoe UI"/>
        </w:rPr>
        <w:t>”)</w:t>
      </w:r>
      <w:r w:rsidRPr="00DF19A3">
        <w:rPr>
          <w:rStyle w:val="Rimandonotaapidipagina"/>
          <w:rFonts w:cs="Segoe UI"/>
          <w:color w:val="000000"/>
          <w:sz w:val="22"/>
          <w:lang w:eastAsia="it-IT"/>
        </w:rPr>
        <w:footnoteReference w:id="15"/>
      </w:r>
      <w:r w:rsidRPr="00DF19A3">
        <w:rPr>
          <w:rFonts w:ascii="Segoe UI" w:hAnsi="Segoe UI" w:cs="Segoe UI"/>
          <w:color w:val="000000"/>
          <w:lang w:eastAsia="it-IT"/>
        </w:rPr>
        <w:t>.</w:t>
      </w:r>
    </w:p>
    <w:p w14:paraId="109FCA71" w14:textId="77777777" w:rsidR="00085D98" w:rsidRDefault="00085D98" w:rsidP="00085D98">
      <w:pPr>
        <w:spacing w:before="120" w:after="120" w:line="240" w:lineRule="auto"/>
        <w:jc w:val="both"/>
        <w:rPr>
          <w:rFonts w:ascii="Segoe UI" w:hAnsi="Segoe UI" w:cs="Segoe UI"/>
          <w:lang w:eastAsia="it-IT"/>
        </w:rPr>
      </w:pPr>
    </w:p>
    <w:p w14:paraId="5D25FDC8" w14:textId="7FFBDFBF" w:rsidR="00085D98" w:rsidRPr="00D77B86" w:rsidRDefault="00085D98" w:rsidP="00085D98">
      <w:pPr>
        <w:keepNext/>
        <w:keepLines/>
        <w:spacing w:before="120" w:after="120" w:line="240" w:lineRule="auto"/>
        <w:jc w:val="both"/>
        <w:rPr>
          <w:rFonts w:ascii="Segoe UI" w:hAnsi="Segoe UI" w:cs="Segoe UI"/>
          <w:lang w:eastAsia="it-IT"/>
        </w:rPr>
      </w:pPr>
      <w:r w:rsidRPr="00D77B86">
        <w:rPr>
          <w:rFonts w:ascii="Segoe UI" w:hAnsi="Segoe UI" w:cs="Segoe UI"/>
          <w:lang w:eastAsia="it-IT"/>
        </w:rPr>
        <w:t>Traduzione: opzione 2 (</w:t>
      </w:r>
      <w:r w:rsidR="00826069" w:rsidRPr="00D77B86">
        <w:rPr>
          <w:rFonts w:ascii="Segoe UI" w:hAnsi="Segoe UI" w:cs="Segoe UI"/>
          <w:lang w:eastAsia="it-IT"/>
        </w:rPr>
        <w:t>ambigua</w:t>
      </w:r>
      <w:r w:rsidRPr="00D77B86">
        <w:rPr>
          <w:rFonts w:ascii="Segoe UI" w:hAnsi="Segoe UI" w:cs="Segoe UI"/>
          <w:lang w:eastAsia="it-IT"/>
        </w:rPr>
        <w:t>) / Accezione: opzione 2</w:t>
      </w:r>
    </w:p>
    <w:p w14:paraId="1585CC5B" w14:textId="514BDE7D" w:rsidR="00085D98" w:rsidRPr="00D77B86" w:rsidRDefault="00085D98" w:rsidP="00085D98">
      <w:pPr>
        <w:autoSpaceDE w:val="0"/>
        <w:autoSpaceDN w:val="0"/>
        <w:adjustRightInd w:val="0"/>
        <w:spacing w:before="120" w:after="120" w:line="240" w:lineRule="auto"/>
        <w:jc w:val="both"/>
        <w:rPr>
          <w:rFonts w:ascii="Segoe UI" w:hAnsi="Segoe UI" w:cs="Segoe UI"/>
          <w:color w:val="000000"/>
          <w:lang w:eastAsia="it-IT"/>
        </w:rPr>
      </w:pPr>
      <w:r w:rsidRPr="00D77B86">
        <w:rPr>
          <w:rFonts w:ascii="Segoe UI" w:hAnsi="Segoe UI" w:cs="Segoe UI"/>
          <w:color w:val="000000"/>
          <w:lang w:eastAsia="it-IT"/>
        </w:rPr>
        <w:t xml:space="preserve">Infine, sebbene gli Orientamenti siano, nella versione inglese, contraddistinti da una sostanziale omogeneità terminologica e coerenza semantica nell’uso dei vocaboli </w:t>
      </w:r>
      <w:r w:rsidR="0087304C">
        <w:rPr>
          <w:rFonts w:ascii="Segoe UI" w:hAnsi="Segoe UI" w:cs="Segoe UI"/>
          <w:color w:val="000000"/>
          <w:lang w:eastAsia="it-IT"/>
        </w:rPr>
        <w:t xml:space="preserve">in funzione delle </w:t>
      </w:r>
      <w:r w:rsidRPr="00D77B86">
        <w:rPr>
          <w:rFonts w:ascii="Segoe UI" w:hAnsi="Segoe UI" w:cs="Segoe UI"/>
          <w:color w:val="000000"/>
          <w:lang w:eastAsia="it-IT"/>
        </w:rPr>
        <w:t>varie fattispecie, anche qui, occorre dirlo, è possibile riscontrare rari casi in cui si è persa un’occasione di attribuire chiarezza alla definizione concettuale.</w:t>
      </w:r>
    </w:p>
    <w:p w14:paraId="48FD8BB6" w14:textId="77777777" w:rsidR="00085D98" w:rsidRPr="007F5442" w:rsidRDefault="00085D98"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7F5442">
        <w:rPr>
          <w:rFonts w:ascii="Segoe UI" w:hAnsi="Segoe UI" w:cs="Segoe UI"/>
          <w:color w:val="525252" w:themeColor="accent3" w:themeShade="80"/>
          <w:sz w:val="20"/>
          <w:szCs w:val="20"/>
          <w:lang w:val="en-US" w:eastAsia="it-IT"/>
        </w:rPr>
        <w:t>“3.4</w:t>
      </w:r>
      <w:r w:rsidRPr="007F5442">
        <w:rPr>
          <w:rFonts w:ascii="Segoe UI" w:hAnsi="Segoe UI" w:cs="Segoe UI"/>
          <w:color w:val="525252" w:themeColor="accent3" w:themeShade="80"/>
          <w:sz w:val="20"/>
          <w:szCs w:val="20"/>
          <w:lang w:val="en-US" w:eastAsia="it-IT"/>
        </w:rPr>
        <w:tab/>
      </w:r>
      <w:r w:rsidRPr="007F5442">
        <w:rPr>
          <w:rFonts w:ascii="Segoe UI" w:hAnsi="Segoe UI" w:cs="Segoe UI"/>
          <w:bCs/>
          <w:color w:val="525252" w:themeColor="accent3" w:themeShade="80"/>
          <w:sz w:val="20"/>
          <w:szCs w:val="20"/>
          <w:lang w:val="en-US" w:eastAsia="it-IT"/>
        </w:rPr>
        <w:t>Strategic and forward-looking</w:t>
      </w:r>
    </w:p>
    <w:p w14:paraId="41E597FD" w14:textId="77777777" w:rsidR="00085D98" w:rsidRPr="007F5442" w:rsidRDefault="00085D98" w:rsidP="007F5442">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7F5442">
        <w:rPr>
          <w:rFonts w:ascii="Segoe UI" w:hAnsi="Segoe UI" w:cs="Segoe UI"/>
          <w:color w:val="525252" w:themeColor="accent3" w:themeShade="80"/>
          <w:sz w:val="20"/>
          <w:szCs w:val="20"/>
          <w:lang w:val="en-US" w:eastAsia="it-IT"/>
        </w:rPr>
        <w:t>The statement is expected to provide insights into a company's business model, strategy and its implementation, and explain the short-term, medium-term and long-term implications of the information reported.</w:t>
      </w:r>
    </w:p>
    <w:p w14:paraId="20049AB5" w14:textId="77777777" w:rsidR="00085D98" w:rsidRPr="007F5442" w:rsidRDefault="00085D98" w:rsidP="007F5442">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7F5442">
        <w:rPr>
          <w:rFonts w:ascii="Segoe UI" w:hAnsi="Segoe UI" w:cs="Segoe UI"/>
          <w:color w:val="525252" w:themeColor="accent3" w:themeShade="80"/>
          <w:sz w:val="20"/>
          <w:szCs w:val="20"/>
          <w:lang w:val="en-US" w:eastAsia="it-IT"/>
        </w:rPr>
        <w:t>Companies are expected to disclose relevant information on their business model, including their strategy and objectives. Disclosures should provide insight into the strategic approach to relevant non-financial issues; what a company does, how and why it does it.”</w:t>
      </w:r>
    </w:p>
    <w:p w14:paraId="6BAFC467" w14:textId="77777777" w:rsidR="00085D98" w:rsidRPr="00D77B86" w:rsidRDefault="00085D98" w:rsidP="00085D98">
      <w:pPr>
        <w:keepNext/>
        <w:keepLines/>
        <w:autoSpaceDE w:val="0"/>
        <w:autoSpaceDN w:val="0"/>
        <w:adjustRightInd w:val="0"/>
        <w:spacing w:before="120" w:after="120" w:line="240" w:lineRule="auto"/>
        <w:jc w:val="both"/>
        <w:rPr>
          <w:rFonts w:ascii="Segoe UI" w:hAnsi="Segoe UI" w:cs="Segoe UI"/>
          <w:lang w:eastAsia="it-IT"/>
        </w:rPr>
      </w:pPr>
      <w:r w:rsidRPr="00D77B86">
        <w:rPr>
          <w:rFonts w:ascii="Segoe UI" w:hAnsi="Segoe UI" w:cs="Segoe UI"/>
          <w:lang w:eastAsia="it-IT"/>
        </w:rPr>
        <w:t>La versione italiana della frase è la seguente:</w:t>
      </w:r>
    </w:p>
    <w:p w14:paraId="510E9B87" w14:textId="77777777" w:rsidR="00085D98" w:rsidRPr="007F5442" w:rsidRDefault="00085D98"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bCs/>
          <w:color w:val="525252" w:themeColor="accent3" w:themeShade="80"/>
          <w:sz w:val="20"/>
          <w:szCs w:val="20"/>
          <w:lang w:eastAsia="it-IT"/>
        </w:rPr>
        <w:t>“3.4 Informazioni strategiche e lungimiranti</w:t>
      </w:r>
    </w:p>
    <w:p w14:paraId="38716A7A" w14:textId="77777777" w:rsidR="00085D98" w:rsidRPr="007F5442" w:rsidRDefault="00085D98" w:rsidP="007F5442">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La dichiarazione dovrebbe fornire approfondimenti in merito al modello aziendale di un’impresa, alla sua strategia e alla sua attuazione, nonché spiegare le implicazioni a breve, a medio e a lungo termine delle informazioni comunicate.</w:t>
      </w:r>
    </w:p>
    <w:p w14:paraId="720E9B64" w14:textId="77777777" w:rsidR="00085D98" w:rsidRPr="007F5442" w:rsidRDefault="00085D98" w:rsidP="007F5442">
      <w:pPr>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eastAsia="it-IT"/>
        </w:rPr>
        <w:t>Le imprese sono tenute a divulgare informazioni rilevanti sul loro modello aziendale, nonché sulla loro strategia e sui loro obiettivi. Le comunicazioni dovrebbero fornire approfondimenti sull’approccio strategico alle tematiche rilevanti di carattere non finanziario: che cosa fa un’impresa, come lo fa e perché lo fa.”.</w:t>
      </w:r>
    </w:p>
    <w:p w14:paraId="13EE50F0" w14:textId="77302944" w:rsidR="00085D98" w:rsidRPr="00D77B86" w:rsidRDefault="00085D98" w:rsidP="00085D98">
      <w:pPr>
        <w:spacing w:before="120" w:after="120" w:line="240" w:lineRule="auto"/>
        <w:jc w:val="both"/>
        <w:rPr>
          <w:rFonts w:ascii="Segoe UI" w:hAnsi="Segoe UI" w:cs="Segoe UI"/>
          <w:lang w:eastAsia="it-IT"/>
        </w:rPr>
      </w:pPr>
      <w:r w:rsidRPr="00D77B86">
        <w:rPr>
          <w:rFonts w:ascii="Segoe UI" w:hAnsi="Segoe UI" w:cs="Segoe UI"/>
          <w:lang w:eastAsia="it-IT"/>
        </w:rPr>
        <w:t xml:space="preserve">Conclusione: </w:t>
      </w:r>
      <w:r w:rsidRPr="00D77B86">
        <w:rPr>
          <w:rFonts w:ascii="Segoe UI" w:hAnsi="Segoe UI" w:cs="Segoe UI"/>
        </w:rPr>
        <w:t>in questo caso, in cui “</w:t>
      </w:r>
      <w:r w:rsidRPr="00D77B86">
        <w:rPr>
          <w:rFonts w:ascii="Segoe UI" w:hAnsi="Segoe UI" w:cs="Segoe UI"/>
          <w:b/>
          <w:i/>
        </w:rPr>
        <w:t>r</w:t>
      </w:r>
      <w:r w:rsidRPr="00D77B86">
        <w:rPr>
          <w:rFonts w:ascii="Segoe UI" w:hAnsi="Segoe UI" w:cs="Segoe UI"/>
          <w:b/>
          <w:i/>
          <w:lang w:eastAsia="it-IT"/>
        </w:rPr>
        <w:t>elevant</w:t>
      </w:r>
      <w:r w:rsidRPr="00D77B86">
        <w:rPr>
          <w:rFonts w:ascii="Segoe UI" w:hAnsi="Segoe UI" w:cs="Segoe UI"/>
          <w:lang w:eastAsia="it-IT"/>
        </w:rPr>
        <w:t>”, in rapida successione, appare due volte in due proposizioni adiacenti ed in cui, in entrambi i casi della versione italiana appare, in corrispondenza, il termine “</w:t>
      </w:r>
      <w:r w:rsidRPr="00D77B86">
        <w:rPr>
          <w:rFonts w:ascii="Segoe UI" w:hAnsi="Segoe UI" w:cs="Segoe UI"/>
          <w:b/>
          <w:lang w:eastAsia="it-IT"/>
        </w:rPr>
        <w:t>rilevante</w:t>
      </w:r>
      <w:r w:rsidRPr="00D77B86">
        <w:rPr>
          <w:rFonts w:ascii="Segoe UI" w:hAnsi="Segoe UI" w:cs="Segoe UI"/>
          <w:lang w:eastAsia="it-IT"/>
        </w:rPr>
        <w:t>”, esso è riferito, nel primo, alle informazioni (</w:t>
      </w:r>
      <w:r w:rsidRPr="00D77B86">
        <w:rPr>
          <w:rFonts w:ascii="Segoe UI" w:hAnsi="Segoe UI" w:cs="Segoe UI"/>
          <w:i/>
          <w:lang w:eastAsia="it-IT"/>
        </w:rPr>
        <w:t>information</w:t>
      </w:r>
      <w:r w:rsidRPr="00D77B86">
        <w:rPr>
          <w:rFonts w:ascii="Segoe UI" w:hAnsi="Segoe UI" w:cs="Segoe UI"/>
          <w:lang w:eastAsia="it-IT"/>
        </w:rPr>
        <w:t>) e, nel secondo, alle tematiche (</w:t>
      </w:r>
      <w:r w:rsidRPr="00D77B86">
        <w:rPr>
          <w:rFonts w:ascii="Segoe UI" w:hAnsi="Segoe UI" w:cs="Segoe UI"/>
          <w:i/>
          <w:lang w:eastAsia="it-IT"/>
        </w:rPr>
        <w:t>issues</w:t>
      </w:r>
      <w:r w:rsidRPr="00D77B86">
        <w:rPr>
          <w:rFonts w:ascii="Segoe UI" w:hAnsi="Segoe UI" w:cs="Segoe UI"/>
          <w:lang w:eastAsia="it-IT"/>
        </w:rPr>
        <w:t>); la coerenza terminologica avrebbe voluto che nella prima frase, in sua vece, il legislatore europeo avesse utilizzato il termine “</w:t>
      </w:r>
      <w:r w:rsidRPr="00D77B86">
        <w:rPr>
          <w:rFonts w:ascii="Segoe UI" w:hAnsi="Segoe UI" w:cs="Segoe UI"/>
          <w:i/>
          <w:lang w:eastAsia="it-IT"/>
        </w:rPr>
        <w:t>material</w:t>
      </w:r>
      <w:r w:rsidRPr="00D77B86">
        <w:rPr>
          <w:rFonts w:ascii="Segoe UI" w:hAnsi="Segoe UI" w:cs="Segoe UI"/>
          <w:lang w:eastAsia="it-IT"/>
        </w:rPr>
        <w:t xml:space="preserve">”, come in quasi ogni parte degli Orientamenti laddove si può ritenere abbia voluto richiamarsi alle distinzioni di significato connesse alla determinazione della </w:t>
      </w:r>
      <w:r w:rsidRPr="00D77B86">
        <w:rPr>
          <w:rFonts w:ascii="Segoe UI" w:hAnsi="Segoe UI" w:cs="Segoe UI"/>
          <w:i/>
          <w:lang w:eastAsia="it-IT"/>
        </w:rPr>
        <w:t>materiality</w:t>
      </w:r>
      <w:r w:rsidRPr="00D77B86">
        <w:rPr>
          <w:rFonts w:ascii="Segoe UI" w:hAnsi="Segoe UI" w:cs="Segoe UI"/>
          <w:lang w:eastAsia="it-IT"/>
        </w:rPr>
        <w:t xml:space="preserve"> di cui al paragrafo 3.1</w:t>
      </w:r>
      <w:r w:rsidR="00A562AD">
        <w:rPr>
          <w:rFonts w:ascii="Segoe UI" w:hAnsi="Segoe UI" w:cs="Segoe UI"/>
          <w:lang w:eastAsia="it-IT"/>
        </w:rPr>
        <w:t xml:space="preserve"> degli stessi Orientamenti</w:t>
      </w:r>
      <w:r w:rsidRPr="00D77B86">
        <w:rPr>
          <w:rFonts w:ascii="Segoe UI" w:hAnsi="Segoe UI" w:cs="Segoe UI"/>
          <w:lang w:eastAsia="it-IT"/>
        </w:rPr>
        <w:t>.</w:t>
      </w:r>
    </w:p>
    <w:p w14:paraId="0CEA392A" w14:textId="77777777" w:rsidR="00085D98" w:rsidRPr="00DF19A3" w:rsidRDefault="00085D98" w:rsidP="0067575B">
      <w:pPr>
        <w:spacing w:before="120" w:after="120" w:line="240" w:lineRule="auto"/>
        <w:jc w:val="both"/>
        <w:rPr>
          <w:rFonts w:ascii="Segoe UI" w:hAnsi="Segoe UI" w:cs="Segoe UI"/>
          <w:color w:val="000000"/>
          <w:lang w:eastAsia="it-IT"/>
        </w:rPr>
      </w:pPr>
    </w:p>
    <w:p w14:paraId="78BDC58F" w14:textId="77777777" w:rsidR="00804D9D" w:rsidRPr="00DF19A3" w:rsidRDefault="00804D9D" w:rsidP="0067575B">
      <w:pPr>
        <w:spacing w:before="120" w:after="120" w:line="240" w:lineRule="auto"/>
        <w:jc w:val="both"/>
        <w:rPr>
          <w:rFonts w:ascii="Segoe UI" w:hAnsi="Segoe UI" w:cs="Segoe UI"/>
          <w:color w:val="000000"/>
          <w:lang w:eastAsia="it-IT"/>
        </w:rPr>
      </w:pPr>
    </w:p>
    <w:p w14:paraId="5DF9ACCE" w14:textId="5E9BD6D5" w:rsidR="00804D9D" w:rsidRPr="00DF19A3" w:rsidRDefault="00804D9D" w:rsidP="00804D9D">
      <w:pPr>
        <w:keepNext/>
        <w:keepLines/>
        <w:tabs>
          <w:tab w:val="left" w:pos="284"/>
        </w:tabs>
        <w:spacing w:before="120" w:after="120" w:line="240" w:lineRule="auto"/>
        <w:jc w:val="both"/>
        <w:rPr>
          <w:rFonts w:ascii="Segoe UI" w:hAnsi="Segoe UI" w:cs="Segoe UI"/>
          <w:lang w:eastAsia="it-IT"/>
        </w:rPr>
      </w:pPr>
      <w:r w:rsidRPr="00DF19A3">
        <w:rPr>
          <w:rFonts w:ascii="Segoe UI" w:hAnsi="Segoe UI" w:cs="Segoe UI"/>
          <w:lang w:eastAsia="it-IT"/>
        </w:rPr>
        <w:t>B.</w:t>
      </w:r>
      <w:r w:rsidRPr="00DF19A3">
        <w:rPr>
          <w:rFonts w:ascii="Segoe UI" w:hAnsi="Segoe UI" w:cs="Segoe UI"/>
          <w:lang w:eastAsia="it-IT"/>
        </w:rPr>
        <w:tab/>
      </w:r>
      <w:r w:rsidRPr="00AA5514">
        <w:rPr>
          <w:rFonts w:ascii="Segoe UI" w:hAnsi="Segoe UI" w:cs="Segoe UI"/>
          <w:i/>
          <w:lang w:eastAsia="it-IT"/>
        </w:rPr>
        <w:t>Material</w:t>
      </w:r>
    </w:p>
    <w:p w14:paraId="4E674B74" w14:textId="77777777" w:rsidR="00804D9D" w:rsidRPr="00DF19A3" w:rsidRDefault="00804D9D" w:rsidP="00804D9D">
      <w:pPr>
        <w:keepNext/>
        <w:keepLines/>
        <w:spacing w:before="120" w:after="120" w:line="240" w:lineRule="auto"/>
        <w:jc w:val="both"/>
        <w:rPr>
          <w:rFonts w:ascii="Segoe UI" w:hAnsi="Segoe UI" w:cs="Segoe UI"/>
          <w:lang w:eastAsia="it-IT"/>
        </w:rPr>
      </w:pPr>
    </w:p>
    <w:p w14:paraId="6BC67B34" w14:textId="77777777" w:rsidR="00804D9D" w:rsidRPr="00DF19A3" w:rsidRDefault="00804D9D" w:rsidP="00804D9D">
      <w:pPr>
        <w:spacing w:before="120" w:after="120" w:line="240" w:lineRule="auto"/>
        <w:jc w:val="both"/>
        <w:rPr>
          <w:rFonts w:ascii="Segoe UI" w:hAnsi="Segoe UI" w:cs="Segoe UI"/>
          <w:lang w:eastAsia="it-IT"/>
        </w:rPr>
      </w:pPr>
      <w:r w:rsidRPr="00DF19A3">
        <w:rPr>
          <w:rFonts w:ascii="Segoe UI" w:hAnsi="Segoe UI" w:cs="Segoe UI"/>
          <w:lang w:eastAsia="it-IT"/>
        </w:rPr>
        <w:t>Il termine “</w:t>
      </w:r>
      <w:r w:rsidRPr="00DF19A3">
        <w:rPr>
          <w:rFonts w:ascii="Segoe UI" w:hAnsi="Segoe UI" w:cs="Segoe UI"/>
          <w:i/>
          <w:lang w:eastAsia="it-IT"/>
        </w:rPr>
        <w:t>material</w:t>
      </w:r>
      <w:r w:rsidRPr="00DF19A3">
        <w:rPr>
          <w:rFonts w:ascii="Segoe UI" w:hAnsi="Segoe UI" w:cs="Segoe UI"/>
          <w:lang w:eastAsia="it-IT"/>
        </w:rPr>
        <w:t>” non pone particolari problemi interpretativi legati alla traduzione, poiché nella versione italiana degli Orientamenti corrisponde sempre al termine “rilevante” (eccetto in un’unica circostanza).</w:t>
      </w:r>
    </w:p>
    <w:p w14:paraId="38716078" w14:textId="77777777" w:rsidR="00804D9D" w:rsidRPr="00DF19A3" w:rsidRDefault="00804D9D" w:rsidP="00804D9D">
      <w:pPr>
        <w:autoSpaceDE w:val="0"/>
        <w:autoSpaceDN w:val="0"/>
        <w:adjustRightInd w:val="0"/>
        <w:spacing w:before="120" w:after="120" w:line="240" w:lineRule="auto"/>
        <w:jc w:val="both"/>
        <w:rPr>
          <w:rFonts w:ascii="Segoe UI" w:hAnsi="Segoe UI" w:cs="Segoe UI"/>
          <w:color w:val="000000"/>
          <w:lang w:eastAsia="it-IT"/>
        </w:rPr>
      </w:pPr>
    </w:p>
    <w:p w14:paraId="708EA8B1" w14:textId="77777777" w:rsidR="00804D9D" w:rsidRPr="00DF19A3" w:rsidRDefault="00804D9D" w:rsidP="00804D9D">
      <w:pPr>
        <w:keepNext/>
        <w:keepLines/>
        <w:spacing w:before="120" w:after="120" w:line="240" w:lineRule="auto"/>
        <w:jc w:val="both"/>
        <w:rPr>
          <w:rFonts w:ascii="Segoe UI" w:hAnsi="Segoe UI" w:cs="Segoe UI"/>
          <w:lang w:eastAsia="it-IT"/>
        </w:rPr>
      </w:pPr>
      <w:r w:rsidRPr="00DF19A3">
        <w:rPr>
          <w:rFonts w:ascii="Segoe UI" w:hAnsi="Segoe UI" w:cs="Segoe UI"/>
          <w:lang w:eastAsia="it-IT"/>
        </w:rPr>
        <w:t>Traduzione: opzione 1 / Accezione: opzione 1</w:t>
      </w:r>
    </w:p>
    <w:p w14:paraId="2BEA8AFC" w14:textId="77777777" w:rsidR="00804D9D" w:rsidRPr="00DF19A3" w:rsidRDefault="00804D9D" w:rsidP="00804D9D">
      <w:pPr>
        <w:spacing w:before="120" w:after="120" w:line="240" w:lineRule="auto"/>
        <w:jc w:val="both"/>
        <w:rPr>
          <w:rFonts w:ascii="Segoe UI" w:hAnsi="Segoe UI" w:cs="Segoe UI"/>
          <w:lang w:eastAsia="it-IT"/>
        </w:rPr>
      </w:pPr>
      <w:r w:rsidRPr="00DF19A3">
        <w:rPr>
          <w:rFonts w:ascii="Segoe UI" w:hAnsi="Segoe UI" w:cs="Segoe UI"/>
          <w:lang w:eastAsia="it-IT"/>
        </w:rPr>
        <w:t>Come si è già evidenziato, nel paragrafo in cui si illustrano gli obiettivi degli Orientamenti, si legge:</w:t>
      </w:r>
    </w:p>
    <w:p w14:paraId="5FE2A29D" w14:textId="77777777" w:rsidR="00804D9D" w:rsidRPr="007F5442" w:rsidRDefault="00804D9D"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7F5442">
        <w:rPr>
          <w:rFonts w:ascii="Segoe UI" w:hAnsi="Segoe UI" w:cs="Segoe UI"/>
          <w:color w:val="525252" w:themeColor="accent3" w:themeShade="80"/>
          <w:sz w:val="20"/>
          <w:szCs w:val="20"/>
          <w:lang w:val="en-US" w:eastAsia="it-IT"/>
        </w:rPr>
        <w:t>“2 Purpose</w:t>
      </w:r>
    </w:p>
    <w:p w14:paraId="14853C4D" w14:textId="77777777" w:rsidR="00804D9D" w:rsidRPr="007F5442" w:rsidRDefault="00804D9D" w:rsidP="007F5442">
      <w:pPr>
        <w:keepNext/>
        <w:keepLines/>
        <w:spacing w:before="120" w:after="120" w:line="240" w:lineRule="auto"/>
        <w:ind w:left="284" w:right="282"/>
        <w:jc w:val="both"/>
        <w:rPr>
          <w:rFonts w:ascii="Segoe UI" w:hAnsi="Segoe UI" w:cs="Segoe UI"/>
          <w:color w:val="525252" w:themeColor="accent3" w:themeShade="80"/>
          <w:sz w:val="20"/>
          <w:szCs w:val="20"/>
          <w:lang w:val="en-US" w:eastAsia="it-IT"/>
        </w:rPr>
      </w:pPr>
      <w:r w:rsidRPr="007F5442">
        <w:rPr>
          <w:rFonts w:ascii="Segoe UI" w:hAnsi="Segoe UI" w:cs="Segoe UI"/>
          <w:color w:val="525252" w:themeColor="accent3" w:themeShade="80"/>
          <w:sz w:val="20"/>
          <w:szCs w:val="20"/>
          <w:lang w:val="en-US" w:eastAsia="it-IT"/>
        </w:rPr>
        <w:t>[...]</w:t>
      </w:r>
    </w:p>
    <w:p w14:paraId="56671297" w14:textId="77777777" w:rsidR="00804D9D" w:rsidRPr="007F5442" w:rsidRDefault="00804D9D" w:rsidP="007F5442">
      <w:pPr>
        <w:spacing w:before="120" w:after="120" w:line="240" w:lineRule="auto"/>
        <w:ind w:left="284" w:right="282"/>
        <w:jc w:val="both"/>
        <w:rPr>
          <w:rFonts w:ascii="Segoe UI" w:hAnsi="Segoe UI" w:cs="Segoe UI"/>
          <w:color w:val="525252" w:themeColor="accent3" w:themeShade="80"/>
          <w:sz w:val="20"/>
          <w:szCs w:val="20"/>
          <w:lang w:eastAsia="it-IT"/>
        </w:rPr>
      </w:pPr>
      <w:r w:rsidRPr="007F5442">
        <w:rPr>
          <w:rFonts w:ascii="Segoe UI" w:hAnsi="Segoe UI" w:cs="Segoe UI"/>
          <w:color w:val="525252" w:themeColor="accent3" w:themeShade="80"/>
          <w:sz w:val="20"/>
          <w:szCs w:val="20"/>
          <w:lang w:val="en-US" w:eastAsia="it-IT"/>
        </w:rPr>
        <w:t xml:space="preserve">The intent is to provide balanced and flexible guidance on reporting non-financial information in a way that helps companies disclose material information consistently and coherently. As much as possible, these guidelines should help ensure comparability across companies and sectors. </w:t>
      </w:r>
      <w:r w:rsidRPr="007F5442">
        <w:rPr>
          <w:rFonts w:ascii="Segoe UI" w:hAnsi="Segoe UI" w:cs="Segoe UI"/>
          <w:color w:val="525252" w:themeColor="accent3" w:themeShade="80"/>
          <w:sz w:val="20"/>
          <w:szCs w:val="20"/>
          <w:lang w:eastAsia="it-IT"/>
        </w:rPr>
        <w:t>[...]”.</w:t>
      </w:r>
    </w:p>
    <w:p w14:paraId="4B4102AC" w14:textId="77777777" w:rsidR="00804D9D" w:rsidRPr="00DF19A3" w:rsidRDefault="00804D9D" w:rsidP="00804D9D">
      <w:pPr>
        <w:keepNext/>
        <w:keepLines/>
        <w:spacing w:before="120" w:after="120" w:line="240" w:lineRule="auto"/>
        <w:jc w:val="both"/>
        <w:rPr>
          <w:rFonts w:ascii="Segoe UI" w:hAnsi="Segoe UI" w:cs="Segoe UI"/>
          <w:lang w:eastAsia="it-IT"/>
        </w:rPr>
      </w:pPr>
      <w:r w:rsidRPr="00DF19A3">
        <w:rPr>
          <w:rFonts w:ascii="Segoe UI" w:hAnsi="Segoe UI" w:cs="Segoe UI"/>
          <w:color w:val="000000"/>
          <w:lang w:eastAsia="it-IT"/>
        </w:rPr>
        <w:t>Nella versione italiana la frase è la seguente:</w:t>
      </w:r>
    </w:p>
    <w:p w14:paraId="181055D5" w14:textId="45623AFF" w:rsidR="00804D9D" w:rsidRPr="000662FB" w:rsidRDefault="00804D9D" w:rsidP="007F5442">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0662FB">
        <w:rPr>
          <w:rFonts w:ascii="Segoe UI" w:hAnsi="Segoe UI" w:cs="Segoe UI"/>
          <w:color w:val="525252" w:themeColor="accent3" w:themeShade="80"/>
          <w:sz w:val="20"/>
          <w:szCs w:val="20"/>
          <w:lang w:eastAsia="it-IT"/>
        </w:rPr>
        <w:t>“2</w:t>
      </w:r>
      <w:r w:rsidR="008E54CE" w:rsidRPr="000662FB">
        <w:rPr>
          <w:rFonts w:ascii="Segoe UI" w:hAnsi="Segoe UI" w:cs="Segoe UI"/>
          <w:color w:val="525252" w:themeColor="accent3" w:themeShade="80"/>
          <w:sz w:val="20"/>
          <w:szCs w:val="20"/>
          <w:lang w:eastAsia="it-IT"/>
        </w:rPr>
        <w:t xml:space="preserve"> </w:t>
      </w:r>
      <w:r w:rsidRPr="000662FB">
        <w:rPr>
          <w:rFonts w:ascii="Segoe UI" w:hAnsi="Segoe UI" w:cs="Segoe UI"/>
          <w:color w:val="525252" w:themeColor="accent3" w:themeShade="80"/>
          <w:sz w:val="20"/>
          <w:szCs w:val="20"/>
          <w:lang w:eastAsia="it-IT"/>
        </w:rPr>
        <w:t>Scopo</w:t>
      </w:r>
    </w:p>
    <w:p w14:paraId="45B97B95" w14:textId="77777777" w:rsidR="00804D9D" w:rsidRPr="000662FB" w:rsidRDefault="00804D9D" w:rsidP="007F5442">
      <w:pPr>
        <w:keepNext/>
        <w:keepLines/>
        <w:spacing w:before="120" w:after="120" w:line="240" w:lineRule="auto"/>
        <w:ind w:left="284" w:right="282"/>
        <w:jc w:val="both"/>
        <w:rPr>
          <w:rFonts w:ascii="Segoe UI" w:hAnsi="Segoe UI" w:cs="Segoe UI"/>
          <w:color w:val="525252" w:themeColor="accent3" w:themeShade="80"/>
          <w:sz w:val="20"/>
          <w:szCs w:val="20"/>
          <w:lang w:eastAsia="it-IT"/>
        </w:rPr>
      </w:pPr>
      <w:r w:rsidRPr="000662FB">
        <w:rPr>
          <w:rFonts w:ascii="Segoe UI" w:hAnsi="Segoe UI" w:cs="Segoe UI"/>
          <w:color w:val="525252" w:themeColor="accent3" w:themeShade="80"/>
          <w:sz w:val="20"/>
          <w:szCs w:val="20"/>
          <w:lang w:eastAsia="it-IT"/>
        </w:rPr>
        <w:t>[...]</w:t>
      </w:r>
    </w:p>
    <w:p w14:paraId="77C6ED99" w14:textId="77777777" w:rsidR="00804D9D" w:rsidRPr="000662FB" w:rsidRDefault="00804D9D" w:rsidP="007F5442">
      <w:pPr>
        <w:spacing w:before="120" w:after="120" w:line="240" w:lineRule="auto"/>
        <w:ind w:left="284" w:right="282"/>
        <w:jc w:val="both"/>
        <w:rPr>
          <w:rFonts w:ascii="Segoe UI" w:hAnsi="Segoe UI" w:cs="Segoe UI"/>
          <w:color w:val="525252" w:themeColor="accent3" w:themeShade="80"/>
          <w:sz w:val="20"/>
          <w:szCs w:val="20"/>
          <w:lang w:eastAsia="it-IT"/>
        </w:rPr>
      </w:pPr>
      <w:r w:rsidRPr="000662FB">
        <w:rPr>
          <w:rFonts w:ascii="Segoe UI" w:hAnsi="Segoe UI" w:cs="Segoe UI"/>
          <w:color w:val="525252" w:themeColor="accent3" w:themeShade="80"/>
          <w:sz w:val="20"/>
          <w:szCs w:val="20"/>
          <w:lang w:eastAsia="it-IT"/>
        </w:rPr>
        <w:t>L’intento è quello di fornire orientamenti equilibrati e flessibili in materia di comunicazione di informazioni di carattere non finanziario in modo tale da aiutare le imprese a comunicare informazioni materiali in maniera coerente e sistematica. Per quanto possibile, i presenti orientamenti dovrebbero contribuire a garantire la comparabilità tra imprese e settori. [...].”</w:t>
      </w:r>
    </w:p>
    <w:p w14:paraId="0832F753" w14:textId="3C649DE1" w:rsidR="00804D9D" w:rsidRPr="00DF19A3" w:rsidRDefault="00804D9D" w:rsidP="00804D9D">
      <w:pPr>
        <w:spacing w:before="120" w:after="120" w:line="240" w:lineRule="auto"/>
        <w:jc w:val="both"/>
        <w:rPr>
          <w:rFonts w:ascii="Segoe UI" w:hAnsi="Segoe UI" w:cs="Segoe UI"/>
          <w:lang w:eastAsia="it-IT"/>
        </w:rPr>
      </w:pPr>
      <w:r w:rsidRPr="00DF19A3">
        <w:rPr>
          <w:rFonts w:ascii="Segoe UI" w:hAnsi="Segoe UI" w:cs="Segoe UI"/>
          <w:lang w:eastAsia="it-IT"/>
        </w:rPr>
        <w:t>Conclusione: questo è l’unico caso in cui al termine “</w:t>
      </w:r>
      <w:r w:rsidRPr="00DF19A3">
        <w:rPr>
          <w:rFonts w:ascii="Segoe UI" w:hAnsi="Segoe UI" w:cs="Segoe UI"/>
          <w:b/>
          <w:i/>
          <w:lang w:eastAsia="it-IT"/>
        </w:rPr>
        <w:t>material</w:t>
      </w:r>
      <w:r w:rsidRPr="00DF19A3">
        <w:rPr>
          <w:rFonts w:ascii="Segoe UI" w:hAnsi="Segoe UI" w:cs="Segoe UI"/>
          <w:lang w:eastAsia="it-IT"/>
        </w:rPr>
        <w:t>” della versione inglese è associato il termine “</w:t>
      </w:r>
      <w:r w:rsidRPr="00DF19A3">
        <w:rPr>
          <w:rFonts w:ascii="Segoe UI" w:hAnsi="Segoe UI" w:cs="Segoe UI"/>
          <w:b/>
          <w:lang w:eastAsia="it-IT"/>
        </w:rPr>
        <w:t>materiale</w:t>
      </w:r>
      <w:r w:rsidRPr="00DF19A3">
        <w:rPr>
          <w:rFonts w:ascii="Segoe UI" w:hAnsi="Segoe UI" w:cs="Segoe UI"/>
          <w:lang w:eastAsia="it-IT"/>
        </w:rPr>
        <w:t>” (con riferimento alla rilevanza dell</w:t>
      </w:r>
      <w:r w:rsidR="006653CA">
        <w:rPr>
          <w:rFonts w:ascii="Segoe UI" w:hAnsi="Segoe UI" w:cs="Segoe UI"/>
          <w:lang w:eastAsia="it-IT"/>
        </w:rPr>
        <w:t>e</w:t>
      </w:r>
      <w:r w:rsidRPr="00DF19A3">
        <w:rPr>
          <w:rFonts w:ascii="Segoe UI" w:hAnsi="Segoe UI" w:cs="Segoe UI"/>
          <w:lang w:eastAsia="it-IT"/>
        </w:rPr>
        <w:t xml:space="preserve"> informazioni) della versione italiana; è peraltro evidente e inequivocabile il significato</w:t>
      </w:r>
      <w:r w:rsidR="008C3816">
        <w:rPr>
          <w:rFonts w:ascii="Segoe UI" w:hAnsi="Segoe UI" w:cs="Segoe UI"/>
          <w:lang w:eastAsia="it-IT"/>
        </w:rPr>
        <w:t>,</w:t>
      </w:r>
      <w:r w:rsidRPr="00DF19A3">
        <w:rPr>
          <w:rFonts w:ascii="Segoe UI" w:hAnsi="Segoe UI" w:cs="Segoe UI"/>
          <w:lang w:eastAsia="it-IT"/>
        </w:rPr>
        <w:t xml:space="preserve"> conforme all’accezione collegata alla “</w:t>
      </w:r>
      <w:r w:rsidRPr="00DF19A3">
        <w:rPr>
          <w:rFonts w:ascii="Segoe UI" w:hAnsi="Segoe UI" w:cs="Segoe UI"/>
          <w:i/>
          <w:lang w:eastAsia="it-IT"/>
        </w:rPr>
        <w:t>materiality</w:t>
      </w:r>
      <w:r w:rsidRPr="00DF19A3">
        <w:rPr>
          <w:rFonts w:ascii="Segoe UI" w:hAnsi="Segoe UI" w:cs="Segoe UI"/>
          <w:lang w:eastAsia="it-IT"/>
        </w:rPr>
        <w:t xml:space="preserve">” come esplicitata nel paragrafo 3, </w:t>
      </w:r>
      <w:r w:rsidR="003D5415">
        <w:rPr>
          <w:rFonts w:ascii="Segoe UI" w:hAnsi="Segoe UI" w:cs="Segoe UI"/>
          <w:lang w:eastAsia="it-IT"/>
        </w:rPr>
        <w:t>“</w:t>
      </w:r>
      <w:r w:rsidRPr="00DF19A3">
        <w:rPr>
          <w:rFonts w:ascii="Segoe UI" w:hAnsi="Segoe UI" w:cs="Segoe UI"/>
          <w:lang w:eastAsia="it-IT"/>
        </w:rPr>
        <w:t>Principi fondamentali” degli Orientamenti.</w:t>
      </w:r>
    </w:p>
    <w:p w14:paraId="5708CAAD" w14:textId="77777777" w:rsidR="00804D9D" w:rsidRPr="00DF19A3" w:rsidRDefault="00804D9D" w:rsidP="00804D9D">
      <w:pPr>
        <w:autoSpaceDE w:val="0"/>
        <w:autoSpaceDN w:val="0"/>
        <w:adjustRightInd w:val="0"/>
        <w:spacing w:before="120" w:after="120" w:line="240" w:lineRule="auto"/>
        <w:jc w:val="both"/>
        <w:rPr>
          <w:rFonts w:ascii="Segoe UI" w:hAnsi="Segoe UI" w:cs="Segoe UI"/>
          <w:color w:val="000000"/>
          <w:lang w:eastAsia="it-IT"/>
        </w:rPr>
      </w:pPr>
    </w:p>
    <w:p w14:paraId="07544384" w14:textId="77777777" w:rsidR="00804D9D" w:rsidRPr="00DF19A3" w:rsidRDefault="00804D9D" w:rsidP="00804D9D">
      <w:pPr>
        <w:keepNext/>
        <w:keepLines/>
        <w:spacing w:before="120" w:after="120" w:line="240" w:lineRule="auto"/>
        <w:jc w:val="both"/>
        <w:rPr>
          <w:rFonts w:ascii="Segoe UI" w:hAnsi="Segoe UI" w:cs="Segoe UI"/>
          <w:lang w:eastAsia="it-IT"/>
        </w:rPr>
      </w:pPr>
      <w:r w:rsidRPr="00DF19A3">
        <w:rPr>
          <w:rFonts w:ascii="Segoe UI" w:hAnsi="Segoe UI" w:cs="Segoe UI"/>
          <w:lang w:eastAsia="it-IT"/>
        </w:rPr>
        <w:t>Traduzione: opzione 2 / Accezione: opzione 1</w:t>
      </w:r>
    </w:p>
    <w:p w14:paraId="46AECB50" w14:textId="77777777" w:rsidR="00804D9D" w:rsidRPr="00DF19A3" w:rsidRDefault="00804D9D" w:rsidP="00804D9D">
      <w:pPr>
        <w:spacing w:before="120" w:after="120" w:line="240" w:lineRule="auto"/>
        <w:jc w:val="both"/>
        <w:rPr>
          <w:rFonts w:ascii="Segoe UI" w:hAnsi="Segoe UI" w:cs="Segoe UI"/>
          <w:lang w:eastAsia="it-IT"/>
        </w:rPr>
      </w:pPr>
      <w:r w:rsidRPr="00DF19A3">
        <w:rPr>
          <w:rFonts w:ascii="Segoe UI" w:hAnsi="Segoe UI" w:cs="Segoe UI"/>
          <w:lang w:eastAsia="it-IT"/>
        </w:rPr>
        <w:t xml:space="preserve">Infine, ecco il paragrafo in cui gli Orientamenti approfondiscono il tema della rilevanza, fornendo una serie di indicazioni puntuali da cui è possibile, invero, quasi indurre logicamente un vero e proprio procedimento per l’individuazione delle informazioni da includere nella dichiarazione non finanziaria sui </w:t>
      </w:r>
      <w:r w:rsidRPr="00DF19A3">
        <w:rPr>
          <w:rFonts w:ascii="Segoe UI" w:hAnsi="Segoe UI" w:cs="Segoe UI"/>
          <w:i/>
          <w:lang w:eastAsia="it-IT"/>
        </w:rPr>
        <w:t>driver</w:t>
      </w:r>
      <w:r w:rsidRPr="00DF19A3">
        <w:rPr>
          <w:rFonts w:ascii="Segoe UI" w:hAnsi="Segoe UI" w:cs="Segoe UI"/>
          <w:lang w:eastAsia="it-IT"/>
        </w:rPr>
        <w:t xml:space="preserve"> della sostenibilità della direttiva 2014/95/UE.</w:t>
      </w:r>
    </w:p>
    <w:p w14:paraId="3ABA83EB" w14:textId="77777777" w:rsidR="00804D9D" w:rsidRPr="00DF19A3" w:rsidRDefault="00804D9D" w:rsidP="008E54CE">
      <w:pPr>
        <w:keepNext/>
        <w:keepLines/>
        <w:spacing w:before="120" w:after="120" w:line="240" w:lineRule="auto"/>
        <w:jc w:val="both"/>
        <w:rPr>
          <w:rFonts w:ascii="Segoe UI" w:hAnsi="Segoe UI" w:cs="Segoe UI"/>
          <w:lang w:eastAsia="it-IT"/>
        </w:rPr>
      </w:pPr>
      <w:r w:rsidRPr="00DF19A3">
        <w:rPr>
          <w:rFonts w:ascii="Segoe UI" w:hAnsi="Segoe UI" w:cs="Segoe UI"/>
          <w:lang w:eastAsia="it-IT"/>
        </w:rPr>
        <w:t>Di questo paragrafo, di cui si dirà più avanti, si riporta un estratto:</w:t>
      </w:r>
    </w:p>
    <w:p w14:paraId="2063AFA1" w14:textId="77777777" w:rsidR="00804D9D" w:rsidRPr="005F1565" w:rsidRDefault="00804D9D" w:rsidP="005F1565">
      <w:pPr>
        <w:keepNext/>
        <w:keepLines/>
        <w:spacing w:before="120" w:after="120" w:line="240" w:lineRule="auto"/>
        <w:ind w:left="284" w:right="282"/>
        <w:jc w:val="both"/>
        <w:rPr>
          <w:rFonts w:ascii="Segoe UI" w:hAnsi="Segoe UI" w:cs="Segoe UI"/>
          <w:color w:val="525252" w:themeColor="accent3" w:themeShade="80"/>
          <w:sz w:val="20"/>
          <w:szCs w:val="20"/>
          <w:lang w:val="en-US" w:eastAsia="it-IT"/>
        </w:rPr>
      </w:pPr>
      <w:r w:rsidRPr="005F1565">
        <w:rPr>
          <w:rFonts w:ascii="Segoe UI" w:hAnsi="Segoe UI" w:cs="Segoe UI"/>
          <w:bCs/>
          <w:color w:val="525252" w:themeColor="accent3" w:themeShade="80"/>
          <w:sz w:val="20"/>
          <w:szCs w:val="20"/>
          <w:lang w:val="en-US" w:eastAsia="it-IT"/>
        </w:rPr>
        <w:t>“3 Key Principles”</w:t>
      </w:r>
    </w:p>
    <w:p w14:paraId="2B55847D" w14:textId="77777777" w:rsidR="00804D9D" w:rsidRPr="005F1565" w:rsidRDefault="00804D9D" w:rsidP="005F1565">
      <w:pPr>
        <w:keepNext/>
        <w:keepLines/>
        <w:spacing w:before="120" w:after="120" w:line="240" w:lineRule="auto"/>
        <w:ind w:left="284" w:right="282"/>
        <w:jc w:val="both"/>
        <w:rPr>
          <w:rFonts w:ascii="Segoe UI" w:hAnsi="Segoe UI" w:cs="Segoe UI"/>
          <w:color w:val="525252" w:themeColor="accent3" w:themeShade="80"/>
          <w:sz w:val="20"/>
          <w:szCs w:val="20"/>
          <w:lang w:val="en-US" w:eastAsia="it-IT"/>
        </w:rPr>
      </w:pPr>
      <w:r w:rsidRPr="005F1565">
        <w:rPr>
          <w:rFonts w:ascii="Segoe UI" w:hAnsi="Segoe UI" w:cs="Segoe UI"/>
          <w:bCs/>
          <w:color w:val="525252" w:themeColor="accent3" w:themeShade="80"/>
          <w:sz w:val="20"/>
          <w:szCs w:val="20"/>
          <w:lang w:val="en-US" w:eastAsia="it-IT"/>
        </w:rPr>
        <w:t>3.1 Disclose material information</w:t>
      </w:r>
    </w:p>
    <w:p w14:paraId="0AC87074" w14:textId="77777777" w:rsidR="00804D9D" w:rsidRPr="005F1565" w:rsidRDefault="00804D9D" w:rsidP="005F1565">
      <w:pPr>
        <w:keepNext/>
        <w:keepLines/>
        <w:spacing w:before="120" w:after="120" w:line="240" w:lineRule="auto"/>
        <w:ind w:left="284" w:right="282"/>
        <w:jc w:val="both"/>
        <w:rPr>
          <w:rFonts w:ascii="Segoe UI" w:hAnsi="Segoe UI" w:cs="Segoe UI"/>
          <w:color w:val="525252" w:themeColor="accent3" w:themeShade="80"/>
          <w:sz w:val="20"/>
          <w:szCs w:val="20"/>
          <w:lang w:val="en-US" w:eastAsia="it-IT"/>
        </w:rPr>
      </w:pPr>
      <w:r w:rsidRPr="005F1565">
        <w:rPr>
          <w:rFonts w:ascii="Segoe UI" w:hAnsi="Segoe UI" w:cs="Segoe UI"/>
          <w:color w:val="525252" w:themeColor="accent3" w:themeShade="80"/>
          <w:sz w:val="20"/>
          <w:szCs w:val="20"/>
          <w:lang w:val="en-US" w:eastAsia="it-IT"/>
        </w:rPr>
        <w:t>[...]</w:t>
      </w:r>
    </w:p>
    <w:p w14:paraId="468EB8BB" w14:textId="77777777" w:rsidR="00804D9D" w:rsidRPr="005F1565" w:rsidRDefault="00804D9D" w:rsidP="005F1565">
      <w:pPr>
        <w:spacing w:before="120" w:after="120" w:line="240" w:lineRule="auto"/>
        <w:ind w:left="284" w:right="282"/>
        <w:jc w:val="both"/>
        <w:rPr>
          <w:rFonts w:ascii="Segoe UI" w:hAnsi="Segoe UI" w:cs="Segoe UI"/>
          <w:color w:val="525252" w:themeColor="accent3" w:themeShade="80"/>
          <w:sz w:val="20"/>
          <w:szCs w:val="20"/>
          <w:lang w:eastAsia="it-IT"/>
        </w:rPr>
      </w:pPr>
      <w:r w:rsidRPr="005F1565">
        <w:rPr>
          <w:rFonts w:ascii="Segoe UI" w:hAnsi="Segoe UI" w:cs="Segoe UI"/>
          <w:color w:val="525252" w:themeColor="accent3" w:themeShade="80"/>
          <w:sz w:val="20"/>
          <w:szCs w:val="20"/>
          <w:lang w:val="en-US" w:eastAsia="it-IT"/>
        </w:rPr>
        <w:t xml:space="preserve">Materiality is a concept already commonly used by preparers, auditors and users of financial information. A company's thorough understanding of the key components of its value chain helps identify key issues, and assess what makes information material. </w:t>
      </w:r>
      <w:r w:rsidRPr="005F1565">
        <w:rPr>
          <w:rFonts w:ascii="Segoe UI" w:hAnsi="Segoe UI" w:cs="Segoe UI"/>
          <w:color w:val="525252" w:themeColor="accent3" w:themeShade="80"/>
          <w:sz w:val="20"/>
          <w:szCs w:val="20"/>
          <w:lang w:eastAsia="it-IT"/>
        </w:rPr>
        <w:t>[...]”.</w:t>
      </w:r>
    </w:p>
    <w:p w14:paraId="6C51A650" w14:textId="59A944D8" w:rsidR="00804D9D" w:rsidRPr="00DF19A3" w:rsidRDefault="00804D9D" w:rsidP="008E54CE">
      <w:pPr>
        <w:keepNext/>
        <w:keepLines/>
        <w:spacing w:before="120" w:after="120" w:line="240" w:lineRule="auto"/>
        <w:jc w:val="both"/>
        <w:rPr>
          <w:rFonts w:ascii="Segoe UI" w:hAnsi="Segoe UI" w:cs="Segoe UI"/>
          <w:color w:val="000000"/>
          <w:lang w:eastAsia="it-IT"/>
        </w:rPr>
      </w:pPr>
      <w:r w:rsidRPr="00DF19A3">
        <w:rPr>
          <w:rFonts w:ascii="Segoe UI" w:hAnsi="Segoe UI" w:cs="Segoe UI"/>
          <w:color w:val="000000"/>
          <w:lang w:eastAsia="it-IT"/>
        </w:rPr>
        <w:t>Questa frase in italiano risulta corrisponde</w:t>
      </w:r>
      <w:r w:rsidR="008C3816">
        <w:rPr>
          <w:rFonts w:ascii="Segoe UI" w:hAnsi="Segoe UI" w:cs="Segoe UI"/>
          <w:color w:val="000000"/>
          <w:lang w:eastAsia="it-IT"/>
        </w:rPr>
        <w:t>re</w:t>
      </w:r>
      <w:r w:rsidRPr="00DF19A3">
        <w:rPr>
          <w:rFonts w:ascii="Segoe UI" w:hAnsi="Segoe UI" w:cs="Segoe UI"/>
          <w:color w:val="000000"/>
          <w:lang w:eastAsia="it-IT"/>
        </w:rPr>
        <w:t xml:space="preserve"> alla seguente:</w:t>
      </w:r>
    </w:p>
    <w:p w14:paraId="136636BD" w14:textId="77777777" w:rsidR="00804D9D" w:rsidRPr="005F1565" w:rsidRDefault="00804D9D" w:rsidP="005F1565">
      <w:pPr>
        <w:keepNext/>
        <w:keepLines/>
        <w:spacing w:before="120" w:after="120" w:line="240" w:lineRule="auto"/>
        <w:ind w:left="284" w:right="282"/>
        <w:jc w:val="both"/>
        <w:rPr>
          <w:rFonts w:ascii="Segoe UI" w:hAnsi="Segoe UI" w:cs="Segoe UI"/>
          <w:color w:val="525252" w:themeColor="accent3" w:themeShade="80"/>
          <w:sz w:val="20"/>
          <w:szCs w:val="20"/>
          <w:lang w:eastAsia="it-IT"/>
        </w:rPr>
      </w:pPr>
      <w:r w:rsidRPr="005F1565">
        <w:rPr>
          <w:rFonts w:ascii="Segoe UI" w:hAnsi="Segoe UI" w:cs="Segoe UI"/>
          <w:color w:val="525252" w:themeColor="accent3" w:themeShade="80"/>
          <w:sz w:val="20"/>
          <w:szCs w:val="20"/>
          <w:lang w:eastAsia="it-IT"/>
        </w:rPr>
        <w:t xml:space="preserve">“3 </w:t>
      </w:r>
      <w:r w:rsidRPr="005F1565">
        <w:rPr>
          <w:rFonts w:ascii="Segoe UI" w:hAnsi="Segoe UI" w:cs="Segoe UI"/>
          <w:bCs/>
          <w:color w:val="525252" w:themeColor="accent3" w:themeShade="80"/>
          <w:sz w:val="20"/>
          <w:szCs w:val="20"/>
          <w:lang w:eastAsia="it-IT"/>
        </w:rPr>
        <w:t>Principi fondamentali</w:t>
      </w:r>
    </w:p>
    <w:p w14:paraId="534EA4E2" w14:textId="77777777" w:rsidR="00804D9D" w:rsidRPr="005F1565" w:rsidRDefault="00804D9D" w:rsidP="005F1565">
      <w:pPr>
        <w:keepNext/>
        <w:keepLines/>
        <w:spacing w:before="120" w:after="120" w:line="240" w:lineRule="auto"/>
        <w:ind w:left="284" w:right="282"/>
        <w:jc w:val="both"/>
        <w:rPr>
          <w:rFonts w:ascii="Segoe UI" w:hAnsi="Segoe UI" w:cs="Segoe UI"/>
          <w:color w:val="525252" w:themeColor="accent3" w:themeShade="80"/>
          <w:sz w:val="20"/>
          <w:szCs w:val="20"/>
          <w:lang w:eastAsia="it-IT"/>
        </w:rPr>
      </w:pPr>
      <w:r w:rsidRPr="005F1565">
        <w:rPr>
          <w:rFonts w:ascii="Segoe UI" w:hAnsi="Segoe UI" w:cs="Segoe UI"/>
          <w:color w:val="525252" w:themeColor="accent3" w:themeShade="80"/>
          <w:sz w:val="20"/>
          <w:szCs w:val="20"/>
          <w:lang w:eastAsia="it-IT"/>
        </w:rPr>
        <w:t xml:space="preserve">3.1 </w:t>
      </w:r>
      <w:r w:rsidRPr="005F1565">
        <w:rPr>
          <w:rFonts w:ascii="Segoe UI" w:hAnsi="Segoe UI" w:cs="Segoe UI"/>
          <w:bCs/>
          <w:color w:val="525252" w:themeColor="accent3" w:themeShade="80"/>
          <w:sz w:val="20"/>
          <w:szCs w:val="20"/>
          <w:lang w:eastAsia="it-IT"/>
        </w:rPr>
        <w:t>Comunicazione di informazioni rilevanti</w:t>
      </w:r>
    </w:p>
    <w:p w14:paraId="0B186319" w14:textId="77777777" w:rsidR="00804D9D" w:rsidRPr="005F1565" w:rsidRDefault="00804D9D" w:rsidP="005F1565">
      <w:pPr>
        <w:keepNext/>
        <w:keepLines/>
        <w:spacing w:before="120" w:after="120" w:line="240" w:lineRule="auto"/>
        <w:ind w:left="284" w:right="282"/>
        <w:jc w:val="both"/>
        <w:rPr>
          <w:rFonts w:ascii="Segoe UI" w:hAnsi="Segoe UI" w:cs="Segoe UI"/>
          <w:color w:val="525252" w:themeColor="accent3" w:themeShade="80"/>
          <w:sz w:val="20"/>
          <w:szCs w:val="20"/>
          <w:lang w:eastAsia="it-IT"/>
        </w:rPr>
      </w:pPr>
      <w:r w:rsidRPr="005F1565">
        <w:rPr>
          <w:rFonts w:ascii="Segoe UI" w:hAnsi="Segoe UI" w:cs="Segoe UI"/>
          <w:color w:val="525252" w:themeColor="accent3" w:themeShade="80"/>
          <w:sz w:val="20"/>
          <w:szCs w:val="20"/>
          <w:lang w:eastAsia="it-IT"/>
        </w:rPr>
        <w:t>[...]</w:t>
      </w:r>
    </w:p>
    <w:p w14:paraId="419E6643" w14:textId="77777777" w:rsidR="00804D9D" w:rsidRPr="005F1565" w:rsidRDefault="00804D9D" w:rsidP="005F1565">
      <w:pPr>
        <w:spacing w:before="120" w:after="120" w:line="240" w:lineRule="auto"/>
        <w:ind w:left="284" w:right="282"/>
        <w:jc w:val="both"/>
        <w:rPr>
          <w:rFonts w:ascii="Segoe UI" w:hAnsi="Segoe UI" w:cs="Segoe UI"/>
          <w:color w:val="525252" w:themeColor="accent3" w:themeShade="80"/>
          <w:sz w:val="20"/>
          <w:szCs w:val="20"/>
          <w:lang w:eastAsia="it-IT"/>
        </w:rPr>
      </w:pPr>
      <w:r w:rsidRPr="005F1565">
        <w:rPr>
          <w:rFonts w:ascii="Segoe UI" w:hAnsi="Segoe UI" w:cs="Segoe UI"/>
          <w:color w:val="525252" w:themeColor="accent3" w:themeShade="80"/>
          <w:sz w:val="20"/>
          <w:szCs w:val="20"/>
          <w:lang w:eastAsia="it-IT"/>
        </w:rPr>
        <w:t>La rilevanza è un concetto già comunemente utilizzato da coloro che preparano le informazioni finanziarie, dai revisori e dagli utilizzatori di dette informazioni. Una comprensione approfondita da parte di un’impresa dei componenti fondamentali della sua catena del valore consente di individuare le questioni chiave e di valutare ciò che rende le informazioni rilevanti. [...]”.</w:t>
      </w:r>
    </w:p>
    <w:p w14:paraId="67BACDF6" w14:textId="009C9B50" w:rsidR="00804D9D" w:rsidRPr="000C1917" w:rsidRDefault="00804D9D" w:rsidP="00804D9D">
      <w:pPr>
        <w:autoSpaceDE w:val="0"/>
        <w:autoSpaceDN w:val="0"/>
        <w:adjustRightInd w:val="0"/>
        <w:spacing w:before="120" w:after="120" w:line="240" w:lineRule="auto"/>
        <w:jc w:val="both"/>
        <w:rPr>
          <w:rFonts w:ascii="Segoe UI" w:hAnsi="Segoe UI" w:cs="Segoe UI"/>
          <w:lang w:eastAsia="it-IT"/>
        </w:rPr>
      </w:pPr>
      <w:r w:rsidRPr="00DF19A3">
        <w:rPr>
          <w:rFonts w:ascii="Segoe UI" w:hAnsi="Segoe UI" w:cs="Segoe UI"/>
          <w:lang w:eastAsia="it-IT"/>
        </w:rPr>
        <w:t xml:space="preserve">Conclusione: in questo caso, come nel resto degli Orientamenti, </w:t>
      </w:r>
      <w:r w:rsidR="0087304C">
        <w:rPr>
          <w:rFonts w:ascii="Segoe UI" w:hAnsi="Segoe UI" w:cs="Segoe UI"/>
          <w:lang w:eastAsia="it-IT"/>
        </w:rPr>
        <w:t>a</w:t>
      </w:r>
      <w:r w:rsidRPr="00DF19A3">
        <w:rPr>
          <w:rFonts w:ascii="Segoe UI" w:hAnsi="Segoe UI" w:cs="Segoe UI"/>
          <w:lang w:eastAsia="it-IT"/>
        </w:rPr>
        <w:t>l termine “</w:t>
      </w:r>
      <w:r w:rsidRPr="00DF19A3">
        <w:rPr>
          <w:rFonts w:ascii="Segoe UI" w:hAnsi="Segoe UI" w:cs="Segoe UI"/>
          <w:b/>
          <w:i/>
          <w:lang w:eastAsia="it-IT"/>
        </w:rPr>
        <w:t>material</w:t>
      </w:r>
      <w:r w:rsidRPr="00DF19A3">
        <w:rPr>
          <w:rFonts w:ascii="Segoe UI" w:hAnsi="Segoe UI" w:cs="Segoe UI"/>
          <w:lang w:eastAsia="it-IT"/>
        </w:rPr>
        <w:t xml:space="preserve">” </w:t>
      </w:r>
      <w:r w:rsidR="0087304C">
        <w:rPr>
          <w:rFonts w:ascii="Segoe UI" w:hAnsi="Segoe UI" w:cs="Segoe UI"/>
          <w:lang w:eastAsia="it-IT"/>
        </w:rPr>
        <w:t xml:space="preserve">corrisponde il termine </w:t>
      </w:r>
      <w:r w:rsidRPr="00DF19A3">
        <w:rPr>
          <w:rFonts w:ascii="Segoe UI" w:hAnsi="Segoe UI" w:cs="Segoe UI"/>
          <w:lang w:eastAsia="it-IT"/>
        </w:rPr>
        <w:t>“</w:t>
      </w:r>
      <w:r w:rsidRPr="00DF19A3">
        <w:rPr>
          <w:rFonts w:ascii="Segoe UI" w:hAnsi="Segoe UI" w:cs="Segoe UI"/>
          <w:b/>
          <w:lang w:eastAsia="it-IT"/>
        </w:rPr>
        <w:t>rilevante</w:t>
      </w:r>
      <w:r w:rsidRPr="00DF19A3">
        <w:rPr>
          <w:rFonts w:ascii="Segoe UI" w:hAnsi="Segoe UI" w:cs="Segoe UI"/>
          <w:lang w:eastAsia="it-IT"/>
        </w:rPr>
        <w:t xml:space="preserve">”; il suo significato risulta chiaro e trae origine (vedremo poi in che modo e con quali </w:t>
      </w:r>
      <w:r w:rsidR="002A56BD">
        <w:rPr>
          <w:rFonts w:ascii="Segoe UI" w:hAnsi="Segoe UI" w:cs="Segoe UI"/>
          <w:lang w:eastAsia="it-IT"/>
        </w:rPr>
        <w:t xml:space="preserve">ulteriori </w:t>
      </w:r>
      <w:r w:rsidRPr="00DF19A3">
        <w:rPr>
          <w:rFonts w:ascii="Segoe UI" w:hAnsi="Segoe UI" w:cs="Segoe UI"/>
          <w:lang w:eastAsia="it-IT"/>
        </w:rPr>
        <w:t>svilupp</w:t>
      </w:r>
      <w:r w:rsidR="002A56BD">
        <w:rPr>
          <w:rFonts w:ascii="Segoe UI" w:hAnsi="Segoe UI" w:cs="Segoe UI"/>
          <w:lang w:eastAsia="it-IT"/>
        </w:rPr>
        <w:t>i</w:t>
      </w:r>
      <w:r w:rsidRPr="00DF19A3">
        <w:rPr>
          <w:rFonts w:ascii="Segoe UI" w:hAnsi="Segoe UI" w:cs="Segoe UI"/>
          <w:lang w:eastAsia="it-IT"/>
        </w:rPr>
        <w:t xml:space="preserve"> con riferimento alla </w:t>
      </w:r>
      <w:r w:rsidRPr="002A56BD">
        <w:rPr>
          <w:rFonts w:ascii="Segoe UI" w:hAnsi="Segoe UI" w:cs="Segoe UI"/>
          <w:i/>
          <w:lang w:eastAsia="it-IT"/>
        </w:rPr>
        <w:t>disclosure</w:t>
      </w:r>
      <w:r w:rsidRPr="00DF19A3">
        <w:rPr>
          <w:rFonts w:ascii="Segoe UI" w:hAnsi="Segoe UI" w:cs="Segoe UI"/>
          <w:lang w:eastAsia="it-IT"/>
        </w:rPr>
        <w:t xml:space="preserve"> non finanziaria), come espressamente indicato, dagli approfondimenti concettuali inerenti alla rendicontazione finanziaria e, in particolare, ai </w:t>
      </w:r>
      <w:r w:rsidR="002A56BD">
        <w:rPr>
          <w:rFonts w:ascii="Segoe UI" w:hAnsi="Segoe UI" w:cs="Segoe UI"/>
          <w:lang w:eastAsia="it-IT"/>
        </w:rPr>
        <w:t>P</w:t>
      </w:r>
      <w:r w:rsidRPr="00DF19A3">
        <w:rPr>
          <w:rFonts w:ascii="Segoe UI" w:hAnsi="Segoe UI" w:cs="Segoe UI"/>
          <w:lang w:eastAsia="it-IT"/>
        </w:rPr>
        <w:t>rincipi contabili internazionali</w:t>
      </w:r>
      <w:r w:rsidR="00A122F0">
        <w:rPr>
          <w:rFonts w:ascii="Segoe UI" w:hAnsi="Segoe UI" w:cs="Segoe UI"/>
          <w:lang w:eastAsia="it-IT"/>
        </w:rPr>
        <w:t>. Tuttavia,</w:t>
      </w:r>
      <w:r w:rsidRPr="00DF19A3">
        <w:rPr>
          <w:rFonts w:ascii="Segoe UI" w:hAnsi="Segoe UI" w:cs="Segoe UI"/>
          <w:lang w:eastAsia="it-IT"/>
        </w:rPr>
        <w:t xml:space="preserve"> dalla lettura dello stesso paragrafo, </w:t>
      </w:r>
      <w:r w:rsidR="00A122F0">
        <w:rPr>
          <w:rFonts w:ascii="Segoe UI" w:hAnsi="Segoe UI" w:cs="Segoe UI"/>
          <w:lang w:eastAsia="it-IT"/>
        </w:rPr>
        <w:t xml:space="preserve">lo </w:t>
      </w:r>
      <w:r w:rsidR="00A122F0" w:rsidRPr="00DF19A3">
        <w:rPr>
          <w:rFonts w:ascii="Segoe UI" w:hAnsi="Segoe UI" w:cs="Segoe UI"/>
          <w:lang w:eastAsia="it-IT"/>
        </w:rPr>
        <w:t>si vedrà di qui a poco</w:t>
      </w:r>
      <w:r w:rsidR="00A122F0">
        <w:rPr>
          <w:rFonts w:ascii="Segoe UI" w:hAnsi="Segoe UI" w:cs="Segoe UI"/>
          <w:lang w:eastAsia="it-IT"/>
        </w:rPr>
        <w:t xml:space="preserve">, </w:t>
      </w:r>
      <w:r w:rsidRPr="00DF19A3">
        <w:rPr>
          <w:rFonts w:ascii="Segoe UI" w:hAnsi="Segoe UI" w:cs="Segoe UI"/>
          <w:lang w:eastAsia="it-IT"/>
        </w:rPr>
        <w:t>non tutto torna</w:t>
      </w:r>
      <w:r w:rsidR="00A122F0">
        <w:rPr>
          <w:rFonts w:ascii="Segoe UI" w:hAnsi="Segoe UI" w:cs="Segoe UI"/>
          <w:lang w:eastAsia="it-IT"/>
        </w:rPr>
        <w:t xml:space="preserve">: forse </w:t>
      </w:r>
      <w:r w:rsidRPr="00DF19A3">
        <w:rPr>
          <w:rFonts w:ascii="Segoe UI" w:hAnsi="Segoe UI" w:cs="Segoe UI"/>
          <w:lang w:eastAsia="it-IT"/>
        </w:rPr>
        <w:t xml:space="preserve">sarebbe stato più opportuno ed efficace stabilire </w:t>
      </w:r>
      <w:r w:rsidRPr="00DF19A3">
        <w:rPr>
          <w:rFonts w:ascii="Segoe UI" w:hAnsi="Segoe UI" w:cs="Segoe UI"/>
          <w:i/>
          <w:lang w:eastAsia="it-IT"/>
        </w:rPr>
        <w:t>ab origine</w:t>
      </w:r>
      <w:r w:rsidRPr="00DF19A3">
        <w:rPr>
          <w:rFonts w:ascii="Segoe UI" w:hAnsi="Segoe UI" w:cs="Segoe UI"/>
          <w:lang w:eastAsia="it-IT"/>
        </w:rPr>
        <w:t xml:space="preserve"> una distinzione terminologica più precisa e puntuale tra i termini “</w:t>
      </w:r>
      <w:r w:rsidRPr="00DF19A3">
        <w:rPr>
          <w:rFonts w:ascii="Segoe UI" w:hAnsi="Segoe UI" w:cs="Segoe UI"/>
          <w:i/>
          <w:lang w:eastAsia="it-IT"/>
        </w:rPr>
        <w:t>relevant</w:t>
      </w:r>
      <w:r w:rsidRPr="00DF19A3">
        <w:rPr>
          <w:rFonts w:ascii="Segoe UI" w:hAnsi="Segoe UI" w:cs="Segoe UI"/>
          <w:lang w:eastAsia="it-IT"/>
        </w:rPr>
        <w:t>” e “</w:t>
      </w:r>
      <w:r w:rsidRPr="00DF19A3">
        <w:rPr>
          <w:rFonts w:ascii="Segoe UI" w:hAnsi="Segoe UI" w:cs="Segoe UI"/>
          <w:i/>
          <w:lang w:eastAsia="it-IT"/>
        </w:rPr>
        <w:t>material</w:t>
      </w:r>
      <w:r w:rsidRPr="00DF19A3">
        <w:rPr>
          <w:rFonts w:ascii="Segoe UI" w:hAnsi="Segoe UI" w:cs="Segoe UI"/>
          <w:lang w:eastAsia="it-IT"/>
        </w:rPr>
        <w:t xml:space="preserve">” in modo funzionale alla declinazione di un processo/procedimento teso a individuare concretamente la </w:t>
      </w:r>
      <w:r w:rsidR="00A122F0">
        <w:rPr>
          <w:rFonts w:ascii="Segoe UI" w:hAnsi="Segoe UI" w:cs="Segoe UI"/>
          <w:lang w:eastAsia="it-IT"/>
        </w:rPr>
        <w:t>“</w:t>
      </w:r>
      <w:r w:rsidRPr="00DF19A3">
        <w:rPr>
          <w:rFonts w:ascii="Segoe UI" w:hAnsi="Segoe UI" w:cs="Segoe UI"/>
          <w:lang w:eastAsia="it-IT"/>
        </w:rPr>
        <w:t>rilevanza</w:t>
      </w:r>
      <w:r w:rsidR="00A122F0">
        <w:rPr>
          <w:rFonts w:ascii="Segoe UI" w:hAnsi="Segoe UI" w:cs="Segoe UI"/>
          <w:lang w:eastAsia="it-IT"/>
        </w:rPr>
        <w:t>”</w:t>
      </w:r>
      <w:r w:rsidRPr="00DF19A3">
        <w:rPr>
          <w:rFonts w:ascii="Segoe UI" w:hAnsi="Segoe UI" w:cs="Segoe UI"/>
          <w:lang w:eastAsia="it-IT"/>
        </w:rPr>
        <w:t xml:space="preserve"> delle informazioni non finanziare in un determinato contesto, per una determinata organizzazione e per determinati </w:t>
      </w:r>
      <w:r w:rsidRPr="00DF19A3">
        <w:rPr>
          <w:rFonts w:ascii="Segoe UI" w:hAnsi="Segoe UI" w:cs="Segoe UI"/>
          <w:i/>
          <w:lang w:eastAsia="it-IT"/>
        </w:rPr>
        <w:t>stakeholder</w:t>
      </w:r>
      <w:r w:rsidRPr="00DF19A3">
        <w:rPr>
          <w:rFonts w:ascii="Segoe UI" w:hAnsi="Segoe UI" w:cs="Segoe UI"/>
          <w:lang w:eastAsia="it-IT"/>
        </w:rPr>
        <w:t xml:space="preserve"> di riferimento.</w:t>
      </w:r>
    </w:p>
    <w:p w14:paraId="1E59D377" w14:textId="77777777" w:rsidR="0067575B" w:rsidRPr="00975E9C" w:rsidRDefault="0067575B" w:rsidP="0067575B">
      <w:pPr>
        <w:autoSpaceDE w:val="0"/>
        <w:autoSpaceDN w:val="0"/>
        <w:adjustRightInd w:val="0"/>
        <w:spacing w:before="120" w:after="120" w:line="240" w:lineRule="auto"/>
        <w:jc w:val="both"/>
        <w:rPr>
          <w:rFonts w:ascii="Segoe UI" w:hAnsi="Segoe UI" w:cs="Segoe UI"/>
          <w:color w:val="000000"/>
          <w:highlight w:val="yellow"/>
          <w:lang w:eastAsia="it-IT"/>
        </w:rPr>
      </w:pPr>
    </w:p>
    <w:p w14:paraId="7E890A5B" w14:textId="77777777" w:rsidR="00085D98" w:rsidRPr="00615D07" w:rsidRDefault="00085D98" w:rsidP="00085D98">
      <w:pPr>
        <w:autoSpaceDE w:val="0"/>
        <w:autoSpaceDN w:val="0"/>
        <w:adjustRightInd w:val="0"/>
        <w:spacing w:before="120" w:after="120" w:line="240" w:lineRule="auto"/>
        <w:jc w:val="both"/>
        <w:rPr>
          <w:rFonts w:ascii="Segoe UI" w:hAnsi="Segoe UI" w:cs="Segoe UI"/>
          <w:color w:val="000000"/>
          <w:lang w:eastAsia="it-IT"/>
        </w:rPr>
      </w:pPr>
    </w:p>
    <w:p w14:paraId="6A5F31B4" w14:textId="7E500063" w:rsidR="00085D98" w:rsidRPr="00615D07" w:rsidRDefault="00085D98" w:rsidP="00085D98">
      <w:pPr>
        <w:keepNext/>
        <w:keepLines/>
        <w:tabs>
          <w:tab w:val="left" w:pos="284"/>
        </w:tabs>
        <w:spacing w:before="120" w:after="120" w:line="240" w:lineRule="auto"/>
        <w:jc w:val="both"/>
        <w:rPr>
          <w:rFonts w:ascii="Segoe UI" w:hAnsi="Segoe UI" w:cs="Segoe UI"/>
          <w:noProof/>
          <w:lang w:eastAsia="it-IT"/>
        </w:rPr>
      </w:pPr>
      <w:r w:rsidRPr="00615D07">
        <w:rPr>
          <w:rFonts w:ascii="Segoe UI" w:hAnsi="Segoe UI" w:cs="Segoe UI"/>
          <w:noProof/>
          <w:lang w:eastAsia="it-IT"/>
        </w:rPr>
        <w:t>C.</w:t>
      </w:r>
      <w:r w:rsidRPr="00615D07">
        <w:rPr>
          <w:rFonts w:ascii="Segoe UI" w:hAnsi="Segoe UI" w:cs="Segoe UI"/>
          <w:noProof/>
          <w:lang w:eastAsia="it-IT"/>
        </w:rPr>
        <w:tab/>
      </w:r>
      <w:r w:rsidRPr="00AA5514">
        <w:rPr>
          <w:rFonts w:ascii="Segoe UI" w:hAnsi="Segoe UI" w:cs="Segoe UI"/>
          <w:i/>
          <w:noProof/>
          <w:lang w:eastAsia="it-IT"/>
        </w:rPr>
        <w:t>Relevant</w:t>
      </w:r>
      <w:r w:rsidRPr="00615D07">
        <w:rPr>
          <w:rFonts w:ascii="Segoe UI" w:hAnsi="Segoe UI" w:cs="Segoe UI"/>
          <w:noProof/>
          <w:lang w:eastAsia="it-IT"/>
        </w:rPr>
        <w:t xml:space="preserve"> e </w:t>
      </w:r>
      <w:r w:rsidRPr="00AA5514">
        <w:rPr>
          <w:rFonts w:ascii="Segoe UI" w:hAnsi="Segoe UI" w:cs="Segoe UI"/>
          <w:i/>
          <w:noProof/>
          <w:lang w:eastAsia="it-IT"/>
        </w:rPr>
        <w:t>Material</w:t>
      </w:r>
    </w:p>
    <w:p w14:paraId="6102AEEA" w14:textId="77777777" w:rsidR="00085D98" w:rsidRPr="00615D07" w:rsidRDefault="00085D98" w:rsidP="00085D98">
      <w:pPr>
        <w:keepNext/>
        <w:keepLines/>
        <w:spacing w:before="120" w:after="120" w:line="240" w:lineRule="auto"/>
        <w:jc w:val="both"/>
        <w:rPr>
          <w:rFonts w:ascii="Segoe UI" w:hAnsi="Segoe UI" w:cs="Segoe UI"/>
          <w:lang w:eastAsia="it-IT"/>
        </w:rPr>
      </w:pPr>
    </w:p>
    <w:p w14:paraId="3EFD2FC2" w14:textId="7550885B" w:rsidR="00085D98" w:rsidRPr="00615D07" w:rsidRDefault="00085D98" w:rsidP="00085D98">
      <w:pPr>
        <w:keepNext/>
        <w:keepLines/>
        <w:spacing w:before="120" w:after="120" w:line="240" w:lineRule="auto"/>
        <w:jc w:val="both"/>
        <w:rPr>
          <w:rFonts w:ascii="Segoe UI" w:hAnsi="Segoe UI" w:cs="Segoe UI"/>
          <w:lang w:eastAsia="it-IT"/>
        </w:rPr>
      </w:pPr>
      <w:r w:rsidRPr="00615D07">
        <w:rPr>
          <w:rFonts w:ascii="Segoe UI" w:hAnsi="Segoe UI" w:cs="Segoe UI"/>
          <w:lang w:eastAsia="it-IT"/>
        </w:rPr>
        <w:t>Infine anche negli Orientamenti appare opportuno segnalare il momento in cui i termini “</w:t>
      </w:r>
      <w:r w:rsidRPr="00615D07">
        <w:rPr>
          <w:rFonts w:ascii="Segoe UI" w:hAnsi="Segoe UI" w:cs="Segoe UI"/>
          <w:i/>
          <w:lang w:eastAsia="it-IT"/>
        </w:rPr>
        <w:t>relevant</w:t>
      </w:r>
      <w:r w:rsidRPr="00615D07">
        <w:rPr>
          <w:rFonts w:ascii="Segoe UI" w:hAnsi="Segoe UI" w:cs="Segoe UI"/>
          <w:lang w:eastAsia="it-IT"/>
        </w:rPr>
        <w:t>” e “</w:t>
      </w:r>
      <w:r w:rsidRPr="00615D07">
        <w:rPr>
          <w:rFonts w:ascii="Segoe UI" w:hAnsi="Segoe UI" w:cs="Segoe UI"/>
          <w:i/>
          <w:lang w:eastAsia="it-IT"/>
        </w:rPr>
        <w:t>material</w:t>
      </w:r>
      <w:r w:rsidRPr="00615D07">
        <w:rPr>
          <w:rFonts w:ascii="Segoe UI" w:hAnsi="Segoe UI" w:cs="Segoe UI"/>
          <w:lang w:eastAsia="it-IT"/>
        </w:rPr>
        <w:t>” sono usati nello stesso contesto, circostanza perfetta per iniziare a evidenziare quella distinzione semantica che li contraddistingue nell’ambito della rendicontazione finanziaria.</w:t>
      </w:r>
    </w:p>
    <w:p w14:paraId="121DFCC5" w14:textId="77777777" w:rsidR="00085D98" w:rsidRPr="00615D07" w:rsidRDefault="00085D98" w:rsidP="00085D98">
      <w:pPr>
        <w:keepNext/>
        <w:keepLines/>
        <w:spacing w:before="120" w:after="120" w:line="240" w:lineRule="auto"/>
        <w:jc w:val="both"/>
        <w:rPr>
          <w:rFonts w:ascii="Segoe UI" w:hAnsi="Segoe UI" w:cs="Segoe UI"/>
          <w:lang w:eastAsia="it-IT"/>
        </w:rPr>
      </w:pPr>
    </w:p>
    <w:p w14:paraId="2376DC7F" w14:textId="1D88C522" w:rsidR="00085D98" w:rsidRPr="00615D07" w:rsidRDefault="00085D98" w:rsidP="00085D98">
      <w:pPr>
        <w:keepNext/>
        <w:keepLines/>
        <w:spacing w:before="120" w:after="120" w:line="240" w:lineRule="auto"/>
        <w:jc w:val="both"/>
        <w:rPr>
          <w:rFonts w:ascii="Segoe UI" w:hAnsi="Segoe UI" w:cs="Segoe UI"/>
          <w:lang w:eastAsia="it-IT"/>
        </w:rPr>
      </w:pPr>
      <w:r w:rsidRPr="00615D07">
        <w:rPr>
          <w:rFonts w:ascii="Segoe UI" w:hAnsi="Segoe UI" w:cs="Segoe UI"/>
          <w:lang w:eastAsia="it-IT"/>
        </w:rPr>
        <w:t xml:space="preserve">Traduzione: opzioni 1 / </w:t>
      </w:r>
      <w:r w:rsidR="005704FB">
        <w:rPr>
          <w:rFonts w:ascii="Segoe UI" w:hAnsi="Segoe UI" w:cs="Segoe UI"/>
          <w:lang w:eastAsia="it-IT"/>
        </w:rPr>
        <w:t>2</w:t>
      </w:r>
      <w:r w:rsidRPr="00615D07">
        <w:rPr>
          <w:rFonts w:ascii="Segoe UI" w:hAnsi="Segoe UI" w:cs="Segoe UI"/>
          <w:lang w:eastAsia="it-IT"/>
        </w:rPr>
        <w:t xml:space="preserve"> / Accezione: opzioni 2 / 1</w:t>
      </w:r>
    </w:p>
    <w:p w14:paraId="21F5C031" w14:textId="77777777" w:rsidR="00085D98" w:rsidRPr="00615D07" w:rsidRDefault="00085D98" w:rsidP="00085D98">
      <w:pPr>
        <w:keepNext/>
        <w:keepLines/>
        <w:autoSpaceDE w:val="0"/>
        <w:autoSpaceDN w:val="0"/>
        <w:adjustRightInd w:val="0"/>
        <w:spacing w:before="120" w:after="120" w:line="240" w:lineRule="auto"/>
        <w:jc w:val="both"/>
        <w:rPr>
          <w:rFonts w:ascii="Segoe UI" w:hAnsi="Segoe UI" w:cs="Segoe UI"/>
          <w:lang w:eastAsia="it-IT"/>
        </w:rPr>
      </w:pPr>
      <w:r w:rsidRPr="00615D07">
        <w:rPr>
          <w:rFonts w:ascii="Segoe UI" w:hAnsi="Segoe UI" w:cs="Segoe UI"/>
          <w:color w:val="000000"/>
          <w:lang w:eastAsia="it-IT"/>
        </w:rPr>
        <w:t>Sempre nel paragrafo 3</w:t>
      </w:r>
      <w:r w:rsidRPr="00615D07">
        <w:rPr>
          <w:rFonts w:ascii="Segoe UI" w:hAnsi="Segoe UI" w:cs="Segoe UI"/>
          <w:lang w:eastAsia="it-IT"/>
        </w:rPr>
        <w:t>, “</w:t>
      </w:r>
      <w:r w:rsidRPr="00D276FB">
        <w:rPr>
          <w:rFonts w:ascii="Segoe UI" w:hAnsi="Segoe UI" w:cs="Segoe UI"/>
          <w:color w:val="000000"/>
          <w:lang w:eastAsia="it-IT"/>
        </w:rPr>
        <w:t>K</w:t>
      </w:r>
      <w:r w:rsidRPr="00D276FB">
        <w:rPr>
          <w:rFonts w:ascii="Segoe UI" w:hAnsi="Segoe UI" w:cs="Segoe UI"/>
          <w:lang w:eastAsia="it-IT"/>
        </w:rPr>
        <w:t>ey Principles</w:t>
      </w:r>
      <w:r w:rsidRPr="00615D07">
        <w:rPr>
          <w:rFonts w:ascii="Segoe UI" w:hAnsi="Segoe UI" w:cs="Segoe UI"/>
          <w:lang w:eastAsia="it-IT"/>
        </w:rPr>
        <w:t xml:space="preserve">”, </w:t>
      </w:r>
      <w:r w:rsidRPr="00615D07">
        <w:rPr>
          <w:rFonts w:ascii="Segoe UI" w:hAnsi="Segoe UI" w:cs="Segoe UI"/>
          <w:color w:val="000000"/>
          <w:lang w:eastAsia="it-IT"/>
        </w:rPr>
        <w:t>una nuova scelta nella traduzione con riferimento agli impatti continua a non agevolare un’univoca definizione concettuale:</w:t>
      </w:r>
    </w:p>
    <w:p w14:paraId="6BDAD949" w14:textId="77777777" w:rsidR="00085D98" w:rsidRPr="005F1565" w:rsidRDefault="00085D98" w:rsidP="005F1565">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5F1565">
        <w:rPr>
          <w:rFonts w:ascii="Segoe UI" w:hAnsi="Segoe UI" w:cs="Segoe UI"/>
          <w:color w:val="525252" w:themeColor="accent3" w:themeShade="80"/>
          <w:sz w:val="20"/>
          <w:szCs w:val="20"/>
          <w:lang w:val="en-US" w:eastAsia="it-IT"/>
        </w:rPr>
        <w:t>“3.1 Disclose material information</w:t>
      </w:r>
    </w:p>
    <w:p w14:paraId="45CEBC48" w14:textId="77777777" w:rsidR="00085D98" w:rsidRPr="005F1565" w:rsidRDefault="00085D98" w:rsidP="005F1565">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5F1565">
        <w:rPr>
          <w:rFonts w:ascii="Segoe UI" w:hAnsi="Segoe UI" w:cs="Segoe UI"/>
          <w:color w:val="525252" w:themeColor="accent3" w:themeShade="80"/>
          <w:sz w:val="20"/>
          <w:szCs w:val="20"/>
          <w:lang w:val="en-US" w:eastAsia="it-IT"/>
        </w:rPr>
        <w:t>[...]</w:t>
      </w:r>
    </w:p>
    <w:p w14:paraId="2719EC40" w14:textId="77777777" w:rsidR="00085D98" w:rsidRPr="005F1565" w:rsidRDefault="00085D98" w:rsidP="005F1565">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5F1565">
        <w:rPr>
          <w:rFonts w:ascii="Segoe UI" w:hAnsi="Segoe UI" w:cs="Segoe UI"/>
          <w:color w:val="525252" w:themeColor="accent3" w:themeShade="80"/>
          <w:sz w:val="20"/>
          <w:szCs w:val="20"/>
          <w:lang w:val="en-US" w:eastAsia="it-IT"/>
        </w:rPr>
        <w:t>“</w:t>
      </w:r>
      <w:r w:rsidRPr="005F1565">
        <w:rPr>
          <w:rFonts w:ascii="Segoe UI" w:hAnsi="Segoe UI" w:cs="Segoe UI"/>
          <w:bCs/>
          <w:color w:val="525252" w:themeColor="accent3" w:themeShade="80"/>
          <w:sz w:val="20"/>
          <w:szCs w:val="20"/>
          <w:lang w:val="en-US" w:eastAsia="it-IT"/>
        </w:rPr>
        <w:t>Example and KPIs</w:t>
      </w:r>
    </w:p>
    <w:p w14:paraId="288921C7" w14:textId="77777777" w:rsidR="00085D98" w:rsidRPr="005F1565" w:rsidRDefault="00085D98" w:rsidP="005F1565">
      <w:pPr>
        <w:spacing w:before="120" w:after="120" w:line="240" w:lineRule="auto"/>
        <w:ind w:left="284" w:right="282"/>
        <w:jc w:val="both"/>
        <w:rPr>
          <w:rFonts w:ascii="Segoe UI" w:hAnsi="Segoe UI" w:cs="Segoe UI"/>
          <w:color w:val="525252" w:themeColor="accent3" w:themeShade="80"/>
          <w:sz w:val="20"/>
          <w:szCs w:val="20"/>
          <w:lang w:val="en-US" w:eastAsia="it-IT"/>
        </w:rPr>
      </w:pPr>
      <w:r w:rsidRPr="005F1565">
        <w:rPr>
          <w:rFonts w:ascii="Segoe UI" w:hAnsi="Segoe UI" w:cs="Segoe UI"/>
          <w:color w:val="525252" w:themeColor="accent3" w:themeShade="80"/>
          <w:sz w:val="20"/>
          <w:szCs w:val="20"/>
          <w:lang w:val="en-US" w:eastAsia="it-IT"/>
        </w:rPr>
        <w:t>A company may consider that impacts through its upstream supply chain are relevant and material issues and report on them accordingly. Impacts may be direct or indirect. For example, a company producing mineral water may consider specific measures taken to protect the hydric resources it relies upon.“.</w:t>
      </w:r>
    </w:p>
    <w:p w14:paraId="2FE1908F" w14:textId="78568BEC" w:rsidR="00085D98" w:rsidRPr="00615D07" w:rsidRDefault="00085D98" w:rsidP="00085D98">
      <w:pPr>
        <w:keepNext/>
        <w:keepLines/>
        <w:autoSpaceDE w:val="0"/>
        <w:autoSpaceDN w:val="0"/>
        <w:adjustRightInd w:val="0"/>
        <w:spacing w:before="120" w:after="120" w:line="240" w:lineRule="auto"/>
        <w:jc w:val="both"/>
        <w:rPr>
          <w:rFonts w:ascii="Segoe UI" w:hAnsi="Segoe UI" w:cs="Segoe UI"/>
          <w:bCs/>
          <w:color w:val="000000"/>
          <w:lang w:eastAsia="it-IT"/>
        </w:rPr>
      </w:pPr>
      <w:r w:rsidRPr="00615D07">
        <w:rPr>
          <w:rFonts w:ascii="Segoe UI" w:hAnsi="Segoe UI" w:cs="Segoe UI"/>
          <w:bCs/>
          <w:color w:val="000000"/>
          <w:lang w:eastAsia="it-IT"/>
        </w:rPr>
        <w:t xml:space="preserve">La </w:t>
      </w:r>
      <w:r w:rsidR="00464CFC">
        <w:rPr>
          <w:rFonts w:ascii="Segoe UI" w:hAnsi="Segoe UI" w:cs="Segoe UI"/>
          <w:bCs/>
          <w:color w:val="000000"/>
          <w:lang w:eastAsia="it-IT"/>
        </w:rPr>
        <w:t xml:space="preserve">versione italiana della </w:t>
      </w:r>
      <w:r w:rsidRPr="00615D07">
        <w:rPr>
          <w:rFonts w:ascii="Segoe UI" w:hAnsi="Segoe UI" w:cs="Segoe UI"/>
          <w:bCs/>
          <w:color w:val="000000"/>
          <w:lang w:eastAsia="it-IT"/>
        </w:rPr>
        <w:t>frase è la seguente:</w:t>
      </w:r>
    </w:p>
    <w:p w14:paraId="7B737970" w14:textId="77777777" w:rsidR="00085D98" w:rsidRPr="005F1565" w:rsidRDefault="00085D98" w:rsidP="005F1565">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5F1565">
        <w:rPr>
          <w:rFonts w:ascii="Segoe UI" w:hAnsi="Segoe UI" w:cs="Segoe UI"/>
          <w:bCs/>
          <w:color w:val="525252" w:themeColor="accent3" w:themeShade="80"/>
          <w:sz w:val="20"/>
          <w:szCs w:val="20"/>
          <w:lang w:eastAsia="it-IT"/>
        </w:rPr>
        <w:t>“Esempio e indicatori fondamentali di prestazione</w:t>
      </w:r>
    </w:p>
    <w:p w14:paraId="1806C66F" w14:textId="3BB25FA2" w:rsidR="00085D98" w:rsidRPr="005F1565" w:rsidRDefault="00085D98" w:rsidP="005F1565">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5F1565">
        <w:rPr>
          <w:rFonts w:ascii="Segoe UI" w:hAnsi="Segoe UI" w:cs="Segoe UI"/>
          <w:color w:val="525252" w:themeColor="accent3" w:themeShade="80"/>
          <w:sz w:val="20"/>
          <w:szCs w:val="20"/>
          <w:lang w:eastAsia="it-IT"/>
        </w:rPr>
        <w:t>Un’impresa può ritenere che le ripercussioni lungo la sua catena di fornitura a monte rappresentino degli aspetti pertinenti e rilevanti e, quindi, comunicare informazioni in merito alle stesse di conseguenza. Può trattarsi di ripercussioni dirette o indirette. Ad esempio, un’impresa produttrice di acqua minerale può prendere in considerazione misure specifiche adottate per proteggere le risorse idriche sulle quali essa fa affidamento”.</w:t>
      </w:r>
    </w:p>
    <w:p w14:paraId="69CB004B" w14:textId="525EE840" w:rsidR="00085D98" w:rsidRPr="00615D07" w:rsidRDefault="00085D98" w:rsidP="00085D98">
      <w:pPr>
        <w:spacing w:before="120" w:after="120" w:line="240" w:lineRule="auto"/>
        <w:jc w:val="both"/>
        <w:rPr>
          <w:rFonts w:ascii="Segoe UI" w:hAnsi="Segoe UI" w:cs="Segoe UI"/>
          <w:lang w:eastAsia="it-IT"/>
        </w:rPr>
      </w:pPr>
      <w:r w:rsidRPr="00615D07">
        <w:rPr>
          <w:rFonts w:ascii="Segoe UI" w:hAnsi="Segoe UI" w:cs="Segoe UI"/>
          <w:color w:val="000000"/>
          <w:lang w:eastAsia="it-IT"/>
        </w:rPr>
        <w:t xml:space="preserve">Conclusione: </w:t>
      </w:r>
      <w:r w:rsidRPr="00615D07">
        <w:rPr>
          <w:rFonts w:ascii="Segoe UI" w:hAnsi="Segoe UI" w:cs="Segoe UI"/>
        </w:rPr>
        <w:t xml:space="preserve">in questo caso, </w:t>
      </w:r>
      <w:r w:rsidR="005B6A01">
        <w:rPr>
          <w:rFonts w:ascii="Segoe UI" w:hAnsi="Segoe UI" w:cs="Segoe UI"/>
        </w:rPr>
        <w:t xml:space="preserve">a </w:t>
      </w:r>
      <w:r w:rsidRPr="00615D07">
        <w:rPr>
          <w:rFonts w:ascii="Segoe UI" w:hAnsi="Segoe UI" w:cs="Segoe UI"/>
        </w:rPr>
        <w:t>“</w:t>
      </w:r>
      <w:r w:rsidRPr="00615D07">
        <w:rPr>
          <w:rFonts w:ascii="Segoe UI" w:hAnsi="Segoe UI" w:cs="Segoe UI"/>
          <w:b/>
          <w:i/>
        </w:rPr>
        <w:t>r</w:t>
      </w:r>
      <w:r w:rsidRPr="00615D07">
        <w:rPr>
          <w:rFonts w:ascii="Segoe UI" w:hAnsi="Segoe UI" w:cs="Segoe UI"/>
          <w:b/>
          <w:i/>
          <w:color w:val="000000"/>
          <w:lang w:eastAsia="it-IT"/>
        </w:rPr>
        <w:t>elevant</w:t>
      </w:r>
      <w:r w:rsidRPr="00615D07">
        <w:rPr>
          <w:rFonts w:ascii="Segoe UI" w:hAnsi="Segoe UI" w:cs="Segoe UI"/>
          <w:color w:val="000000"/>
          <w:lang w:eastAsia="it-IT"/>
        </w:rPr>
        <w:t>” e “</w:t>
      </w:r>
      <w:r w:rsidRPr="00615D07">
        <w:rPr>
          <w:rFonts w:ascii="Segoe UI" w:hAnsi="Segoe UI" w:cs="Segoe UI"/>
          <w:b/>
          <w:i/>
          <w:color w:val="000000"/>
          <w:lang w:eastAsia="it-IT"/>
        </w:rPr>
        <w:t>material</w:t>
      </w:r>
      <w:r w:rsidRPr="00615D07">
        <w:rPr>
          <w:rFonts w:ascii="Segoe UI" w:hAnsi="Segoe UI" w:cs="Segoe UI"/>
          <w:color w:val="000000"/>
          <w:lang w:eastAsia="it-IT"/>
        </w:rPr>
        <w:t xml:space="preserve">” </w:t>
      </w:r>
      <w:r w:rsidR="005B6A01">
        <w:rPr>
          <w:rFonts w:ascii="Segoe UI" w:hAnsi="Segoe UI" w:cs="Segoe UI"/>
          <w:color w:val="000000"/>
          <w:lang w:eastAsia="it-IT"/>
        </w:rPr>
        <w:t>corrispondono</w:t>
      </w:r>
      <w:r w:rsidRPr="00615D07">
        <w:rPr>
          <w:rFonts w:ascii="Segoe UI" w:hAnsi="Segoe UI" w:cs="Segoe UI"/>
          <w:color w:val="000000"/>
          <w:lang w:eastAsia="it-IT"/>
        </w:rPr>
        <w:t>, rispettivamente, “</w:t>
      </w:r>
      <w:r w:rsidRPr="00615D07">
        <w:rPr>
          <w:rFonts w:ascii="Segoe UI" w:hAnsi="Segoe UI" w:cs="Segoe UI"/>
          <w:b/>
          <w:color w:val="000000"/>
          <w:lang w:eastAsia="it-IT"/>
        </w:rPr>
        <w:t>pertinente</w:t>
      </w:r>
      <w:r w:rsidRPr="00615D07">
        <w:rPr>
          <w:rFonts w:ascii="Segoe UI" w:hAnsi="Segoe UI" w:cs="Segoe UI"/>
          <w:color w:val="000000"/>
          <w:lang w:eastAsia="it-IT"/>
        </w:rPr>
        <w:t>”e “</w:t>
      </w:r>
      <w:r w:rsidRPr="00615D07">
        <w:rPr>
          <w:rFonts w:ascii="Segoe UI" w:hAnsi="Segoe UI" w:cs="Segoe UI"/>
          <w:b/>
          <w:color w:val="000000"/>
          <w:lang w:eastAsia="it-IT"/>
        </w:rPr>
        <w:t>rilevante</w:t>
      </w:r>
      <w:r w:rsidRPr="00615D07">
        <w:rPr>
          <w:rFonts w:ascii="Segoe UI" w:hAnsi="Segoe UI" w:cs="Segoe UI"/>
          <w:color w:val="000000"/>
          <w:lang w:eastAsia="it-IT"/>
        </w:rPr>
        <w:t xml:space="preserve">”; </w:t>
      </w:r>
      <w:r w:rsidRPr="00615D07">
        <w:rPr>
          <w:rFonts w:ascii="Segoe UI" w:hAnsi="Segoe UI" w:cs="Segoe UI"/>
        </w:rPr>
        <w:t xml:space="preserve">ancorché non si parli di informazione ma di temi, </w:t>
      </w:r>
      <w:r w:rsidRPr="00615D07">
        <w:rPr>
          <w:rFonts w:ascii="Segoe UI" w:hAnsi="Segoe UI" w:cs="Segoe UI"/>
          <w:color w:val="000000"/>
          <w:lang w:eastAsia="it-IT"/>
        </w:rPr>
        <w:t xml:space="preserve">associati come sono, i due termini inglesi sembrano far intuire al lettore la differenza nel loro significato intrinseco, differenza che altrove, in particolare negli </w:t>
      </w:r>
      <w:r w:rsidRPr="00AA5514">
        <w:rPr>
          <w:rFonts w:ascii="Segoe UI" w:hAnsi="Segoe UI" w:cs="Segoe UI"/>
          <w:i/>
          <w:color w:val="000000"/>
          <w:lang w:eastAsia="it-IT"/>
        </w:rPr>
        <w:t>standard</w:t>
      </w:r>
      <w:r w:rsidRPr="00615D07">
        <w:rPr>
          <w:rFonts w:ascii="Segoe UI" w:hAnsi="Segoe UI" w:cs="Segoe UI"/>
          <w:color w:val="000000"/>
          <w:lang w:eastAsia="it-IT"/>
        </w:rPr>
        <w:t xml:space="preserve"> di rendicontazione, potrebbe venir forse più chiaramente espressa con una diversa coppia di termini italiani (“significativo” e “rilevante” o “rilevante” e “materiale”).</w:t>
      </w:r>
    </w:p>
    <w:p w14:paraId="2BD73210" w14:textId="77777777" w:rsidR="00085D98" w:rsidRPr="00615D07" w:rsidRDefault="00085D98" w:rsidP="00085D98">
      <w:pPr>
        <w:spacing w:before="120" w:after="120" w:line="240" w:lineRule="auto"/>
        <w:jc w:val="both"/>
        <w:rPr>
          <w:rFonts w:ascii="Segoe UI" w:hAnsi="Segoe UI" w:cs="Segoe UI"/>
          <w:color w:val="000000"/>
          <w:lang w:eastAsia="it-IT"/>
        </w:rPr>
      </w:pPr>
    </w:p>
    <w:p w14:paraId="79A84A1B" w14:textId="77777777" w:rsidR="00085D98" w:rsidRPr="00615D07" w:rsidRDefault="00085D98" w:rsidP="00085D98">
      <w:pPr>
        <w:keepNext/>
        <w:keepLines/>
        <w:spacing w:before="120" w:after="120" w:line="240" w:lineRule="auto"/>
        <w:jc w:val="both"/>
        <w:rPr>
          <w:rFonts w:ascii="Segoe UI" w:hAnsi="Segoe UI" w:cs="Segoe UI"/>
          <w:lang w:eastAsia="it-IT"/>
        </w:rPr>
      </w:pPr>
      <w:r w:rsidRPr="00615D07">
        <w:rPr>
          <w:rFonts w:ascii="Segoe UI" w:hAnsi="Segoe UI" w:cs="Segoe UI"/>
          <w:lang w:eastAsia="it-IT"/>
        </w:rPr>
        <w:t>Traduzione: opzioni 2 / 2 / Accezione: opzioni 2 / 1</w:t>
      </w:r>
    </w:p>
    <w:p w14:paraId="482FD3C9" w14:textId="77777777" w:rsidR="00085D98" w:rsidRPr="00615D07" w:rsidRDefault="00085D98" w:rsidP="00085D98">
      <w:pPr>
        <w:keepNext/>
        <w:keepLines/>
        <w:spacing w:before="120" w:after="120" w:line="240" w:lineRule="auto"/>
        <w:jc w:val="both"/>
        <w:rPr>
          <w:rFonts w:ascii="Segoe UI" w:hAnsi="Segoe UI" w:cs="Segoe UI"/>
          <w:lang w:eastAsia="it-IT"/>
        </w:rPr>
      </w:pPr>
      <w:r w:rsidRPr="00615D07">
        <w:rPr>
          <w:rFonts w:ascii="Segoe UI" w:hAnsi="Segoe UI" w:cs="Segoe UI"/>
          <w:lang w:eastAsia="it-IT"/>
        </w:rPr>
        <w:t>L’ambiguità nel rapporto tra i termini inglesi e italiani si conferma più avanti nel paragrafo 3.3.</w:t>
      </w:r>
    </w:p>
    <w:p w14:paraId="6DDCA819" w14:textId="77777777" w:rsidR="00085D98" w:rsidRPr="005F1565" w:rsidRDefault="00085D98" w:rsidP="005F1565">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5F1565">
        <w:rPr>
          <w:rFonts w:ascii="Segoe UI" w:hAnsi="Segoe UI" w:cs="Segoe UI"/>
          <w:color w:val="525252" w:themeColor="accent3" w:themeShade="80"/>
          <w:sz w:val="20"/>
          <w:szCs w:val="20"/>
          <w:lang w:val="en-US" w:eastAsia="it-IT"/>
        </w:rPr>
        <w:t>“</w:t>
      </w:r>
      <w:r w:rsidRPr="005F1565">
        <w:rPr>
          <w:rFonts w:ascii="Segoe UI" w:hAnsi="Segoe UI" w:cs="Segoe UI"/>
          <w:bCs/>
          <w:color w:val="525252" w:themeColor="accent3" w:themeShade="80"/>
          <w:sz w:val="20"/>
          <w:szCs w:val="20"/>
          <w:lang w:val="en-US" w:eastAsia="it-IT"/>
        </w:rPr>
        <w:t>3.3 Comprehensive but concise</w:t>
      </w:r>
    </w:p>
    <w:p w14:paraId="4529BE5E" w14:textId="77777777" w:rsidR="00085D98" w:rsidRPr="005F1565" w:rsidRDefault="00085D98" w:rsidP="005F1565">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5F1565">
        <w:rPr>
          <w:rFonts w:ascii="Segoe UI" w:hAnsi="Segoe UI" w:cs="Segoe UI"/>
          <w:color w:val="525252" w:themeColor="accent3" w:themeShade="80"/>
          <w:sz w:val="20"/>
          <w:szCs w:val="20"/>
          <w:lang w:val="en-US" w:eastAsia="it-IT"/>
        </w:rPr>
        <w:t>[...]</w:t>
      </w:r>
    </w:p>
    <w:p w14:paraId="6D78FC94" w14:textId="77777777" w:rsidR="00085D98" w:rsidRPr="005F1565" w:rsidRDefault="00085D98" w:rsidP="005F1565">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5F1565">
        <w:rPr>
          <w:rFonts w:ascii="Segoe UI" w:hAnsi="Segoe UI" w:cs="Segoe UI"/>
          <w:bCs/>
          <w:color w:val="525252" w:themeColor="accent3" w:themeShade="80"/>
          <w:sz w:val="20"/>
          <w:szCs w:val="20"/>
          <w:lang w:val="en-US" w:eastAsia="it-IT"/>
        </w:rPr>
        <w:t>Example</w:t>
      </w:r>
    </w:p>
    <w:p w14:paraId="557EB133" w14:textId="77777777" w:rsidR="00085D98" w:rsidRPr="005F1565" w:rsidRDefault="00085D98" w:rsidP="005F1565">
      <w:pPr>
        <w:spacing w:before="120" w:after="120" w:line="240" w:lineRule="auto"/>
        <w:ind w:left="284" w:right="282"/>
        <w:jc w:val="both"/>
        <w:rPr>
          <w:rFonts w:ascii="Segoe UI" w:hAnsi="Segoe UI" w:cs="Segoe UI"/>
          <w:color w:val="525252" w:themeColor="accent3" w:themeShade="80"/>
          <w:sz w:val="20"/>
          <w:szCs w:val="20"/>
          <w:lang w:val="en-US" w:eastAsia="it-IT"/>
        </w:rPr>
      </w:pPr>
      <w:r w:rsidRPr="005F1565">
        <w:rPr>
          <w:rFonts w:ascii="Segoe UI" w:hAnsi="Segoe UI" w:cs="Segoe UI"/>
          <w:color w:val="525252" w:themeColor="accent3" w:themeShade="80"/>
          <w:sz w:val="20"/>
          <w:szCs w:val="20"/>
          <w:lang w:val="en-US" w:eastAsia="it-IT"/>
        </w:rPr>
        <w:t>A company may summarise information, focus on material information, remove generic information, limit details, avoid elements that are no longer relevant, use cross-reference and signposting, etc.”.</w:t>
      </w:r>
    </w:p>
    <w:p w14:paraId="7860E00B" w14:textId="02C1E2B3" w:rsidR="00085D98" w:rsidRPr="00615D07" w:rsidRDefault="00085D98" w:rsidP="00085D98">
      <w:pPr>
        <w:keepNext/>
        <w:keepLines/>
        <w:autoSpaceDE w:val="0"/>
        <w:autoSpaceDN w:val="0"/>
        <w:adjustRightInd w:val="0"/>
        <w:spacing w:before="120" w:after="120" w:line="240" w:lineRule="auto"/>
        <w:jc w:val="both"/>
        <w:rPr>
          <w:rFonts w:ascii="Segoe UI" w:hAnsi="Segoe UI" w:cs="Segoe UI"/>
          <w:color w:val="000000"/>
          <w:lang w:eastAsia="it-IT"/>
        </w:rPr>
      </w:pPr>
      <w:r w:rsidRPr="00615D07">
        <w:rPr>
          <w:rFonts w:ascii="Segoe UI" w:hAnsi="Segoe UI" w:cs="Segoe UI"/>
          <w:color w:val="000000"/>
          <w:lang w:eastAsia="it-IT"/>
        </w:rPr>
        <w:t>La versione italian</w:t>
      </w:r>
      <w:r w:rsidR="00BF0FFA">
        <w:rPr>
          <w:rFonts w:ascii="Segoe UI" w:hAnsi="Segoe UI" w:cs="Segoe UI"/>
          <w:color w:val="000000"/>
          <w:lang w:eastAsia="it-IT"/>
        </w:rPr>
        <w:t>a</w:t>
      </w:r>
      <w:r w:rsidRPr="00615D07">
        <w:rPr>
          <w:rFonts w:ascii="Segoe UI" w:hAnsi="Segoe UI" w:cs="Segoe UI"/>
          <w:color w:val="000000"/>
          <w:lang w:eastAsia="it-IT"/>
        </w:rPr>
        <w:t xml:space="preserve"> della frase è la seguente:</w:t>
      </w:r>
    </w:p>
    <w:p w14:paraId="37800321" w14:textId="77777777" w:rsidR="00085D98" w:rsidRPr="005F1565" w:rsidRDefault="00085D98" w:rsidP="005F1565">
      <w:pPr>
        <w:pStyle w:val="Default"/>
        <w:keepNext/>
        <w:keepLines/>
        <w:spacing w:before="120" w:after="120"/>
        <w:ind w:left="284" w:right="282"/>
        <w:jc w:val="both"/>
        <w:rPr>
          <w:rFonts w:ascii="Segoe UI" w:hAnsi="Segoe UI" w:cs="Segoe UI"/>
          <w:color w:val="525252" w:themeColor="accent3" w:themeShade="80"/>
          <w:sz w:val="20"/>
          <w:szCs w:val="20"/>
          <w:lang w:eastAsia="it-IT"/>
        </w:rPr>
      </w:pPr>
      <w:r w:rsidRPr="005F1565">
        <w:rPr>
          <w:rFonts w:ascii="Segoe UI" w:hAnsi="Segoe UI" w:cs="Segoe UI"/>
          <w:bCs/>
          <w:color w:val="525252" w:themeColor="accent3" w:themeShade="80"/>
          <w:sz w:val="20"/>
          <w:szCs w:val="20"/>
          <w:lang w:eastAsia="it-IT"/>
        </w:rPr>
        <w:t>“3.3 Informazioni complete ma concise</w:t>
      </w:r>
    </w:p>
    <w:p w14:paraId="4504C9A7" w14:textId="77777777" w:rsidR="00085D98" w:rsidRPr="005F1565" w:rsidRDefault="00085D98" w:rsidP="005F1565">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5F1565">
        <w:rPr>
          <w:rFonts w:ascii="Segoe UI" w:hAnsi="Segoe UI" w:cs="Segoe UI"/>
          <w:color w:val="525252" w:themeColor="accent3" w:themeShade="80"/>
          <w:sz w:val="20"/>
          <w:szCs w:val="20"/>
          <w:lang w:eastAsia="it-IT"/>
        </w:rPr>
        <w:t>[...]</w:t>
      </w:r>
    </w:p>
    <w:p w14:paraId="63B8DC24" w14:textId="77777777" w:rsidR="00085D98" w:rsidRPr="005F1565" w:rsidRDefault="00085D98" w:rsidP="005F1565">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5F1565">
        <w:rPr>
          <w:rFonts w:ascii="Segoe UI" w:hAnsi="Segoe UI" w:cs="Segoe UI"/>
          <w:bCs/>
          <w:color w:val="525252" w:themeColor="accent3" w:themeShade="80"/>
          <w:sz w:val="20"/>
          <w:szCs w:val="20"/>
          <w:lang w:eastAsia="it-IT"/>
        </w:rPr>
        <w:t>Esempio</w:t>
      </w:r>
    </w:p>
    <w:p w14:paraId="45E22E10" w14:textId="77777777" w:rsidR="00085D98" w:rsidRPr="005F1565" w:rsidRDefault="00085D98" w:rsidP="005F1565">
      <w:pPr>
        <w:spacing w:before="120" w:after="120" w:line="240" w:lineRule="auto"/>
        <w:ind w:left="284" w:right="282"/>
        <w:jc w:val="both"/>
        <w:rPr>
          <w:rFonts w:ascii="Segoe UI" w:hAnsi="Segoe UI" w:cs="Segoe UI"/>
          <w:color w:val="525252" w:themeColor="accent3" w:themeShade="80"/>
          <w:sz w:val="20"/>
          <w:szCs w:val="20"/>
          <w:lang w:eastAsia="it-IT"/>
        </w:rPr>
      </w:pPr>
      <w:r w:rsidRPr="005F1565">
        <w:rPr>
          <w:rFonts w:ascii="Segoe UI" w:hAnsi="Segoe UI" w:cs="Segoe UI"/>
          <w:color w:val="525252" w:themeColor="accent3" w:themeShade="80"/>
          <w:sz w:val="20"/>
          <w:szCs w:val="20"/>
          <w:lang w:eastAsia="it-IT"/>
        </w:rPr>
        <w:t>Un’impresa può riassumere informazioni, concentrarsi sulle informazioni rilevanti, eliminare informazioni generiche, limitare i dettagli, evitare elementi che non sono più rilevanti, utilizzano rimandi interni ed esterni, ecc.”.</w:t>
      </w:r>
    </w:p>
    <w:p w14:paraId="3A48CE5A" w14:textId="77777777" w:rsidR="00345B56" w:rsidRDefault="00085D98" w:rsidP="00085D98">
      <w:pPr>
        <w:spacing w:before="120" w:after="120" w:line="240" w:lineRule="auto"/>
        <w:jc w:val="both"/>
        <w:rPr>
          <w:rFonts w:ascii="Segoe UI" w:hAnsi="Segoe UI" w:cs="Segoe UI"/>
          <w:color w:val="000000"/>
          <w:lang w:eastAsia="it-IT"/>
        </w:rPr>
      </w:pPr>
      <w:r w:rsidRPr="00615D07">
        <w:rPr>
          <w:rFonts w:ascii="Segoe UI" w:hAnsi="Segoe UI" w:cs="Segoe UI"/>
          <w:color w:val="000000"/>
          <w:lang w:eastAsia="it-IT"/>
        </w:rPr>
        <w:t xml:space="preserve">Conclusione: </w:t>
      </w:r>
      <w:r w:rsidRPr="00615D07">
        <w:rPr>
          <w:rFonts w:ascii="Segoe UI" w:hAnsi="Segoe UI" w:cs="Segoe UI"/>
        </w:rPr>
        <w:t>in questo caso, “</w:t>
      </w:r>
      <w:r w:rsidRPr="00615D07">
        <w:rPr>
          <w:rFonts w:ascii="Segoe UI" w:hAnsi="Segoe UI" w:cs="Segoe UI"/>
          <w:b/>
          <w:i/>
        </w:rPr>
        <w:t>r</w:t>
      </w:r>
      <w:r w:rsidRPr="00615D07">
        <w:rPr>
          <w:rFonts w:ascii="Segoe UI" w:hAnsi="Segoe UI" w:cs="Segoe UI"/>
          <w:b/>
          <w:i/>
          <w:color w:val="000000"/>
          <w:lang w:eastAsia="it-IT"/>
        </w:rPr>
        <w:t>elevant</w:t>
      </w:r>
      <w:r w:rsidRPr="00615D07">
        <w:rPr>
          <w:rFonts w:ascii="Segoe UI" w:hAnsi="Segoe UI" w:cs="Segoe UI"/>
          <w:color w:val="000000"/>
          <w:lang w:eastAsia="it-IT"/>
        </w:rPr>
        <w:t>” e “</w:t>
      </w:r>
      <w:r w:rsidRPr="00615D07">
        <w:rPr>
          <w:rFonts w:ascii="Segoe UI" w:hAnsi="Segoe UI" w:cs="Segoe UI"/>
          <w:b/>
          <w:i/>
          <w:color w:val="000000"/>
          <w:lang w:eastAsia="it-IT"/>
        </w:rPr>
        <w:t>material</w:t>
      </w:r>
      <w:r w:rsidRPr="00615D07">
        <w:rPr>
          <w:rFonts w:ascii="Segoe UI" w:hAnsi="Segoe UI" w:cs="Segoe UI"/>
          <w:color w:val="000000"/>
          <w:lang w:eastAsia="it-IT"/>
        </w:rPr>
        <w:t>” sono entrambi tradotti con il termine “</w:t>
      </w:r>
      <w:r w:rsidRPr="00615D07">
        <w:rPr>
          <w:rFonts w:ascii="Segoe UI" w:hAnsi="Segoe UI" w:cs="Segoe UI"/>
          <w:b/>
          <w:color w:val="000000"/>
          <w:lang w:eastAsia="it-IT"/>
        </w:rPr>
        <w:t>rilevante</w:t>
      </w:r>
      <w:r w:rsidRPr="00615D07">
        <w:rPr>
          <w:rFonts w:ascii="Segoe UI" w:hAnsi="Segoe UI" w:cs="Segoe UI"/>
          <w:color w:val="000000"/>
          <w:lang w:eastAsia="it-IT"/>
        </w:rPr>
        <w:t>”; peraltro, associati come sono, e risultando il primo termine, “</w:t>
      </w:r>
      <w:r w:rsidRPr="00615D07">
        <w:rPr>
          <w:rFonts w:ascii="Segoe UI" w:hAnsi="Segoe UI" w:cs="Segoe UI"/>
          <w:i/>
          <w:color w:val="000000"/>
          <w:lang w:eastAsia="it-IT"/>
        </w:rPr>
        <w:t>relevant</w:t>
      </w:r>
      <w:r w:rsidRPr="00615D07">
        <w:rPr>
          <w:rFonts w:ascii="Segoe UI" w:hAnsi="Segoe UI" w:cs="Segoe UI"/>
          <w:color w:val="000000"/>
          <w:lang w:eastAsia="it-IT"/>
        </w:rPr>
        <w:t>”, riferito agli “elementi”, il secondo, “</w:t>
      </w:r>
      <w:r w:rsidRPr="00615D07">
        <w:rPr>
          <w:rFonts w:ascii="Segoe UI" w:hAnsi="Segoe UI" w:cs="Segoe UI"/>
          <w:i/>
          <w:color w:val="000000"/>
          <w:lang w:eastAsia="it-IT"/>
        </w:rPr>
        <w:t>material</w:t>
      </w:r>
      <w:r w:rsidRPr="00615D07">
        <w:rPr>
          <w:rFonts w:ascii="Segoe UI" w:hAnsi="Segoe UI" w:cs="Segoe UI"/>
          <w:color w:val="000000"/>
          <w:lang w:eastAsia="it-IT"/>
        </w:rPr>
        <w:t>”, riferito alle informazioni, sembra pacifico l’intento (o comunque la possibilità) di attribuire loro una qualificazione semantica in linea con quella adottata nel paragrafo 3.1, “</w:t>
      </w:r>
      <w:r w:rsidRPr="00615D07">
        <w:rPr>
          <w:rFonts w:ascii="Segoe UI" w:hAnsi="Segoe UI" w:cs="Segoe UI"/>
          <w:bCs/>
          <w:color w:val="000000"/>
          <w:lang w:eastAsia="it-IT"/>
        </w:rPr>
        <w:t xml:space="preserve">Disclose material information”, </w:t>
      </w:r>
      <w:r w:rsidRPr="00615D07">
        <w:rPr>
          <w:rFonts w:ascii="Segoe UI" w:hAnsi="Segoe UI" w:cs="Segoe UI"/>
          <w:color w:val="000000"/>
          <w:lang w:eastAsia="it-IT"/>
        </w:rPr>
        <w:t>in cui gli Orientamenti approfondiscono (seppur brevemente) il concetto di “</w:t>
      </w:r>
      <w:r w:rsidRPr="00615D07">
        <w:rPr>
          <w:rFonts w:ascii="Segoe UI" w:hAnsi="Segoe UI" w:cs="Segoe UI"/>
          <w:i/>
          <w:color w:val="000000"/>
          <w:lang w:eastAsia="it-IT"/>
        </w:rPr>
        <w:t>materiality</w:t>
      </w:r>
      <w:r w:rsidRPr="00615D07">
        <w:rPr>
          <w:rFonts w:ascii="Segoe UI" w:hAnsi="Segoe UI" w:cs="Segoe UI"/>
          <w:color w:val="000000"/>
          <w:lang w:eastAsia="it-IT"/>
        </w:rPr>
        <w:t>”, da cui si evince il diverso significato del concetto di “</w:t>
      </w:r>
      <w:r w:rsidRPr="00615D07">
        <w:rPr>
          <w:rFonts w:ascii="Segoe UI" w:hAnsi="Segoe UI" w:cs="Segoe UI"/>
          <w:i/>
          <w:color w:val="000000"/>
          <w:lang w:eastAsia="it-IT"/>
        </w:rPr>
        <w:t>material</w:t>
      </w:r>
      <w:r w:rsidRPr="00615D07">
        <w:rPr>
          <w:rFonts w:ascii="Segoe UI" w:hAnsi="Segoe UI" w:cs="Segoe UI"/>
          <w:color w:val="000000"/>
          <w:lang w:eastAsia="it-IT"/>
        </w:rPr>
        <w:t>” rispetto al concetto di “</w:t>
      </w:r>
      <w:r w:rsidRPr="00615D07">
        <w:rPr>
          <w:rFonts w:ascii="Segoe UI" w:hAnsi="Segoe UI" w:cs="Segoe UI"/>
          <w:i/>
          <w:color w:val="000000"/>
          <w:lang w:eastAsia="it-IT"/>
        </w:rPr>
        <w:t>relevant</w:t>
      </w:r>
      <w:r w:rsidRPr="00615D07">
        <w:rPr>
          <w:rFonts w:ascii="Segoe UI" w:hAnsi="Segoe UI" w:cs="Segoe UI"/>
          <w:color w:val="000000"/>
          <w:lang w:eastAsia="it-IT"/>
        </w:rPr>
        <w:t>” (in proposito, quindi, valgono qui le osservazioni già evidenziate in quella sede).</w:t>
      </w:r>
    </w:p>
    <w:p w14:paraId="275585AA" w14:textId="77777777" w:rsidR="00345B56" w:rsidRDefault="00345B56" w:rsidP="00085D98">
      <w:pPr>
        <w:spacing w:before="120" w:after="120" w:line="240" w:lineRule="auto"/>
        <w:jc w:val="both"/>
        <w:rPr>
          <w:rFonts w:ascii="Segoe UI" w:hAnsi="Segoe UI" w:cs="Segoe UI"/>
          <w:color w:val="000000"/>
          <w:lang w:eastAsia="it-IT"/>
        </w:rPr>
        <w:sectPr w:rsidR="00345B56" w:rsidSect="0002489A">
          <w:pgSz w:w="11906" w:h="16838" w:code="9"/>
          <w:pgMar w:top="1985" w:right="1134" w:bottom="1134" w:left="1134" w:header="709" w:footer="709" w:gutter="0"/>
          <w:cols w:space="708"/>
          <w:docGrid w:linePitch="360"/>
        </w:sectPr>
      </w:pPr>
    </w:p>
    <w:p w14:paraId="1DF07896" w14:textId="2FE0049E" w:rsidR="00BC4CF3" w:rsidRPr="00847C52" w:rsidRDefault="00847C52" w:rsidP="00726D04">
      <w:pPr>
        <w:keepNext/>
        <w:keepLines/>
        <w:tabs>
          <w:tab w:val="left" w:pos="567"/>
        </w:tabs>
        <w:spacing w:before="1080" w:after="1080" w:line="240" w:lineRule="auto"/>
        <w:ind w:left="567" w:hanging="567"/>
        <w:outlineLvl w:val="0"/>
        <w:rPr>
          <w:rFonts w:ascii="Segoe UI" w:eastAsiaTheme="minorHAnsi" w:hAnsi="Segoe UI" w:cs="Segoe UI"/>
          <w:sz w:val="32"/>
          <w:szCs w:val="32"/>
        </w:rPr>
      </w:pPr>
      <w:bookmarkStart w:id="14" w:name="_Toc507973947"/>
      <w:r>
        <w:rPr>
          <w:rFonts w:ascii="Segoe UI" w:eastAsiaTheme="minorHAnsi" w:hAnsi="Segoe UI" w:cs="Segoe UI"/>
          <w:sz w:val="32"/>
          <w:szCs w:val="32"/>
        </w:rPr>
        <w:t>3</w:t>
      </w:r>
      <w:r w:rsidR="00EA3FBD" w:rsidRPr="00847C52">
        <w:rPr>
          <w:rFonts w:ascii="Segoe UI" w:eastAsiaTheme="minorHAnsi" w:hAnsi="Segoe UI" w:cs="Segoe UI"/>
          <w:sz w:val="32"/>
          <w:szCs w:val="32"/>
        </w:rPr>
        <w:tab/>
        <w:t xml:space="preserve">Varietà </w:t>
      </w:r>
      <w:r w:rsidR="005B6A01" w:rsidRPr="00847C52">
        <w:rPr>
          <w:rFonts w:ascii="Segoe UI" w:eastAsiaTheme="minorHAnsi" w:hAnsi="Segoe UI" w:cs="Segoe UI"/>
          <w:sz w:val="32"/>
          <w:szCs w:val="32"/>
        </w:rPr>
        <w:t xml:space="preserve">terminologica </w:t>
      </w:r>
      <w:r w:rsidR="009D4EBB" w:rsidRPr="00847C52">
        <w:rPr>
          <w:rFonts w:ascii="Segoe UI" w:eastAsiaTheme="minorHAnsi" w:hAnsi="Segoe UI" w:cs="Segoe UI"/>
          <w:sz w:val="32"/>
          <w:szCs w:val="32"/>
        </w:rPr>
        <w:t xml:space="preserve">ed eterogeneità </w:t>
      </w:r>
      <w:r w:rsidR="009D4EBB">
        <w:rPr>
          <w:rFonts w:ascii="Segoe UI" w:eastAsiaTheme="minorHAnsi" w:hAnsi="Segoe UI" w:cs="Segoe UI"/>
          <w:sz w:val="32"/>
          <w:szCs w:val="32"/>
        </w:rPr>
        <w:t>d</w:t>
      </w:r>
      <w:r w:rsidR="009D4EBB" w:rsidRPr="00847C52">
        <w:rPr>
          <w:rFonts w:ascii="Segoe UI" w:eastAsiaTheme="minorHAnsi" w:hAnsi="Segoe UI" w:cs="Segoe UI"/>
          <w:sz w:val="32"/>
          <w:szCs w:val="32"/>
        </w:rPr>
        <w:t xml:space="preserve">elle accezioni </w:t>
      </w:r>
      <w:r w:rsidR="009D4EBB">
        <w:rPr>
          <w:rFonts w:ascii="Segoe UI" w:eastAsiaTheme="minorHAnsi" w:hAnsi="Segoe UI" w:cs="Segoe UI"/>
          <w:sz w:val="32"/>
          <w:szCs w:val="32"/>
        </w:rPr>
        <w:t>n</w:t>
      </w:r>
      <w:r w:rsidR="00EA3FBD" w:rsidRPr="00847C52">
        <w:rPr>
          <w:rFonts w:ascii="Segoe UI" w:eastAsiaTheme="minorHAnsi" w:hAnsi="Segoe UI" w:cs="Segoe UI"/>
          <w:sz w:val="32"/>
          <w:szCs w:val="32"/>
        </w:rPr>
        <w:t>e</w:t>
      </w:r>
      <w:r w:rsidR="00BD2F81" w:rsidRPr="00847C52">
        <w:rPr>
          <w:rFonts w:ascii="Segoe UI" w:eastAsiaTheme="minorHAnsi" w:hAnsi="Segoe UI" w:cs="Segoe UI"/>
          <w:sz w:val="32"/>
          <w:szCs w:val="32"/>
        </w:rPr>
        <w:t xml:space="preserve">lle </w:t>
      </w:r>
      <w:r w:rsidR="00BC4CF3" w:rsidRPr="00847C52">
        <w:rPr>
          <w:rFonts w:ascii="Segoe UI" w:eastAsiaTheme="minorHAnsi" w:hAnsi="Segoe UI" w:cs="Segoe UI"/>
          <w:sz w:val="32"/>
          <w:szCs w:val="32"/>
        </w:rPr>
        <w:t>traduzioni</w:t>
      </w:r>
      <w:r w:rsidR="00BD2F81" w:rsidRPr="00847C52">
        <w:rPr>
          <w:rFonts w:ascii="Segoe UI" w:eastAsiaTheme="minorHAnsi" w:hAnsi="Segoe UI" w:cs="Segoe UI"/>
          <w:sz w:val="32"/>
          <w:szCs w:val="32"/>
        </w:rPr>
        <w:t xml:space="preserve"> </w:t>
      </w:r>
      <w:r w:rsidR="009D4EBB">
        <w:rPr>
          <w:rFonts w:ascii="Segoe UI" w:eastAsiaTheme="minorHAnsi" w:hAnsi="Segoe UI" w:cs="Segoe UI"/>
          <w:sz w:val="32"/>
          <w:szCs w:val="32"/>
        </w:rPr>
        <w:t xml:space="preserve">degli </w:t>
      </w:r>
      <w:r w:rsidR="00EA3FBD" w:rsidRPr="009D4EBB">
        <w:rPr>
          <w:rFonts w:ascii="Segoe UI" w:eastAsiaTheme="minorHAnsi" w:hAnsi="Segoe UI" w:cs="Segoe UI"/>
          <w:i/>
          <w:sz w:val="32"/>
          <w:szCs w:val="32"/>
        </w:rPr>
        <w:t>standard</w:t>
      </w:r>
      <w:r w:rsidR="00EA3FBD" w:rsidRPr="00847C52">
        <w:rPr>
          <w:rFonts w:ascii="Segoe UI" w:eastAsiaTheme="minorHAnsi" w:hAnsi="Segoe UI" w:cs="Segoe UI"/>
          <w:sz w:val="32"/>
          <w:szCs w:val="32"/>
        </w:rPr>
        <w:t xml:space="preserve"> di rendicon</w:t>
      </w:r>
      <w:r w:rsidR="00BC4CF3" w:rsidRPr="00847C52">
        <w:rPr>
          <w:rFonts w:ascii="Segoe UI" w:eastAsiaTheme="minorHAnsi" w:hAnsi="Segoe UI" w:cs="Segoe UI"/>
          <w:sz w:val="32"/>
          <w:szCs w:val="32"/>
        </w:rPr>
        <w:t>tazione</w:t>
      </w:r>
      <w:bookmarkEnd w:id="14"/>
    </w:p>
    <w:p w14:paraId="49396715" w14:textId="019D70F9" w:rsidR="00BC4CF3" w:rsidRPr="0062207D" w:rsidRDefault="00BC4CF3" w:rsidP="0013336D">
      <w:pPr>
        <w:spacing w:before="120" w:after="120" w:line="240" w:lineRule="auto"/>
        <w:jc w:val="both"/>
        <w:rPr>
          <w:rFonts w:ascii="Segoe UI" w:hAnsi="Segoe UI" w:cs="Segoe UI"/>
          <w:szCs w:val="20"/>
        </w:rPr>
      </w:pPr>
      <w:r w:rsidRPr="0062207D">
        <w:rPr>
          <w:rFonts w:ascii="Segoe UI" w:hAnsi="Segoe UI" w:cs="Segoe UI"/>
          <w:szCs w:val="20"/>
        </w:rPr>
        <w:t xml:space="preserve">Approssimazioni o imprecisioni nella traduzione dei termini non sono limitati ai provvedimenti normativi europei, ma riguardano anche </w:t>
      </w:r>
      <w:r w:rsidR="001D1E6F" w:rsidRPr="0062207D">
        <w:rPr>
          <w:rFonts w:ascii="Segoe UI" w:hAnsi="Segoe UI" w:cs="Segoe UI"/>
          <w:szCs w:val="20"/>
        </w:rPr>
        <w:t xml:space="preserve">documentazione tecnica, linee guida o </w:t>
      </w:r>
      <w:r w:rsidR="001D1E6F" w:rsidRPr="00AA5514">
        <w:rPr>
          <w:rFonts w:ascii="Segoe UI" w:hAnsi="Segoe UI" w:cs="Segoe UI"/>
          <w:i/>
          <w:szCs w:val="20"/>
        </w:rPr>
        <w:t>standard</w:t>
      </w:r>
      <w:r w:rsidR="001D1E6F" w:rsidRPr="0062207D">
        <w:rPr>
          <w:rFonts w:ascii="Segoe UI" w:hAnsi="Segoe UI" w:cs="Segoe UI"/>
          <w:szCs w:val="20"/>
        </w:rPr>
        <w:t xml:space="preserve"> di rendicontazione </w:t>
      </w:r>
      <w:r w:rsidRPr="0062207D">
        <w:rPr>
          <w:rFonts w:ascii="Segoe UI" w:hAnsi="Segoe UI" w:cs="Segoe UI"/>
          <w:szCs w:val="20"/>
        </w:rPr>
        <w:t>(</w:t>
      </w:r>
      <w:r w:rsidR="001D1E6F" w:rsidRPr="0062207D">
        <w:rPr>
          <w:rFonts w:ascii="Segoe UI" w:hAnsi="Segoe UI" w:cs="Segoe UI"/>
          <w:szCs w:val="20"/>
        </w:rPr>
        <w:t xml:space="preserve">ragion per cui tali approssimazioni o imprecisioni destano forse anche più stupore e risultano, nella pratica, se si vuole, anche </w:t>
      </w:r>
      <w:r w:rsidR="00CF43C8" w:rsidRPr="0062207D">
        <w:rPr>
          <w:rFonts w:ascii="Segoe UI" w:hAnsi="Segoe UI" w:cs="Segoe UI"/>
          <w:szCs w:val="20"/>
        </w:rPr>
        <w:t xml:space="preserve">più </w:t>
      </w:r>
      <w:r w:rsidR="001D1E6F" w:rsidRPr="0062207D">
        <w:rPr>
          <w:rFonts w:ascii="Segoe UI" w:hAnsi="Segoe UI" w:cs="Segoe UI"/>
          <w:szCs w:val="20"/>
        </w:rPr>
        <w:t>critici</w:t>
      </w:r>
      <w:r w:rsidR="00CF43C8" w:rsidRPr="0062207D">
        <w:rPr>
          <w:rFonts w:ascii="Segoe UI" w:hAnsi="Segoe UI" w:cs="Segoe UI"/>
          <w:szCs w:val="20"/>
        </w:rPr>
        <w:t>).</w:t>
      </w:r>
    </w:p>
    <w:p w14:paraId="3E12F167" w14:textId="0123C7A4" w:rsidR="001D1E6F" w:rsidRPr="0062207D" w:rsidRDefault="001D1E6F" w:rsidP="0013336D">
      <w:pPr>
        <w:spacing w:before="120" w:after="120" w:line="240" w:lineRule="auto"/>
        <w:jc w:val="both"/>
        <w:rPr>
          <w:rFonts w:ascii="Segoe UI" w:hAnsi="Segoe UI" w:cs="Segoe UI"/>
          <w:szCs w:val="20"/>
        </w:rPr>
      </w:pPr>
      <w:r w:rsidRPr="0062207D">
        <w:rPr>
          <w:rFonts w:ascii="Segoe UI" w:hAnsi="Segoe UI" w:cs="Segoe UI"/>
          <w:szCs w:val="20"/>
        </w:rPr>
        <w:t xml:space="preserve">Ricordando ancora che il significato intrinseco o tecnico dei termini cui si fa riferimento (e la natura dei concetti sottostanti) sarà, nel caso, approfondito successivamente per sviluppare un ragionamento funzionale a perseguire gli obiettivi di questo documento, si riportano di seguito importanti esempi di tale circostanza, che riduce la comprensione (e dunque la corretta applicabilità) nel contesto nazionale dei documenti in cui </w:t>
      </w:r>
      <w:r w:rsidR="00205A15" w:rsidRPr="0062207D">
        <w:rPr>
          <w:rFonts w:ascii="Segoe UI" w:hAnsi="Segoe UI" w:cs="Segoe UI"/>
          <w:szCs w:val="20"/>
        </w:rPr>
        <w:t>tali termini sono adoperati</w:t>
      </w:r>
      <w:r w:rsidRPr="0062207D">
        <w:rPr>
          <w:rFonts w:ascii="Segoe UI" w:hAnsi="Segoe UI" w:cs="Segoe UI"/>
          <w:szCs w:val="20"/>
        </w:rPr>
        <w:t>.</w:t>
      </w:r>
    </w:p>
    <w:p w14:paraId="644B085D" w14:textId="224E34F8" w:rsidR="00A3284F" w:rsidRPr="00A42E62" w:rsidRDefault="00A42E62" w:rsidP="00A42E62">
      <w:pPr>
        <w:keepNext/>
        <w:keepLines/>
        <w:tabs>
          <w:tab w:val="left" w:pos="567"/>
        </w:tabs>
        <w:spacing w:before="1080" w:after="720" w:line="240" w:lineRule="auto"/>
        <w:ind w:left="567" w:hanging="567"/>
        <w:outlineLvl w:val="1"/>
        <w:rPr>
          <w:rFonts w:ascii="Segoe UI" w:eastAsiaTheme="minorHAnsi" w:hAnsi="Segoe UI" w:cs="Segoe UI"/>
          <w:bCs/>
          <w:sz w:val="28"/>
          <w:szCs w:val="28"/>
          <w:lang w:val="en-US"/>
        </w:rPr>
      </w:pPr>
      <w:bookmarkStart w:id="15" w:name="_Toc507973948"/>
      <w:r w:rsidRPr="00A42E62">
        <w:rPr>
          <w:rFonts w:ascii="Segoe UI" w:eastAsiaTheme="minorHAnsi" w:hAnsi="Segoe UI" w:cs="Segoe UI"/>
          <w:bCs/>
          <w:sz w:val="28"/>
          <w:szCs w:val="28"/>
          <w:lang w:val="en-US"/>
        </w:rPr>
        <w:t>3</w:t>
      </w:r>
      <w:r w:rsidR="002B1F46" w:rsidRPr="00A42E62">
        <w:rPr>
          <w:rFonts w:ascii="Segoe UI" w:eastAsiaTheme="minorHAnsi" w:hAnsi="Segoe UI" w:cs="Segoe UI"/>
          <w:bCs/>
          <w:sz w:val="28"/>
          <w:szCs w:val="28"/>
          <w:lang w:val="en-US"/>
        </w:rPr>
        <w:t>.1</w:t>
      </w:r>
      <w:r w:rsidR="002B1F46" w:rsidRPr="00A42E62">
        <w:rPr>
          <w:rFonts w:ascii="Segoe UI" w:eastAsiaTheme="minorHAnsi" w:hAnsi="Segoe UI" w:cs="Segoe UI"/>
          <w:bCs/>
          <w:sz w:val="28"/>
          <w:szCs w:val="28"/>
          <w:lang w:val="en-US"/>
        </w:rPr>
        <w:tab/>
      </w:r>
      <w:r w:rsidR="00D63331" w:rsidRPr="00A42E62">
        <w:rPr>
          <w:rFonts w:ascii="Segoe UI" w:eastAsiaTheme="minorHAnsi" w:hAnsi="Segoe UI" w:cs="Segoe UI"/>
          <w:bCs/>
          <w:sz w:val="28"/>
          <w:szCs w:val="28"/>
          <w:lang w:val="en-US"/>
        </w:rPr>
        <w:t xml:space="preserve">Sustainability Reporting (SR) Guidelines della </w:t>
      </w:r>
      <w:r w:rsidR="00A3284F" w:rsidRPr="00A42E62">
        <w:rPr>
          <w:rFonts w:ascii="Segoe UI" w:eastAsiaTheme="minorHAnsi" w:hAnsi="Segoe UI" w:cs="Segoe UI"/>
          <w:bCs/>
          <w:sz w:val="28"/>
          <w:szCs w:val="28"/>
          <w:lang w:val="en-US"/>
        </w:rPr>
        <w:t>G</w:t>
      </w:r>
      <w:r w:rsidR="00EC0C55" w:rsidRPr="00A42E62">
        <w:rPr>
          <w:rFonts w:ascii="Segoe UI" w:eastAsiaTheme="minorHAnsi" w:hAnsi="Segoe UI" w:cs="Segoe UI"/>
          <w:bCs/>
          <w:sz w:val="28"/>
          <w:szCs w:val="28"/>
          <w:lang w:val="en-US"/>
        </w:rPr>
        <w:t>lobal Reporting Initiative</w:t>
      </w:r>
      <w:r w:rsidR="00D63331" w:rsidRPr="00A42E62">
        <w:rPr>
          <w:rFonts w:ascii="Segoe UI" w:eastAsiaTheme="minorHAnsi" w:hAnsi="Segoe UI" w:cs="Segoe UI"/>
          <w:bCs/>
          <w:sz w:val="28"/>
          <w:szCs w:val="28"/>
          <w:lang w:val="en-US"/>
        </w:rPr>
        <w:t xml:space="preserve"> (GRI)</w:t>
      </w:r>
      <w:bookmarkEnd w:id="15"/>
    </w:p>
    <w:p w14:paraId="05E8DD77" w14:textId="3810BCEC" w:rsidR="00EC0C55" w:rsidRDefault="00EC0C55" w:rsidP="0013336D">
      <w:pPr>
        <w:keepNext/>
        <w:keepLines/>
        <w:spacing w:before="120" w:after="120" w:line="240" w:lineRule="auto"/>
        <w:jc w:val="both"/>
        <w:rPr>
          <w:rFonts w:ascii="Segoe UI" w:hAnsi="Segoe UI" w:cs="Segoe UI"/>
          <w:szCs w:val="20"/>
        </w:rPr>
      </w:pPr>
      <w:r w:rsidRPr="0062207D">
        <w:rPr>
          <w:rFonts w:ascii="Segoe UI" w:hAnsi="Segoe UI" w:cs="Segoe UI"/>
          <w:noProof/>
          <w:szCs w:val="20"/>
          <w:lang w:eastAsia="it-IT"/>
        </w:rPr>
        <w:t xml:space="preserve">Di seguito si riportano due estratti delle </w:t>
      </w:r>
      <w:r w:rsidRPr="0062207D">
        <w:rPr>
          <w:rFonts w:ascii="Segoe UI" w:hAnsi="Segoe UI" w:cs="Segoe UI"/>
          <w:szCs w:val="20"/>
        </w:rPr>
        <w:t>Sustainability Reporting (SR) Guidelines della Global Reporting Initiative</w:t>
      </w:r>
      <w:r w:rsidR="00C501B3" w:rsidRPr="0062207D">
        <w:rPr>
          <w:rFonts w:ascii="Segoe UI" w:hAnsi="Segoe UI" w:cs="Segoe UI"/>
          <w:szCs w:val="20"/>
        </w:rPr>
        <w:t xml:space="preserve"> (GRI)</w:t>
      </w:r>
      <w:r w:rsidRPr="0062207D">
        <w:rPr>
          <w:rFonts w:ascii="Segoe UI" w:hAnsi="Segoe UI" w:cs="Segoe UI"/>
          <w:szCs w:val="20"/>
        </w:rPr>
        <w:t xml:space="preserve"> nell</w:t>
      </w:r>
      <w:r w:rsidR="00D4390A">
        <w:rPr>
          <w:rFonts w:ascii="Segoe UI" w:hAnsi="Segoe UI" w:cs="Segoe UI"/>
          <w:szCs w:val="20"/>
        </w:rPr>
        <w:t xml:space="preserve">e </w:t>
      </w:r>
      <w:r w:rsidRPr="0062207D">
        <w:rPr>
          <w:rFonts w:ascii="Segoe UI" w:hAnsi="Segoe UI" w:cs="Segoe UI"/>
          <w:szCs w:val="20"/>
        </w:rPr>
        <w:t>version</w:t>
      </w:r>
      <w:r w:rsidR="00D4390A">
        <w:rPr>
          <w:rFonts w:ascii="Segoe UI" w:hAnsi="Segoe UI" w:cs="Segoe UI"/>
          <w:szCs w:val="20"/>
        </w:rPr>
        <w:t xml:space="preserve">i G3 </w:t>
      </w:r>
      <w:r w:rsidRPr="0062207D">
        <w:rPr>
          <w:rFonts w:ascii="Segoe UI" w:hAnsi="Segoe UI" w:cs="Segoe UI"/>
          <w:szCs w:val="20"/>
        </w:rPr>
        <w:t>e G3.1 – pubblicate</w:t>
      </w:r>
      <w:r w:rsidR="00D4390A">
        <w:rPr>
          <w:rFonts w:ascii="Segoe UI" w:hAnsi="Segoe UI" w:cs="Segoe UI"/>
          <w:szCs w:val="20"/>
        </w:rPr>
        <w:t>, rispettivamente,</w:t>
      </w:r>
      <w:r w:rsidRPr="0062207D">
        <w:rPr>
          <w:rFonts w:ascii="Segoe UI" w:hAnsi="Segoe UI" w:cs="Segoe UI"/>
          <w:szCs w:val="20"/>
        </w:rPr>
        <w:t xml:space="preserve"> nel 2006 </w:t>
      </w:r>
      <w:r w:rsidR="00D4390A">
        <w:rPr>
          <w:rFonts w:ascii="Segoe UI" w:hAnsi="Segoe UI" w:cs="Segoe UI"/>
          <w:szCs w:val="20"/>
        </w:rPr>
        <w:t xml:space="preserve">e nel 2011 </w:t>
      </w:r>
      <w:r w:rsidRPr="0062207D">
        <w:rPr>
          <w:rFonts w:ascii="Segoe UI" w:hAnsi="Segoe UI" w:cs="Segoe UI"/>
          <w:szCs w:val="20"/>
        </w:rPr>
        <w:t xml:space="preserve">e sostituite </w:t>
      </w:r>
      <w:r w:rsidR="00C501B3" w:rsidRPr="0062207D">
        <w:rPr>
          <w:rFonts w:ascii="Segoe UI" w:hAnsi="Segoe UI" w:cs="Segoe UI"/>
          <w:szCs w:val="20"/>
        </w:rPr>
        <w:t xml:space="preserve">poi </w:t>
      </w:r>
      <w:r w:rsidRPr="0062207D">
        <w:rPr>
          <w:rFonts w:ascii="Segoe UI" w:hAnsi="Segoe UI" w:cs="Segoe UI"/>
          <w:szCs w:val="20"/>
        </w:rPr>
        <w:t>nel 2013 dalle</w:t>
      </w:r>
      <w:r w:rsidR="0026626A">
        <w:rPr>
          <w:rFonts w:ascii="Segoe UI" w:hAnsi="Segoe UI" w:cs="Segoe UI"/>
          <w:szCs w:val="20"/>
        </w:rPr>
        <w:t xml:space="preserve"> </w:t>
      </w:r>
      <w:r w:rsidRPr="0062207D">
        <w:rPr>
          <w:rFonts w:ascii="Segoe UI" w:hAnsi="Segoe UI" w:cs="Segoe UI"/>
          <w:szCs w:val="20"/>
        </w:rPr>
        <w:t xml:space="preserve">SR Guidelines G4, versione che sarà a sua volta soppiantata dai GRI SR Standards a partire dal luglio 2018 – in quanto inclusi nell’ultima generazione delle </w:t>
      </w:r>
      <w:r w:rsidR="00D276FB">
        <w:rPr>
          <w:rFonts w:ascii="Segoe UI" w:hAnsi="Segoe UI" w:cs="Segoe UI"/>
          <w:szCs w:val="20"/>
        </w:rPr>
        <w:t xml:space="preserve">SR </w:t>
      </w:r>
      <w:r w:rsidRPr="0062207D">
        <w:rPr>
          <w:rFonts w:ascii="Segoe UI" w:hAnsi="Segoe UI" w:cs="Segoe UI"/>
          <w:szCs w:val="20"/>
        </w:rPr>
        <w:t>Guidelines tradotta in lingua italiana e in cui sono fornite accezioni diverse de</w:t>
      </w:r>
      <w:r w:rsidR="00D61A70">
        <w:rPr>
          <w:rFonts w:ascii="Segoe UI" w:hAnsi="Segoe UI" w:cs="Segoe UI"/>
          <w:szCs w:val="20"/>
        </w:rPr>
        <w:t>i</w:t>
      </w:r>
      <w:r w:rsidRPr="0062207D">
        <w:rPr>
          <w:rFonts w:ascii="Segoe UI" w:hAnsi="Segoe UI" w:cs="Segoe UI"/>
          <w:szCs w:val="20"/>
        </w:rPr>
        <w:t xml:space="preserve"> termin</w:t>
      </w:r>
      <w:r w:rsidR="00D61A70">
        <w:rPr>
          <w:rFonts w:ascii="Segoe UI" w:hAnsi="Segoe UI" w:cs="Segoe UI"/>
          <w:szCs w:val="20"/>
        </w:rPr>
        <w:t>i</w:t>
      </w:r>
      <w:r w:rsidRPr="0062207D">
        <w:rPr>
          <w:rFonts w:ascii="Segoe UI" w:hAnsi="Segoe UI" w:cs="Segoe UI"/>
          <w:szCs w:val="20"/>
        </w:rPr>
        <w:t xml:space="preserve"> “</w:t>
      </w:r>
      <w:r w:rsidRPr="0062207D">
        <w:rPr>
          <w:rFonts w:ascii="Segoe UI" w:hAnsi="Segoe UI" w:cs="Segoe UI"/>
          <w:i/>
          <w:szCs w:val="20"/>
        </w:rPr>
        <w:t>relevant</w:t>
      </w:r>
      <w:r w:rsidRPr="0062207D">
        <w:rPr>
          <w:rFonts w:ascii="Segoe UI" w:hAnsi="Segoe UI" w:cs="Segoe UI"/>
          <w:szCs w:val="20"/>
        </w:rPr>
        <w:t>“</w:t>
      </w:r>
      <w:r w:rsidR="00D61A70">
        <w:rPr>
          <w:rFonts w:ascii="Segoe UI" w:hAnsi="Segoe UI" w:cs="Segoe UI"/>
          <w:szCs w:val="20"/>
        </w:rPr>
        <w:t xml:space="preserve"> e “</w:t>
      </w:r>
      <w:r w:rsidR="00D61A70" w:rsidRPr="00190C05">
        <w:rPr>
          <w:rFonts w:ascii="Segoe UI" w:hAnsi="Segoe UI" w:cs="Segoe UI"/>
          <w:i/>
          <w:szCs w:val="20"/>
        </w:rPr>
        <w:t>material</w:t>
      </w:r>
      <w:r w:rsidR="00D61A70">
        <w:rPr>
          <w:rFonts w:ascii="Segoe UI" w:hAnsi="Segoe UI" w:cs="Segoe UI"/>
          <w:szCs w:val="20"/>
        </w:rPr>
        <w:t>”</w:t>
      </w:r>
      <w:r w:rsidRPr="0062207D">
        <w:rPr>
          <w:rFonts w:ascii="Segoe UI" w:hAnsi="Segoe UI" w:cs="Segoe UI"/>
          <w:szCs w:val="20"/>
        </w:rPr>
        <w:t>.</w:t>
      </w:r>
    </w:p>
    <w:p w14:paraId="296CCE57" w14:textId="77777777" w:rsidR="00F41A3C" w:rsidRDefault="00F41A3C" w:rsidP="00F41A3C">
      <w:pPr>
        <w:spacing w:before="120" w:after="120" w:line="240" w:lineRule="auto"/>
        <w:jc w:val="both"/>
        <w:rPr>
          <w:rFonts w:ascii="Segoe UI" w:hAnsi="Segoe UI" w:cs="Segoe UI"/>
          <w:szCs w:val="20"/>
        </w:rPr>
      </w:pPr>
    </w:p>
    <w:p w14:paraId="5CA16732" w14:textId="77777777" w:rsidR="00564B61" w:rsidRDefault="00564B61" w:rsidP="00F41A3C">
      <w:pPr>
        <w:spacing w:before="120" w:after="120" w:line="240" w:lineRule="auto"/>
        <w:jc w:val="both"/>
        <w:rPr>
          <w:rFonts w:ascii="Segoe UI" w:hAnsi="Segoe UI" w:cs="Segoe UI"/>
          <w:szCs w:val="20"/>
        </w:rPr>
      </w:pPr>
    </w:p>
    <w:p w14:paraId="44BB4685" w14:textId="53E2B6C4" w:rsidR="0080248C" w:rsidRPr="00564B61" w:rsidRDefault="00564B61" w:rsidP="00564B61">
      <w:pPr>
        <w:keepNext/>
        <w:keepLines/>
        <w:tabs>
          <w:tab w:val="left" w:pos="284"/>
        </w:tabs>
        <w:spacing w:before="120" w:after="120" w:line="240" w:lineRule="auto"/>
        <w:jc w:val="both"/>
        <w:rPr>
          <w:rFonts w:ascii="Segoe UI" w:hAnsi="Segoe UI" w:cs="Segoe UI"/>
          <w:noProof/>
          <w:szCs w:val="20"/>
          <w:lang w:eastAsia="it-IT"/>
        </w:rPr>
      </w:pPr>
      <w:r>
        <w:rPr>
          <w:rFonts w:ascii="Segoe UI" w:hAnsi="Segoe UI" w:cs="Segoe UI"/>
          <w:noProof/>
          <w:szCs w:val="20"/>
          <w:lang w:eastAsia="it-IT"/>
        </w:rPr>
        <w:t>A.</w:t>
      </w:r>
      <w:r>
        <w:rPr>
          <w:rFonts w:ascii="Segoe UI" w:hAnsi="Segoe UI" w:cs="Segoe UI"/>
          <w:noProof/>
          <w:szCs w:val="20"/>
          <w:lang w:eastAsia="it-IT"/>
        </w:rPr>
        <w:tab/>
      </w:r>
      <w:r w:rsidR="0080248C" w:rsidRPr="00FF072E">
        <w:rPr>
          <w:rFonts w:ascii="Segoe UI" w:hAnsi="Segoe UI" w:cs="Segoe UI"/>
          <w:i/>
          <w:noProof/>
          <w:szCs w:val="20"/>
          <w:lang w:eastAsia="it-IT"/>
        </w:rPr>
        <w:t>Relevant</w:t>
      </w:r>
      <w:r w:rsidR="0086466C">
        <w:rPr>
          <w:rFonts w:ascii="Segoe UI" w:hAnsi="Segoe UI" w:cs="Segoe UI"/>
          <w:noProof/>
          <w:szCs w:val="20"/>
          <w:lang w:eastAsia="it-IT"/>
        </w:rPr>
        <w:t xml:space="preserve"> </w:t>
      </w:r>
      <w:r w:rsidR="00BF0FFA">
        <w:rPr>
          <w:rFonts w:ascii="Segoe UI" w:hAnsi="Segoe UI" w:cs="Segoe UI"/>
          <w:noProof/>
          <w:szCs w:val="20"/>
          <w:lang w:eastAsia="it-IT"/>
        </w:rPr>
        <w:t>e</w:t>
      </w:r>
      <w:r w:rsidR="002B2540">
        <w:rPr>
          <w:rFonts w:ascii="Segoe UI" w:hAnsi="Segoe UI" w:cs="Segoe UI"/>
          <w:noProof/>
          <w:szCs w:val="20"/>
          <w:lang w:eastAsia="it-IT"/>
        </w:rPr>
        <w:t xml:space="preserve"> </w:t>
      </w:r>
      <w:r w:rsidRPr="00FF072E">
        <w:rPr>
          <w:rFonts w:ascii="Segoe UI" w:hAnsi="Segoe UI" w:cs="Segoe UI"/>
          <w:i/>
          <w:noProof/>
          <w:szCs w:val="20"/>
          <w:lang w:eastAsia="it-IT"/>
        </w:rPr>
        <w:t>M</w:t>
      </w:r>
      <w:r w:rsidR="0080248C" w:rsidRPr="00FF072E">
        <w:rPr>
          <w:rFonts w:ascii="Segoe UI" w:hAnsi="Segoe UI" w:cs="Segoe UI"/>
          <w:i/>
          <w:noProof/>
          <w:szCs w:val="20"/>
          <w:lang w:eastAsia="it-IT"/>
        </w:rPr>
        <w:t>aterial</w:t>
      </w:r>
    </w:p>
    <w:p w14:paraId="2ADCF17C" w14:textId="77777777" w:rsidR="005E5397" w:rsidRDefault="005E5397" w:rsidP="0080248C">
      <w:pPr>
        <w:keepNext/>
        <w:keepLines/>
        <w:spacing w:before="120" w:after="120" w:line="240" w:lineRule="auto"/>
        <w:jc w:val="both"/>
        <w:rPr>
          <w:rFonts w:ascii="Segoe UI" w:hAnsi="Segoe UI" w:cs="Segoe UI"/>
          <w:i/>
          <w:lang w:eastAsia="it-IT"/>
        </w:rPr>
      </w:pPr>
    </w:p>
    <w:p w14:paraId="4E349B3F" w14:textId="371C85DE" w:rsidR="00F41A3C" w:rsidRPr="0062207D" w:rsidRDefault="00F41A3C" w:rsidP="0013336D">
      <w:pPr>
        <w:keepNext/>
        <w:keepLines/>
        <w:spacing w:before="120" w:after="120" w:line="240" w:lineRule="auto"/>
        <w:jc w:val="both"/>
        <w:rPr>
          <w:rFonts w:ascii="Segoe UI" w:hAnsi="Segoe UI" w:cs="Segoe UI"/>
          <w:szCs w:val="20"/>
        </w:rPr>
      </w:pPr>
      <w:r>
        <w:rPr>
          <w:rFonts w:ascii="Segoe UI" w:hAnsi="Segoe UI" w:cs="Segoe UI"/>
          <w:szCs w:val="20"/>
        </w:rPr>
        <w:t>Traduzione</w:t>
      </w:r>
      <w:r w:rsidR="002B2540">
        <w:rPr>
          <w:rFonts w:ascii="Segoe UI" w:hAnsi="Segoe UI" w:cs="Segoe UI"/>
          <w:szCs w:val="20"/>
        </w:rPr>
        <w:t>:</w:t>
      </w:r>
      <w:r>
        <w:rPr>
          <w:rFonts w:ascii="Segoe UI" w:hAnsi="Segoe UI" w:cs="Segoe UI"/>
          <w:szCs w:val="20"/>
        </w:rPr>
        <w:t xml:space="preserve"> opzion</w:t>
      </w:r>
      <w:r w:rsidR="002A4D65">
        <w:rPr>
          <w:rFonts w:ascii="Segoe UI" w:hAnsi="Segoe UI" w:cs="Segoe UI"/>
          <w:szCs w:val="20"/>
        </w:rPr>
        <w:t>i</w:t>
      </w:r>
      <w:r>
        <w:rPr>
          <w:rFonts w:ascii="Segoe UI" w:hAnsi="Segoe UI" w:cs="Segoe UI"/>
          <w:szCs w:val="20"/>
        </w:rPr>
        <w:t xml:space="preserve"> 1</w:t>
      </w:r>
      <w:r w:rsidR="002A4D65">
        <w:rPr>
          <w:rFonts w:ascii="Segoe UI" w:hAnsi="Segoe UI" w:cs="Segoe UI"/>
          <w:szCs w:val="20"/>
        </w:rPr>
        <w:t xml:space="preserve"> </w:t>
      </w:r>
      <w:r>
        <w:rPr>
          <w:rFonts w:ascii="Segoe UI" w:hAnsi="Segoe UI" w:cs="Segoe UI"/>
          <w:szCs w:val="20"/>
        </w:rPr>
        <w:t>/</w:t>
      </w:r>
      <w:r w:rsidR="002A4D65">
        <w:rPr>
          <w:rFonts w:ascii="Segoe UI" w:hAnsi="Segoe UI" w:cs="Segoe UI"/>
          <w:szCs w:val="20"/>
        </w:rPr>
        <w:t xml:space="preserve"> </w:t>
      </w:r>
      <w:r>
        <w:rPr>
          <w:rFonts w:ascii="Segoe UI" w:hAnsi="Segoe UI" w:cs="Segoe UI"/>
          <w:szCs w:val="20"/>
        </w:rPr>
        <w:t xml:space="preserve">1 / </w:t>
      </w:r>
      <w:r w:rsidR="002B2540">
        <w:rPr>
          <w:rFonts w:ascii="Segoe UI" w:hAnsi="Segoe UI" w:cs="Segoe UI"/>
          <w:szCs w:val="20"/>
        </w:rPr>
        <w:t>A</w:t>
      </w:r>
      <w:r>
        <w:rPr>
          <w:rFonts w:ascii="Segoe UI" w:hAnsi="Segoe UI" w:cs="Segoe UI"/>
          <w:szCs w:val="20"/>
        </w:rPr>
        <w:t>ccezione</w:t>
      </w:r>
      <w:r w:rsidR="002B2540">
        <w:rPr>
          <w:rFonts w:ascii="Segoe UI" w:hAnsi="Segoe UI" w:cs="Segoe UI"/>
          <w:szCs w:val="20"/>
        </w:rPr>
        <w:t>: opzion</w:t>
      </w:r>
      <w:r w:rsidR="002A4D65">
        <w:rPr>
          <w:rFonts w:ascii="Segoe UI" w:hAnsi="Segoe UI" w:cs="Segoe UI"/>
          <w:szCs w:val="20"/>
        </w:rPr>
        <w:t>i</w:t>
      </w:r>
      <w:r>
        <w:rPr>
          <w:rFonts w:ascii="Segoe UI" w:hAnsi="Segoe UI" w:cs="Segoe UI"/>
          <w:szCs w:val="20"/>
        </w:rPr>
        <w:t xml:space="preserve"> 1</w:t>
      </w:r>
      <w:r w:rsidR="002A4D65">
        <w:rPr>
          <w:rFonts w:ascii="Segoe UI" w:hAnsi="Segoe UI" w:cs="Segoe UI"/>
          <w:szCs w:val="20"/>
        </w:rPr>
        <w:t xml:space="preserve"> </w:t>
      </w:r>
      <w:r>
        <w:rPr>
          <w:rFonts w:ascii="Segoe UI" w:hAnsi="Segoe UI" w:cs="Segoe UI"/>
          <w:szCs w:val="20"/>
        </w:rPr>
        <w:t>/</w:t>
      </w:r>
      <w:r w:rsidR="002A4D65">
        <w:rPr>
          <w:rFonts w:ascii="Segoe UI" w:hAnsi="Segoe UI" w:cs="Segoe UI"/>
          <w:szCs w:val="20"/>
        </w:rPr>
        <w:t xml:space="preserve"> </w:t>
      </w:r>
      <w:r>
        <w:rPr>
          <w:rFonts w:ascii="Segoe UI" w:hAnsi="Segoe UI" w:cs="Segoe UI"/>
          <w:szCs w:val="20"/>
        </w:rPr>
        <w:t>1</w:t>
      </w:r>
    </w:p>
    <w:p w14:paraId="4C4ED642" w14:textId="1823443C" w:rsidR="00EC0C55" w:rsidRPr="009E47F2" w:rsidRDefault="00FD779F" w:rsidP="0013336D">
      <w:pPr>
        <w:keepNext/>
        <w:keepLines/>
        <w:spacing w:before="120" w:after="120" w:line="240" w:lineRule="auto"/>
        <w:jc w:val="both"/>
        <w:rPr>
          <w:rFonts w:ascii="Segoe UI" w:hAnsi="Segoe UI" w:cs="Segoe UI"/>
          <w:noProof/>
          <w:szCs w:val="20"/>
          <w:lang w:val="en-US" w:eastAsia="it-IT"/>
        </w:rPr>
      </w:pPr>
      <w:r w:rsidRPr="009D4EBB">
        <w:rPr>
          <w:rFonts w:ascii="Segoe UI" w:hAnsi="Segoe UI" w:cs="Segoe UI"/>
          <w:noProof/>
          <w:szCs w:val="20"/>
          <w:lang w:eastAsia="it-IT"/>
        </w:rPr>
        <w:t>Nella versione originale in inglese</w:t>
      </w:r>
      <w:r w:rsidR="00D624B4">
        <w:rPr>
          <w:rFonts w:ascii="Segoe UI" w:hAnsi="Segoe UI" w:cs="Segoe UI"/>
          <w:noProof/>
          <w:szCs w:val="20"/>
          <w:lang w:eastAsia="it-IT"/>
        </w:rPr>
        <w:t xml:space="preserve"> delle SR Guidelines</w:t>
      </w:r>
      <w:r w:rsidR="001A02F0">
        <w:rPr>
          <w:rFonts w:ascii="Segoe UI" w:hAnsi="Segoe UI" w:cs="Segoe UI"/>
          <w:noProof/>
          <w:szCs w:val="20"/>
          <w:lang w:eastAsia="it-IT"/>
        </w:rPr>
        <w:t xml:space="preserve"> G3</w:t>
      </w:r>
      <w:r w:rsidRPr="009D4EBB">
        <w:rPr>
          <w:rFonts w:ascii="Segoe UI" w:hAnsi="Segoe UI" w:cs="Segoe UI"/>
          <w:noProof/>
          <w:szCs w:val="20"/>
          <w:lang w:eastAsia="it-IT"/>
        </w:rPr>
        <w:t>, a pagina 5,</w:t>
      </w:r>
      <w:r w:rsidR="009D4EBB" w:rsidRPr="009D4EBB">
        <w:rPr>
          <w:rFonts w:ascii="Segoe UI" w:hAnsi="Segoe UI" w:cs="Segoe UI"/>
          <w:noProof/>
          <w:szCs w:val="20"/>
          <w:lang w:eastAsia="it-IT"/>
        </w:rPr>
        <w:t xml:space="preserve"> “Introduction. </w:t>
      </w:r>
      <w:r w:rsidR="009D4EBB" w:rsidRPr="009D4EBB">
        <w:rPr>
          <w:rFonts w:ascii="Segoe UI" w:hAnsi="Segoe UI" w:cs="Segoe UI"/>
          <w:noProof/>
          <w:szCs w:val="20"/>
          <w:lang w:val="en-US" w:eastAsia="it-IT"/>
        </w:rPr>
        <w:t xml:space="preserve">Overview of Sustainability Reporting. Orientation to the GRI Guidelines. </w:t>
      </w:r>
      <w:r w:rsidR="009D4EBB" w:rsidRPr="009D4EBB">
        <w:rPr>
          <w:rFonts w:ascii="Segoe UI" w:hAnsi="Segoe UI" w:cs="Segoe UI"/>
          <w:bCs/>
          <w:szCs w:val="20"/>
          <w:lang w:val="en-US"/>
        </w:rPr>
        <w:t xml:space="preserve">Part 2 – Standard Disclosures”, </w:t>
      </w:r>
      <w:r w:rsidR="009D4EBB" w:rsidRPr="009D4EBB">
        <w:rPr>
          <w:rFonts w:ascii="Segoe UI" w:hAnsi="Segoe UI" w:cs="Segoe UI"/>
          <w:noProof/>
          <w:szCs w:val="20"/>
          <w:lang w:val="en-US" w:eastAsia="it-IT"/>
        </w:rPr>
        <w:t>si leg</w:t>
      </w:r>
      <w:r w:rsidRPr="009D4EBB">
        <w:rPr>
          <w:rFonts w:ascii="Segoe UI" w:hAnsi="Segoe UI" w:cs="Segoe UI"/>
          <w:noProof/>
          <w:szCs w:val="20"/>
          <w:lang w:val="en-US" w:eastAsia="it-IT"/>
        </w:rPr>
        <w:t>ge:</w:t>
      </w:r>
    </w:p>
    <w:p w14:paraId="06872D3F" w14:textId="5DBDDC09" w:rsidR="00FD779F" w:rsidRPr="002F7572" w:rsidRDefault="00FD779F" w:rsidP="002F7572">
      <w:pPr>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lang w:val="en-US"/>
        </w:rPr>
      </w:pPr>
      <w:r w:rsidRPr="002F7572">
        <w:rPr>
          <w:rFonts w:ascii="Segoe UI" w:hAnsi="Segoe UI" w:cs="Segoe UI"/>
          <w:bCs/>
          <w:color w:val="525252" w:themeColor="accent3" w:themeShade="80"/>
          <w:sz w:val="20"/>
          <w:szCs w:val="20"/>
          <w:lang w:val="en-US"/>
        </w:rPr>
        <w:t>“</w:t>
      </w:r>
      <w:r w:rsidR="00A3284F" w:rsidRPr="002F7572">
        <w:rPr>
          <w:rFonts w:ascii="Segoe UI" w:hAnsi="Segoe UI" w:cs="Segoe UI"/>
          <w:color w:val="525252" w:themeColor="accent3" w:themeShade="80"/>
          <w:sz w:val="20"/>
          <w:szCs w:val="20"/>
          <w:lang w:val="en-US"/>
        </w:rPr>
        <w:t>The Guidelines identify information that is relevant and material to most organizations [...]</w:t>
      </w:r>
      <w:r w:rsidRPr="002F7572">
        <w:rPr>
          <w:rFonts w:ascii="Segoe UI" w:hAnsi="Segoe UI" w:cs="Segoe UI"/>
          <w:color w:val="525252" w:themeColor="accent3" w:themeShade="80"/>
          <w:sz w:val="20"/>
          <w:szCs w:val="20"/>
          <w:lang w:val="en-US"/>
        </w:rPr>
        <w:t>”.</w:t>
      </w:r>
    </w:p>
    <w:p w14:paraId="57AF3A02" w14:textId="0DF5924B" w:rsidR="00FD779F" w:rsidRPr="0062207D" w:rsidRDefault="00FD779F" w:rsidP="0013336D">
      <w:pPr>
        <w:keepNext/>
        <w:keepLines/>
        <w:spacing w:before="120" w:after="120" w:line="240" w:lineRule="auto"/>
        <w:jc w:val="both"/>
        <w:rPr>
          <w:rFonts w:ascii="Segoe UI" w:hAnsi="Segoe UI" w:cs="Segoe UI"/>
          <w:szCs w:val="20"/>
        </w:rPr>
      </w:pPr>
      <w:r w:rsidRPr="0062207D">
        <w:rPr>
          <w:rFonts w:ascii="Segoe UI" w:hAnsi="Segoe UI" w:cs="Segoe UI"/>
          <w:szCs w:val="20"/>
        </w:rPr>
        <w:t>Nella versione in italiano</w:t>
      </w:r>
      <w:r w:rsidR="00D624B4">
        <w:rPr>
          <w:rFonts w:ascii="Segoe UI" w:hAnsi="Segoe UI" w:cs="Segoe UI"/>
          <w:szCs w:val="20"/>
        </w:rPr>
        <w:t xml:space="preserve"> </w:t>
      </w:r>
      <w:r w:rsidRPr="0062207D">
        <w:rPr>
          <w:rFonts w:ascii="Segoe UI" w:hAnsi="Segoe UI" w:cs="Segoe UI"/>
          <w:szCs w:val="20"/>
        </w:rPr>
        <w:t>tale proposizione è tradotta come segue:</w:t>
      </w:r>
    </w:p>
    <w:p w14:paraId="0AC90A51" w14:textId="781A0EA2" w:rsidR="00A3284F" w:rsidRPr="0094589F" w:rsidRDefault="00FD779F" w:rsidP="0094589F">
      <w:pPr>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rPr>
      </w:pPr>
      <w:r w:rsidRPr="0094589F">
        <w:rPr>
          <w:rFonts w:ascii="Segoe UI" w:hAnsi="Segoe UI" w:cs="Segoe UI"/>
          <w:color w:val="525252" w:themeColor="accent3" w:themeShade="80"/>
          <w:sz w:val="20"/>
          <w:szCs w:val="20"/>
        </w:rPr>
        <w:t>“</w:t>
      </w:r>
      <w:r w:rsidR="00A3284F" w:rsidRPr="0094589F">
        <w:rPr>
          <w:rFonts w:ascii="Segoe UI" w:hAnsi="Segoe UI" w:cs="Segoe UI"/>
          <w:color w:val="525252" w:themeColor="accent3" w:themeShade="80"/>
          <w:sz w:val="20"/>
          <w:szCs w:val="20"/>
        </w:rPr>
        <w:t>Le Linee guida identificano le informazioni significative e rilevanti per la maggior parte dell</w:t>
      </w:r>
      <w:r w:rsidRPr="0094589F">
        <w:rPr>
          <w:rFonts w:ascii="Segoe UI" w:hAnsi="Segoe UI" w:cs="Segoe UI"/>
          <w:color w:val="525252" w:themeColor="accent3" w:themeShade="80"/>
          <w:sz w:val="20"/>
          <w:szCs w:val="20"/>
        </w:rPr>
        <w:t>e</w:t>
      </w:r>
      <w:r w:rsidR="00A3284F" w:rsidRPr="0094589F">
        <w:rPr>
          <w:rFonts w:ascii="Segoe UI" w:hAnsi="Segoe UI" w:cs="Segoe UI"/>
          <w:color w:val="525252" w:themeColor="accent3" w:themeShade="80"/>
          <w:sz w:val="20"/>
          <w:szCs w:val="20"/>
        </w:rPr>
        <w:t xml:space="preserve"> organizzazioni [...]</w:t>
      </w:r>
      <w:r w:rsidRPr="0094589F">
        <w:rPr>
          <w:rFonts w:ascii="Segoe UI" w:hAnsi="Segoe UI" w:cs="Segoe UI"/>
          <w:color w:val="525252" w:themeColor="accent3" w:themeShade="80"/>
          <w:sz w:val="20"/>
          <w:szCs w:val="20"/>
        </w:rPr>
        <w:t>”.</w:t>
      </w:r>
    </w:p>
    <w:p w14:paraId="2AA23829" w14:textId="1A077987" w:rsidR="00D624B4" w:rsidRDefault="00F9469B" w:rsidP="0013336D">
      <w:pPr>
        <w:autoSpaceDE w:val="0"/>
        <w:autoSpaceDN w:val="0"/>
        <w:adjustRightInd w:val="0"/>
        <w:spacing w:before="120" w:after="120" w:line="240" w:lineRule="auto"/>
        <w:jc w:val="both"/>
        <w:rPr>
          <w:rFonts w:ascii="Segoe UI" w:hAnsi="Segoe UI" w:cs="Segoe UI"/>
          <w:noProof/>
          <w:szCs w:val="20"/>
          <w:lang w:eastAsia="it-IT"/>
        </w:rPr>
      </w:pPr>
      <w:r>
        <w:rPr>
          <w:rFonts w:ascii="Segoe UI" w:hAnsi="Segoe UI" w:cs="Segoe UI"/>
          <w:noProof/>
          <w:szCs w:val="20"/>
          <w:lang w:eastAsia="it-IT"/>
        </w:rPr>
        <w:t xml:space="preserve">Il medesimo concetto è presente </w:t>
      </w:r>
      <w:r w:rsidR="00CD5B89">
        <w:rPr>
          <w:rFonts w:ascii="Segoe UI" w:hAnsi="Segoe UI" w:cs="Segoe UI"/>
          <w:noProof/>
          <w:szCs w:val="20"/>
          <w:lang w:eastAsia="it-IT"/>
        </w:rPr>
        <w:t xml:space="preserve">naturalmente </w:t>
      </w:r>
      <w:r>
        <w:rPr>
          <w:rFonts w:ascii="Segoe UI" w:hAnsi="Segoe UI" w:cs="Segoe UI"/>
          <w:noProof/>
          <w:szCs w:val="20"/>
          <w:lang w:eastAsia="it-IT"/>
        </w:rPr>
        <w:t>anche nella versione</w:t>
      </w:r>
      <w:r w:rsidR="0026626A">
        <w:rPr>
          <w:rFonts w:ascii="Segoe UI" w:hAnsi="Segoe UI" w:cs="Segoe UI"/>
          <w:noProof/>
          <w:szCs w:val="20"/>
          <w:lang w:eastAsia="it-IT"/>
        </w:rPr>
        <w:t xml:space="preserve"> G</w:t>
      </w:r>
      <w:r>
        <w:rPr>
          <w:rFonts w:ascii="Segoe UI" w:hAnsi="Segoe UI" w:cs="Segoe UI"/>
          <w:noProof/>
          <w:szCs w:val="20"/>
          <w:lang w:eastAsia="it-IT"/>
        </w:rPr>
        <w:t>3.1</w:t>
      </w:r>
      <w:r w:rsidR="00AB5B46">
        <w:rPr>
          <w:rFonts w:ascii="Segoe UI" w:hAnsi="Segoe UI" w:cs="Segoe UI"/>
          <w:noProof/>
          <w:szCs w:val="20"/>
          <w:lang w:eastAsia="it-IT"/>
        </w:rPr>
        <w:t xml:space="preserve"> delle SR Guidelines</w:t>
      </w:r>
      <w:r>
        <w:rPr>
          <w:rFonts w:ascii="Segoe UI" w:hAnsi="Segoe UI" w:cs="Segoe UI"/>
          <w:noProof/>
          <w:szCs w:val="20"/>
          <w:lang w:eastAsia="it-IT"/>
        </w:rPr>
        <w:t xml:space="preserve">; nella versione </w:t>
      </w:r>
      <w:r w:rsidR="0026626A">
        <w:rPr>
          <w:rFonts w:ascii="Segoe UI" w:hAnsi="Segoe UI" w:cs="Segoe UI"/>
          <w:noProof/>
          <w:szCs w:val="20"/>
          <w:lang w:eastAsia="it-IT"/>
        </w:rPr>
        <w:t xml:space="preserve">originale </w:t>
      </w:r>
      <w:r>
        <w:rPr>
          <w:rFonts w:ascii="Segoe UI" w:hAnsi="Segoe UI" w:cs="Segoe UI"/>
          <w:noProof/>
          <w:szCs w:val="20"/>
          <w:lang w:eastAsia="it-IT"/>
        </w:rPr>
        <w:t xml:space="preserve">inglese sono utilizzate le stesse parole presenti nelle SR Guidelines G3; nella versione italiana, invece, la </w:t>
      </w:r>
      <w:r w:rsidR="00D624B4">
        <w:rPr>
          <w:rFonts w:ascii="Segoe UI" w:hAnsi="Segoe UI" w:cs="Segoe UI"/>
          <w:noProof/>
          <w:szCs w:val="20"/>
          <w:lang w:eastAsia="it-IT"/>
        </w:rPr>
        <w:t xml:space="preserve">stessa frase </w:t>
      </w:r>
      <w:r w:rsidR="003630D1">
        <w:rPr>
          <w:rFonts w:ascii="Segoe UI" w:hAnsi="Segoe UI" w:cs="Segoe UI"/>
          <w:noProof/>
          <w:szCs w:val="20"/>
          <w:lang w:eastAsia="it-IT"/>
        </w:rPr>
        <w:t xml:space="preserve">è </w:t>
      </w:r>
      <w:r w:rsidR="00CD5B89">
        <w:rPr>
          <w:rFonts w:ascii="Segoe UI" w:hAnsi="Segoe UI" w:cs="Segoe UI"/>
          <w:noProof/>
          <w:szCs w:val="20"/>
          <w:lang w:eastAsia="it-IT"/>
        </w:rPr>
        <w:t xml:space="preserve">lievemente </w:t>
      </w:r>
      <w:r w:rsidR="00CD5B89" w:rsidRPr="00EB2C90">
        <w:rPr>
          <w:rFonts w:ascii="Segoe UI" w:hAnsi="Segoe UI" w:cs="Segoe UI"/>
          <w:noProof/>
          <w:szCs w:val="20"/>
          <w:lang w:eastAsia="it-IT"/>
        </w:rPr>
        <w:t>ma si</w:t>
      </w:r>
      <w:r w:rsidR="00C6403A" w:rsidRPr="00EB2C90">
        <w:rPr>
          <w:rFonts w:ascii="Segoe UI" w:hAnsi="Segoe UI" w:cs="Segoe UI"/>
          <w:noProof/>
          <w:szCs w:val="20"/>
          <w:lang w:eastAsia="it-IT"/>
        </w:rPr>
        <w:t>ntom</w:t>
      </w:r>
      <w:r w:rsidR="00EB2C90" w:rsidRPr="00EB2C90">
        <w:rPr>
          <w:rFonts w:ascii="Segoe UI" w:hAnsi="Segoe UI" w:cs="Segoe UI"/>
          <w:noProof/>
          <w:szCs w:val="20"/>
          <w:lang w:eastAsia="it-IT"/>
        </w:rPr>
        <w:t>aticamente</w:t>
      </w:r>
      <w:r w:rsidR="00CD5B89">
        <w:rPr>
          <w:rFonts w:ascii="Segoe UI" w:hAnsi="Segoe UI" w:cs="Segoe UI"/>
          <w:noProof/>
          <w:szCs w:val="20"/>
          <w:lang w:eastAsia="it-IT"/>
        </w:rPr>
        <w:t xml:space="preserve"> </w:t>
      </w:r>
      <w:r>
        <w:rPr>
          <w:rFonts w:ascii="Segoe UI" w:hAnsi="Segoe UI" w:cs="Segoe UI"/>
          <w:noProof/>
          <w:szCs w:val="20"/>
          <w:lang w:eastAsia="it-IT"/>
        </w:rPr>
        <w:t xml:space="preserve">sviluppata (e non è un caso) </w:t>
      </w:r>
      <w:r w:rsidR="003630D1">
        <w:rPr>
          <w:rFonts w:ascii="Segoe UI" w:hAnsi="Segoe UI" w:cs="Segoe UI"/>
          <w:noProof/>
          <w:szCs w:val="20"/>
          <w:lang w:eastAsia="it-IT"/>
        </w:rPr>
        <w:t>co</w:t>
      </w:r>
      <w:r>
        <w:rPr>
          <w:rFonts w:ascii="Segoe UI" w:hAnsi="Segoe UI" w:cs="Segoe UI"/>
          <w:noProof/>
          <w:szCs w:val="20"/>
          <w:lang w:eastAsia="it-IT"/>
        </w:rPr>
        <w:t>me segue</w:t>
      </w:r>
      <w:r w:rsidR="003630D1">
        <w:rPr>
          <w:rFonts w:ascii="Segoe UI" w:hAnsi="Segoe UI" w:cs="Segoe UI"/>
          <w:noProof/>
          <w:szCs w:val="20"/>
          <w:lang w:eastAsia="it-IT"/>
        </w:rPr>
        <w:t>:</w:t>
      </w:r>
    </w:p>
    <w:p w14:paraId="2A729FAD" w14:textId="4E002E64" w:rsidR="004E6B56" w:rsidRPr="002975ED" w:rsidRDefault="004E6B56" w:rsidP="004E6B56">
      <w:pPr>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rPr>
      </w:pPr>
      <w:r>
        <w:rPr>
          <w:rFonts w:ascii="Segoe UI" w:hAnsi="Segoe UI" w:cs="Segoe UI"/>
          <w:color w:val="525252" w:themeColor="accent3" w:themeShade="80"/>
          <w:sz w:val="20"/>
          <w:szCs w:val="20"/>
        </w:rPr>
        <w:t>“</w:t>
      </w:r>
      <w:r w:rsidRPr="002975ED">
        <w:rPr>
          <w:rFonts w:ascii="Segoe UI" w:hAnsi="Segoe UI" w:cs="Segoe UI"/>
          <w:color w:val="525252" w:themeColor="accent3" w:themeShade="80"/>
          <w:sz w:val="20"/>
          <w:szCs w:val="20"/>
        </w:rPr>
        <w:t xml:space="preserve">Le Linee guida identificano le informazioni significative e materiali (rilevanti) per la maggior parte delle organizzazioni </w:t>
      </w:r>
      <w:r w:rsidRPr="004E6B56">
        <w:rPr>
          <w:rFonts w:ascii="Segoe UI" w:hAnsi="Segoe UI" w:cs="Segoe UI"/>
          <w:color w:val="525252" w:themeColor="accent3" w:themeShade="80"/>
          <w:sz w:val="20"/>
          <w:szCs w:val="20"/>
        </w:rPr>
        <w:t>[…]</w:t>
      </w:r>
      <w:r>
        <w:rPr>
          <w:rFonts w:ascii="Segoe UI" w:hAnsi="Segoe UI" w:cs="Segoe UI"/>
          <w:color w:val="525252" w:themeColor="accent3" w:themeShade="80"/>
          <w:sz w:val="20"/>
          <w:szCs w:val="20"/>
        </w:rPr>
        <w:t>”.</w:t>
      </w:r>
    </w:p>
    <w:p w14:paraId="6DBE7672" w14:textId="09F6C8AB" w:rsidR="009D4EBB" w:rsidRPr="0062207D" w:rsidRDefault="009D4EBB" w:rsidP="009D4EBB">
      <w:pPr>
        <w:autoSpaceDE w:val="0"/>
        <w:autoSpaceDN w:val="0"/>
        <w:adjustRightInd w:val="0"/>
        <w:spacing w:before="120" w:after="120" w:line="240" w:lineRule="auto"/>
        <w:jc w:val="both"/>
        <w:rPr>
          <w:rFonts w:ascii="Segoe UI" w:hAnsi="Segoe UI" w:cs="Segoe UI"/>
          <w:noProof/>
          <w:szCs w:val="20"/>
          <w:lang w:eastAsia="it-IT"/>
        </w:rPr>
      </w:pPr>
      <w:r w:rsidRPr="009D4EBB">
        <w:rPr>
          <w:rFonts w:ascii="Segoe UI" w:hAnsi="Segoe UI" w:cs="Segoe UI"/>
          <w:noProof/>
          <w:szCs w:val="20"/>
          <w:lang w:eastAsia="it-IT"/>
        </w:rPr>
        <w:t>Conclusione: in questo caso, dunque, si è mutuata l’accezione dei due concetti direttamente dai Principi contabili internazionali IAS/IFRS per la rendicontazione finanziaria, in cui “</w:t>
      </w:r>
      <w:r w:rsidRPr="009D4EBB">
        <w:rPr>
          <w:rFonts w:ascii="Segoe UI" w:hAnsi="Segoe UI" w:cs="Segoe UI"/>
          <w:b/>
          <w:i/>
          <w:noProof/>
          <w:szCs w:val="20"/>
          <w:lang w:eastAsia="it-IT"/>
        </w:rPr>
        <w:t>relevant</w:t>
      </w:r>
      <w:r w:rsidRPr="009D4EBB">
        <w:rPr>
          <w:rFonts w:ascii="Segoe UI" w:hAnsi="Segoe UI" w:cs="Segoe UI"/>
          <w:noProof/>
          <w:szCs w:val="20"/>
          <w:lang w:eastAsia="it-IT"/>
        </w:rPr>
        <w:t>” corrisponde a “</w:t>
      </w:r>
      <w:r w:rsidRPr="009D4EBB">
        <w:rPr>
          <w:rFonts w:ascii="Segoe UI" w:hAnsi="Segoe UI" w:cs="Segoe UI"/>
          <w:b/>
          <w:noProof/>
          <w:szCs w:val="20"/>
          <w:lang w:eastAsia="it-IT"/>
        </w:rPr>
        <w:t>significativo</w:t>
      </w:r>
      <w:r w:rsidRPr="009D4EBB">
        <w:rPr>
          <w:rFonts w:ascii="Segoe UI" w:hAnsi="Segoe UI" w:cs="Segoe UI"/>
          <w:noProof/>
          <w:szCs w:val="20"/>
          <w:lang w:eastAsia="it-IT"/>
        </w:rPr>
        <w:t>” e “</w:t>
      </w:r>
      <w:r w:rsidRPr="009D4EBB">
        <w:rPr>
          <w:rFonts w:ascii="Segoe UI" w:hAnsi="Segoe UI" w:cs="Segoe UI"/>
          <w:b/>
          <w:i/>
          <w:noProof/>
          <w:szCs w:val="20"/>
          <w:lang w:eastAsia="it-IT"/>
        </w:rPr>
        <w:t>material</w:t>
      </w:r>
      <w:r w:rsidRPr="009D4EBB">
        <w:rPr>
          <w:rFonts w:ascii="Segoe UI" w:hAnsi="Segoe UI" w:cs="Segoe UI"/>
          <w:noProof/>
          <w:szCs w:val="20"/>
          <w:lang w:eastAsia="it-IT"/>
        </w:rPr>
        <w:t>” corrisponde a “</w:t>
      </w:r>
      <w:r w:rsidRPr="009D4EBB">
        <w:rPr>
          <w:rFonts w:ascii="Segoe UI" w:hAnsi="Segoe UI" w:cs="Segoe UI"/>
          <w:b/>
          <w:noProof/>
          <w:szCs w:val="20"/>
          <w:lang w:eastAsia="it-IT"/>
        </w:rPr>
        <w:t>rilevante</w:t>
      </w:r>
      <w:r w:rsidRPr="009D4EBB">
        <w:rPr>
          <w:rFonts w:ascii="Segoe UI" w:hAnsi="Segoe UI" w:cs="Segoe UI"/>
          <w:noProof/>
          <w:szCs w:val="20"/>
          <w:lang w:eastAsia="it-IT"/>
        </w:rPr>
        <w:t>” e che per estensione rimandano ai concetti di “</w:t>
      </w:r>
      <w:r w:rsidRPr="009D4EBB">
        <w:rPr>
          <w:rFonts w:ascii="Segoe UI" w:hAnsi="Segoe UI" w:cs="Segoe UI"/>
          <w:b/>
          <w:i/>
          <w:noProof/>
          <w:szCs w:val="20"/>
          <w:lang w:eastAsia="it-IT"/>
        </w:rPr>
        <w:t>relevance</w:t>
      </w:r>
      <w:r w:rsidRPr="009D4EBB">
        <w:rPr>
          <w:rFonts w:ascii="Segoe UI" w:hAnsi="Segoe UI" w:cs="Segoe UI"/>
          <w:noProof/>
          <w:szCs w:val="20"/>
          <w:lang w:eastAsia="it-IT"/>
        </w:rPr>
        <w:t>” e “</w:t>
      </w:r>
      <w:r w:rsidRPr="009D4EBB">
        <w:rPr>
          <w:rFonts w:ascii="Segoe UI" w:hAnsi="Segoe UI" w:cs="Segoe UI"/>
          <w:b/>
          <w:i/>
          <w:noProof/>
          <w:szCs w:val="20"/>
          <w:lang w:eastAsia="it-IT"/>
        </w:rPr>
        <w:t>materiality</w:t>
      </w:r>
      <w:r w:rsidRPr="009D4EBB">
        <w:rPr>
          <w:rFonts w:ascii="Segoe UI" w:hAnsi="Segoe UI" w:cs="Segoe UI"/>
          <w:noProof/>
          <w:szCs w:val="20"/>
          <w:lang w:eastAsia="it-IT"/>
        </w:rPr>
        <w:t>”, concetti che nei Princpi contabili internazionali IAS/IFRS hanno una specfica diversa definizione che verrà successivamente approfondita</w:t>
      </w:r>
      <w:r w:rsidRPr="009D4EBB">
        <w:rPr>
          <w:rStyle w:val="Rimandonotaapidipagina"/>
          <w:rFonts w:cs="Segoe UI"/>
          <w:noProof/>
          <w:szCs w:val="20"/>
          <w:lang w:eastAsia="it-IT"/>
        </w:rPr>
        <w:footnoteReference w:id="16"/>
      </w:r>
      <w:r w:rsidRPr="009D4EBB">
        <w:rPr>
          <w:rFonts w:ascii="Segoe UI" w:hAnsi="Segoe UI" w:cs="Segoe UI"/>
          <w:noProof/>
          <w:szCs w:val="20"/>
          <w:lang w:eastAsia="it-IT"/>
        </w:rPr>
        <w:t>.</w:t>
      </w:r>
      <w:r w:rsidR="00CD5B89">
        <w:rPr>
          <w:rFonts w:ascii="Segoe UI" w:hAnsi="Segoe UI" w:cs="Segoe UI"/>
          <w:noProof/>
          <w:szCs w:val="20"/>
          <w:lang w:eastAsia="it-IT"/>
        </w:rPr>
        <w:t xml:space="preserve"> Nell’</w:t>
      </w:r>
      <w:r w:rsidR="00E400AD">
        <w:rPr>
          <w:rFonts w:ascii="Segoe UI" w:hAnsi="Segoe UI" w:cs="Segoe UI"/>
          <w:noProof/>
          <w:szCs w:val="20"/>
          <w:lang w:eastAsia="it-IT"/>
        </w:rPr>
        <w:t xml:space="preserve">intervallo </w:t>
      </w:r>
      <w:r w:rsidR="000C1170">
        <w:rPr>
          <w:rFonts w:ascii="Segoe UI" w:hAnsi="Segoe UI" w:cs="Segoe UI"/>
          <w:noProof/>
          <w:szCs w:val="20"/>
          <w:lang w:eastAsia="it-IT"/>
        </w:rPr>
        <w:t xml:space="preserve">intercorso tra la pubblicazione </w:t>
      </w:r>
      <w:r w:rsidR="00E400AD">
        <w:rPr>
          <w:rFonts w:ascii="Segoe UI" w:hAnsi="Segoe UI" w:cs="Segoe UI"/>
          <w:noProof/>
          <w:szCs w:val="20"/>
          <w:lang w:eastAsia="it-IT"/>
        </w:rPr>
        <w:t>d</w:t>
      </w:r>
      <w:r w:rsidR="000C1170">
        <w:rPr>
          <w:rFonts w:ascii="Segoe UI" w:hAnsi="Segoe UI" w:cs="Segoe UI"/>
          <w:noProof/>
          <w:szCs w:val="20"/>
          <w:lang w:eastAsia="it-IT"/>
        </w:rPr>
        <w:t>e</w:t>
      </w:r>
      <w:r w:rsidR="00E400AD">
        <w:rPr>
          <w:rFonts w:ascii="Segoe UI" w:hAnsi="Segoe UI" w:cs="Segoe UI"/>
          <w:noProof/>
          <w:szCs w:val="20"/>
          <w:lang w:eastAsia="it-IT"/>
        </w:rPr>
        <w:t xml:space="preserve">lle </w:t>
      </w:r>
      <w:r w:rsidR="00CD5B89">
        <w:rPr>
          <w:rFonts w:ascii="Segoe UI" w:hAnsi="Segoe UI" w:cs="Segoe UI"/>
          <w:noProof/>
          <w:szCs w:val="20"/>
          <w:lang w:eastAsia="it-IT"/>
        </w:rPr>
        <w:t xml:space="preserve">SR Guidelines </w:t>
      </w:r>
      <w:r w:rsidR="000C1170">
        <w:rPr>
          <w:rFonts w:ascii="Segoe UI" w:hAnsi="Segoe UI" w:cs="Segoe UI"/>
          <w:noProof/>
          <w:szCs w:val="20"/>
          <w:lang w:eastAsia="it-IT"/>
        </w:rPr>
        <w:t xml:space="preserve">G3 e quella delle SR Guidelines </w:t>
      </w:r>
      <w:r w:rsidR="00CD5B89">
        <w:rPr>
          <w:rFonts w:ascii="Segoe UI" w:hAnsi="Segoe UI" w:cs="Segoe UI"/>
          <w:noProof/>
          <w:szCs w:val="20"/>
          <w:lang w:eastAsia="it-IT"/>
        </w:rPr>
        <w:t>G3.1</w:t>
      </w:r>
      <w:r w:rsidR="000C1170">
        <w:rPr>
          <w:rFonts w:ascii="Segoe UI" w:hAnsi="Segoe UI" w:cs="Segoe UI"/>
          <w:noProof/>
          <w:szCs w:val="20"/>
          <w:lang w:eastAsia="it-IT"/>
        </w:rPr>
        <w:t xml:space="preserve">, </w:t>
      </w:r>
      <w:r w:rsidR="00CD5B89">
        <w:rPr>
          <w:rFonts w:ascii="Segoe UI" w:hAnsi="Segoe UI" w:cs="Segoe UI"/>
          <w:noProof/>
          <w:szCs w:val="20"/>
          <w:lang w:eastAsia="it-IT"/>
        </w:rPr>
        <w:t>s</w:t>
      </w:r>
      <w:r w:rsidR="000C1170">
        <w:rPr>
          <w:rFonts w:ascii="Segoe UI" w:hAnsi="Segoe UI" w:cs="Segoe UI"/>
          <w:noProof/>
          <w:szCs w:val="20"/>
          <w:lang w:eastAsia="it-IT"/>
        </w:rPr>
        <w:t xml:space="preserve">i potrebbe ipotizzare, </w:t>
      </w:r>
      <w:r w:rsidR="00CD5B89">
        <w:rPr>
          <w:rFonts w:ascii="Segoe UI" w:hAnsi="Segoe UI" w:cs="Segoe UI"/>
          <w:noProof/>
          <w:szCs w:val="20"/>
          <w:lang w:eastAsia="it-IT"/>
        </w:rPr>
        <w:t>quindi</w:t>
      </w:r>
      <w:r w:rsidR="000C1170">
        <w:rPr>
          <w:rFonts w:ascii="Segoe UI" w:hAnsi="Segoe UI" w:cs="Segoe UI"/>
          <w:noProof/>
          <w:szCs w:val="20"/>
          <w:lang w:eastAsia="it-IT"/>
        </w:rPr>
        <w:t>,</w:t>
      </w:r>
      <w:r w:rsidR="00CD5B89">
        <w:rPr>
          <w:rFonts w:ascii="Segoe UI" w:hAnsi="Segoe UI" w:cs="Segoe UI"/>
          <w:noProof/>
          <w:szCs w:val="20"/>
          <w:lang w:eastAsia="it-IT"/>
        </w:rPr>
        <w:t xml:space="preserve"> che il traduttore italiano abbia iniziato </w:t>
      </w:r>
      <w:r w:rsidR="00F375A6">
        <w:rPr>
          <w:rFonts w:ascii="Segoe UI" w:hAnsi="Segoe UI" w:cs="Segoe UI"/>
          <w:noProof/>
          <w:szCs w:val="20"/>
          <w:lang w:eastAsia="it-IT"/>
        </w:rPr>
        <w:t xml:space="preserve">anche </w:t>
      </w:r>
      <w:r w:rsidR="00CD5B89">
        <w:rPr>
          <w:rFonts w:ascii="Segoe UI" w:hAnsi="Segoe UI" w:cs="Segoe UI"/>
          <w:noProof/>
          <w:szCs w:val="20"/>
          <w:lang w:eastAsia="it-IT"/>
        </w:rPr>
        <w:t>a ragionare sull’opportunità di un’evoluzione</w:t>
      </w:r>
      <w:r w:rsidR="00F375A6">
        <w:rPr>
          <w:rFonts w:ascii="Segoe UI" w:hAnsi="Segoe UI" w:cs="Segoe UI"/>
          <w:noProof/>
          <w:szCs w:val="20"/>
          <w:lang w:eastAsia="it-IT"/>
        </w:rPr>
        <w:t xml:space="preserve"> </w:t>
      </w:r>
      <w:r w:rsidR="00CD5B89">
        <w:rPr>
          <w:rFonts w:ascii="Segoe UI" w:hAnsi="Segoe UI" w:cs="Segoe UI"/>
          <w:noProof/>
          <w:szCs w:val="20"/>
          <w:lang w:eastAsia="it-IT"/>
        </w:rPr>
        <w:t>terminologica</w:t>
      </w:r>
      <w:r w:rsidR="000C1170">
        <w:rPr>
          <w:rFonts w:ascii="Segoe UI" w:hAnsi="Segoe UI" w:cs="Segoe UI"/>
          <w:noProof/>
          <w:szCs w:val="20"/>
          <w:lang w:eastAsia="it-IT"/>
        </w:rPr>
        <w:t>, intuendo le criticità qui esaminate e assumendosi la li</w:t>
      </w:r>
      <w:r w:rsidR="00F375A6">
        <w:rPr>
          <w:rFonts w:ascii="Segoe UI" w:hAnsi="Segoe UI" w:cs="Segoe UI"/>
          <w:noProof/>
          <w:szCs w:val="20"/>
          <w:lang w:eastAsia="it-IT"/>
        </w:rPr>
        <w:t>ber</w:t>
      </w:r>
      <w:r w:rsidR="000C1170">
        <w:rPr>
          <w:rFonts w:ascii="Segoe UI" w:hAnsi="Segoe UI" w:cs="Segoe UI"/>
          <w:noProof/>
          <w:szCs w:val="20"/>
          <w:lang w:eastAsia="it-IT"/>
        </w:rPr>
        <w:t>tà, in quest</w:t>
      </w:r>
      <w:r w:rsidR="00D13B1E">
        <w:rPr>
          <w:rFonts w:ascii="Segoe UI" w:hAnsi="Segoe UI" w:cs="Segoe UI"/>
          <w:noProof/>
          <w:szCs w:val="20"/>
          <w:lang w:eastAsia="it-IT"/>
        </w:rPr>
        <w:t xml:space="preserve">a circostanza, di introdurre </w:t>
      </w:r>
      <w:r w:rsidR="000C1170">
        <w:rPr>
          <w:rFonts w:ascii="Segoe UI" w:hAnsi="Segoe UI" w:cs="Segoe UI"/>
          <w:noProof/>
          <w:szCs w:val="20"/>
          <w:lang w:eastAsia="it-IT"/>
        </w:rPr>
        <w:t>un termine alternativo</w:t>
      </w:r>
      <w:r w:rsidR="00D13B1E">
        <w:rPr>
          <w:rFonts w:ascii="Segoe UI" w:hAnsi="Segoe UI" w:cs="Segoe UI"/>
          <w:noProof/>
          <w:szCs w:val="20"/>
          <w:lang w:eastAsia="it-IT"/>
        </w:rPr>
        <w:t>,</w:t>
      </w:r>
      <w:r w:rsidR="000C1170">
        <w:rPr>
          <w:rFonts w:ascii="Segoe UI" w:hAnsi="Segoe UI" w:cs="Segoe UI"/>
          <w:noProof/>
          <w:szCs w:val="20"/>
          <w:lang w:eastAsia="it-IT"/>
        </w:rPr>
        <w:t xml:space="preserve"> evidenziandone la funzione</w:t>
      </w:r>
      <w:r w:rsidR="00F375A6">
        <w:rPr>
          <w:rFonts w:ascii="Segoe UI" w:hAnsi="Segoe UI" w:cs="Segoe UI"/>
          <w:noProof/>
          <w:szCs w:val="20"/>
          <w:lang w:eastAsia="it-IT"/>
        </w:rPr>
        <w:t xml:space="preserve"> </w:t>
      </w:r>
      <w:r w:rsidR="000C1170">
        <w:rPr>
          <w:rFonts w:ascii="Segoe UI" w:hAnsi="Segoe UI" w:cs="Segoe UI"/>
          <w:noProof/>
          <w:szCs w:val="20"/>
          <w:lang w:eastAsia="it-IT"/>
        </w:rPr>
        <w:t xml:space="preserve">sostitutiva </w:t>
      </w:r>
      <w:r w:rsidR="00D13B1E">
        <w:rPr>
          <w:rFonts w:ascii="Segoe UI" w:hAnsi="Segoe UI" w:cs="Segoe UI"/>
          <w:noProof/>
          <w:szCs w:val="20"/>
          <w:lang w:eastAsia="it-IT"/>
        </w:rPr>
        <w:t xml:space="preserve">rispetto al lemma </w:t>
      </w:r>
      <w:r w:rsidR="000C1170">
        <w:rPr>
          <w:rFonts w:ascii="Segoe UI" w:hAnsi="Segoe UI" w:cs="Segoe UI"/>
          <w:noProof/>
          <w:szCs w:val="20"/>
          <w:lang w:eastAsia="it-IT"/>
        </w:rPr>
        <w:t>utilizzato nella precedente</w:t>
      </w:r>
      <w:r w:rsidR="00F375A6">
        <w:rPr>
          <w:rFonts w:ascii="Segoe UI" w:hAnsi="Segoe UI" w:cs="Segoe UI"/>
          <w:noProof/>
          <w:szCs w:val="20"/>
          <w:lang w:eastAsia="it-IT"/>
        </w:rPr>
        <w:t xml:space="preserve"> </w:t>
      </w:r>
      <w:r w:rsidR="000C1170">
        <w:rPr>
          <w:rFonts w:ascii="Segoe UI" w:hAnsi="Segoe UI" w:cs="Segoe UI"/>
          <w:noProof/>
          <w:szCs w:val="20"/>
          <w:lang w:eastAsia="it-IT"/>
        </w:rPr>
        <w:t>version</w:t>
      </w:r>
      <w:r w:rsidR="00F375A6">
        <w:rPr>
          <w:rFonts w:ascii="Segoe UI" w:hAnsi="Segoe UI" w:cs="Segoe UI"/>
          <w:noProof/>
          <w:szCs w:val="20"/>
          <w:lang w:eastAsia="it-IT"/>
        </w:rPr>
        <w:t>e</w:t>
      </w:r>
      <w:r w:rsidR="00E63301">
        <w:rPr>
          <w:rFonts w:ascii="Segoe UI" w:hAnsi="Segoe UI" w:cs="Segoe UI"/>
          <w:noProof/>
          <w:szCs w:val="20"/>
          <w:lang w:eastAsia="it-IT"/>
        </w:rPr>
        <w:t xml:space="preserve">: quest’ultimo, infatti, non è completamente omesso ma è </w:t>
      </w:r>
      <w:r w:rsidR="00D13B1E">
        <w:rPr>
          <w:rFonts w:ascii="Segoe UI" w:hAnsi="Segoe UI" w:cs="Segoe UI"/>
          <w:noProof/>
          <w:szCs w:val="20"/>
          <w:lang w:eastAsia="it-IT"/>
        </w:rPr>
        <w:t>riporta</w:t>
      </w:r>
      <w:r w:rsidR="00E63301">
        <w:rPr>
          <w:rFonts w:ascii="Segoe UI" w:hAnsi="Segoe UI" w:cs="Segoe UI"/>
          <w:noProof/>
          <w:szCs w:val="20"/>
          <w:lang w:eastAsia="it-IT"/>
        </w:rPr>
        <w:t>to</w:t>
      </w:r>
      <w:r w:rsidR="00D13B1E">
        <w:rPr>
          <w:rFonts w:ascii="Segoe UI" w:hAnsi="Segoe UI" w:cs="Segoe UI"/>
          <w:noProof/>
          <w:szCs w:val="20"/>
          <w:lang w:eastAsia="it-IT"/>
        </w:rPr>
        <w:t xml:space="preserve"> tra</w:t>
      </w:r>
      <w:r w:rsidR="00E63301">
        <w:rPr>
          <w:rFonts w:ascii="Segoe UI" w:hAnsi="Segoe UI" w:cs="Segoe UI"/>
          <w:noProof/>
          <w:szCs w:val="20"/>
          <w:lang w:eastAsia="it-IT"/>
        </w:rPr>
        <w:t xml:space="preserve"> </w:t>
      </w:r>
      <w:r w:rsidR="00D13B1E">
        <w:rPr>
          <w:rFonts w:ascii="Segoe UI" w:hAnsi="Segoe UI" w:cs="Segoe UI"/>
          <w:noProof/>
          <w:szCs w:val="20"/>
          <w:lang w:eastAsia="it-IT"/>
        </w:rPr>
        <w:t>parentesi</w:t>
      </w:r>
      <w:r w:rsidR="000C1170">
        <w:rPr>
          <w:rFonts w:ascii="Segoe UI" w:hAnsi="Segoe UI" w:cs="Segoe UI"/>
          <w:noProof/>
          <w:szCs w:val="20"/>
          <w:lang w:eastAsia="it-IT"/>
        </w:rPr>
        <w:t>.</w:t>
      </w:r>
    </w:p>
    <w:p w14:paraId="706BABB2" w14:textId="54F482A4" w:rsidR="008F338B" w:rsidRDefault="008F338B" w:rsidP="0013336D">
      <w:pPr>
        <w:autoSpaceDE w:val="0"/>
        <w:autoSpaceDN w:val="0"/>
        <w:adjustRightInd w:val="0"/>
        <w:spacing w:before="120" w:after="120" w:line="240" w:lineRule="auto"/>
        <w:jc w:val="both"/>
        <w:rPr>
          <w:rFonts w:ascii="Segoe UI" w:hAnsi="Segoe UI" w:cs="Segoe UI"/>
          <w:noProof/>
          <w:szCs w:val="20"/>
          <w:lang w:eastAsia="it-IT"/>
        </w:rPr>
      </w:pPr>
    </w:p>
    <w:p w14:paraId="2CD2AD50" w14:textId="7D663FA8" w:rsidR="00F41A3C" w:rsidRPr="0062207D" w:rsidRDefault="00F41A3C" w:rsidP="00F41A3C">
      <w:pPr>
        <w:keepNext/>
        <w:keepLines/>
        <w:spacing w:before="120" w:after="120" w:line="240" w:lineRule="auto"/>
        <w:jc w:val="both"/>
        <w:rPr>
          <w:rFonts w:ascii="Segoe UI" w:hAnsi="Segoe UI" w:cs="Segoe UI"/>
          <w:szCs w:val="20"/>
        </w:rPr>
      </w:pPr>
      <w:r>
        <w:rPr>
          <w:rFonts w:ascii="Segoe UI" w:hAnsi="Segoe UI" w:cs="Segoe UI"/>
          <w:szCs w:val="20"/>
        </w:rPr>
        <w:t>Traduzione</w:t>
      </w:r>
      <w:r w:rsidR="002A4D65">
        <w:rPr>
          <w:rFonts w:ascii="Segoe UI" w:hAnsi="Segoe UI" w:cs="Segoe UI"/>
          <w:szCs w:val="20"/>
        </w:rPr>
        <w:t>:</w:t>
      </w:r>
      <w:r>
        <w:rPr>
          <w:rFonts w:ascii="Segoe UI" w:hAnsi="Segoe UI" w:cs="Segoe UI"/>
          <w:szCs w:val="20"/>
        </w:rPr>
        <w:t xml:space="preserve"> opzion</w:t>
      </w:r>
      <w:r w:rsidR="002A4D65">
        <w:rPr>
          <w:rFonts w:ascii="Segoe UI" w:hAnsi="Segoe UI" w:cs="Segoe UI"/>
          <w:szCs w:val="20"/>
        </w:rPr>
        <w:t>i</w:t>
      </w:r>
      <w:r>
        <w:rPr>
          <w:rFonts w:ascii="Segoe UI" w:hAnsi="Segoe UI" w:cs="Segoe UI"/>
          <w:szCs w:val="20"/>
        </w:rPr>
        <w:t xml:space="preserve"> 2</w:t>
      </w:r>
      <w:r w:rsidR="002A4D65">
        <w:rPr>
          <w:rFonts w:ascii="Segoe UI" w:hAnsi="Segoe UI" w:cs="Segoe UI"/>
          <w:szCs w:val="20"/>
        </w:rPr>
        <w:t xml:space="preserve"> e</w:t>
      </w:r>
      <w:r w:rsidR="005E5397">
        <w:rPr>
          <w:rFonts w:ascii="Segoe UI" w:hAnsi="Segoe UI" w:cs="Segoe UI"/>
          <w:szCs w:val="20"/>
        </w:rPr>
        <w:t xml:space="preserve"> 3 </w:t>
      </w:r>
      <w:r>
        <w:rPr>
          <w:rFonts w:ascii="Segoe UI" w:hAnsi="Segoe UI" w:cs="Segoe UI"/>
          <w:szCs w:val="20"/>
        </w:rPr>
        <w:t>/</w:t>
      </w:r>
      <w:r w:rsidR="005E5397">
        <w:rPr>
          <w:rFonts w:ascii="Segoe UI" w:hAnsi="Segoe UI" w:cs="Segoe UI"/>
          <w:szCs w:val="20"/>
        </w:rPr>
        <w:t xml:space="preserve"> </w:t>
      </w:r>
      <w:r>
        <w:rPr>
          <w:rFonts w:ascii="Segoe UI" w:hAnsi="Segoe UI" w:cs="Segoe UI"/>
          <w:szCs w:val="20"/>
        </w:rPr>
        <w:t>2</w:t>
      </w:r>
      <w:r w:rsidR="002A4D65">
        <w:rPr>
          <w:rFonts w:ascii="Segoe UI" w:hAnsi="Segoe UI" w:cs="Segoe UI"/>
          <w:szCs w:val="20"/>
        </w:rPr>
        <w:t xml:space="preserve"> e</w:t>
      </w:r>
      <w:r w:rsidR="005E5397">
        <w:rPr>
          <w:rFonts w:ascii="Segoe UI" w:hAnsi="Segoe UI" w:cs="Segoe UI"/>
          <w:szCs w:val="20"/>
        </w:rPr>
        <w:t xml:space="preserve"> </w:t>
      </w:r>
      <w:r w:rsidR="00564B61">
        <w:rPr>
          <w:rFonts w:ascii="Segoe UI" w:hAnsi="Segoe UI" w:cs="Segoe UI"/>
          <w:szCs w:val="20"/>
        </w:rPr>
        <w:t>1</w:t>
      </w:r>
      <w:r>
        <w:rPr>
          <w:rFonts w:ascii="Segoe UI" w:hAnsi="Segoe UI" w:cs="Segoe UI"/>
          <w:szCs w:val="20"/>
        </w:rPr>
        <w:t xml:space="preserve"> / </w:t>
      </w:r>
      <w:r w:rsidR="002A4D65">
        <w:rPr>
          <w:rFonts w:ascii="Segoe UI" w:hAnsi="Segoe UI" w:cs="Segoe UI"/>
          <w:szCs w:val="20"/>
        </w:rPr>
        <w:t>A</w:t>
      </w:r>
      <w:r>
        <w:rPr>
          <w:rFonts w:ascii="Segoe UI" w:hAnsi="Segoe UI" w:cs="Segoe UI"/>
          <w:szCs w:val="20"/>
        </w:rPr>
        <w:t>ccezione</w:t>
      </w:r>
      <w:r w:rsidR="002A4D65">
        <w:rPr>
          <w:rFonts w:ascii="Segoe UI" w:hAnsi="Segoe UI" w:cs="Segoe UI"/>
          <w:szCs w:val="20"/>
        </w:rPr>
        <w:t>: opzioni</w:t>
      </w:r>
      <w:r>
        <w:rPr>
          <w:rFonts w:ascii="Segoe UI" w:hAnsi="Segoe UI" w:cs="Segoe UI"/>
          <w:szCs w:val="20"/>
        </w:rPr>
        <w:t xml:space="preserve"> </w:t>
      </w:r>
      <w:r w:rsidR="00564B61">
        <w:rPr>
          <w:rFonts w:ascii="Segoe UI" w:hAnsi="Segoe UI" w:cs="Segoe UI"/>
          <w:szCs w:val="20"/>
        </w:rPr>
        <w:t>2</w:t>
      </w:r>
      <w:r w:rsidR="002A4D65">
        <w:rPr>
          <w:rFonts w:ascii="Segoe UI" w:hAnsi="Segoe UI" w:cs="Segoe UI"/>
          <w:szCs w:val="20"/>
        </w:rPr>
        <w:t xml:space="preserve"> e </w:t>
      </w:r>
      <w:r w:rsidR="00564B61">
        <w:rPr>
          <w:rFonts w:ascii="Segoe UI" w:hAnsi="Segoe UI" w:cs="Segoe UI"/>
          <w:szCs w:val="20"/>
        </w:rPr>
        <w:t>3</w:t>
      </w:r>
      <w:r w:rsidR="005E5397">
        <w:rPr>
          <w:rFonts w:ascii="Segoe UI" w:hAnsi="Segoe UI" w:cs="Segoe UI"/>
          <w:szCs w:val="20"/>
        </w:rPr>
        <w:t xml:space="preserve"> </w:t>
      </w:r>
      <w:r>
        <w:rPr>
          <w:rFonts w:ascii="Segoe UI" w:hAnsi="Segoe UI" w:cs="Segoe UI"/>
          <w:szCs w:val="20"/>
        </w:rPr>
        <w:t>/</w:t>
      </w:r>
      <w:r w:rsidR="005E5397">
        <w:rPr>
          <w:rFonts w:ascii="Segoe UI" w:hAnsi="Segoe UI" w:cs="Segoe UI"/>
          <w:szCs w:val="20"/>
        </w:rPr>
        <w:t xml:space="preserve"> </w:t>
      </w:r>
      <w:r w:rsidR="00564B61">
        <w:rPr>
          <w:rFonts w:ascii="Segoe UI" w:hAnsi="Segoe UI" w:cs="Segoe UI"/>
          <w:szCs w:val="20"/>
        </w:rPr>
        <w:t>1</w:t>
      </w:r>
      <w:r w:rsidR="002A4D65">
        <w:rPr>
          <w:rFonts w:ascii="Segoe UI" w:hAnsi="Segoe UI" w:cs="Segoe UI"/>
          <w:szCs w:val="20"/>
        </w:rPr>
        <w:t xml:space="preserve"> e </w:t>
      </w:r>
      <w:r w:rsidR="00564B61">
        <w:rPr>
          <w:rFonts w:ascii="Segoe UI" w:hAnsi="Segoe UI" w:cs="Segoe UI"/>
          <w:szCs w:val="20"/>
        </w:rPr>
        <w:t>1</w:t>
      </w:r>
    </w:p>
    <w:p w14:paraId="3748BB9D" w14:textId="105D8D73" w:rsidR="0058207B" w:rsidRPr="0062207D" w:rsidRDefault="00466141" w:rsidP="008F338B">
      <w:pPr>
        <w:keepNext/>
        <w:keepLines/>
        <w:autoSpaceDE w:val="0"/>
        <w:autoSpaceDN w:val="0"/>
        <w:adjustRightInd w:val="0"/>
        <w:spacing w:before="120" w:after="120" w:line="240" w:lineRule="auto"/>
        <w:jc w:val="both"/>
        <w:rPr>
          <w:rFonts w:ascii="Segoe UI" w:hAnsi="Segoe UI" w:cs="Segoe UI"/>
          <w:noProof/>
          <w:szCs w:val="20"/>
          <w:lang w:eastAsia="it-IT"/>
        </w:rPr>
      </w:pPr>
      <w:r>
        <w:rPr>
          <w:rFonts w:ascii="Segoe UI" w:hAnsi="Segoe UI" w:cs="Segoe UI"/>
          <w:noProof/>
          <w:szCs w:val="20"/>
          <w:lang w:eastAsia="it-IT"/>
        </w:rPr>
        <w:t>C</w:t>
      </w:r>
      <w:r w:rsidR="00694C7B" w:rsidRPr="0062207D">
        <w:rPr>
          <w:rFonts w:ascii="Segoe UI" w:hAnsi="Segoe UI" w:cs="Segoe UI"/>
          <w:noProof/>
          <w:szCs w:val="20"/>
          <w:lang w:eastAsia="it-IT"/>
        </w:rPr>
        <w:t>onsiderando sempre il testo delle</w:t>
      </w:r>
      <w:r w:rsidR="002C1D5F">
        <w:rPr>
          <w:rFonts w:ascii="Segoe UI" w:hAnsi="Segoe UI" w:cs="Segoe UI"/>
          <w:noProof/>
          <w:szCs w:val="20"/>
          <w:lang w:eastAsia="it-IT"/>
        </w:rPr>
        <w:t xml:space="preserve"> </w:t>
      </w:r>
      <w:r w:rsidR="00694C7B" w:rsidRPr="0062207D">
        <w:rPr>
          <w:rFonts w:ascii="Segoe UI" w:hAnsi="Segoe UI" w:cs="Segoe UI"/>
          <w:noProof/>
          <w:szCs w:val="20"/>
          <w:lang w:eastAsia="it-IT"/>
        </w:rPr>
        <w:t>SR Guidelines G3</w:t>
      </w:r>
      <w:r w:rsidR="00E63301">
        <w:rPr>
          <w:rFonts w:ascii="Segoe UI" w:hAnsi="Segoe UI" w:cs="Segoe UI"/>
          <w:noProof/>
          <w:szCs w:val="20"/>
          <w:lang w:eastAsia="it-IT"/>
        </w:rPr>
        <w:t xml:space="preserve"> e G3.1</w:t>
      </w:r>
      <w:r w:rsidR="00C9270A">
        <w:rPr>
          <w:rFonts w:ascii="Segoe UI" w:hAnsi="Segoe UI" w:cs="Segoe UI"/>
          <w:noProof/>
          <w:szCs w:val="20"/>
          <w:lang w:eastAsia="it-IT"/>
        </w:rPr>
        <w:t xml:space="preserve"> (che in questa circostanza coincid</w:t>
      </w:r>
      <w:r w:rsidR="00B44869">
        <w:rPr>
          <w:rFonts w:ascii="Segoe UI" w:hAnsi="Segoe UI" w:cs="Segoe UI"/>
          <w:noProof/>
          <w:szCs w:val="20"/>
          <w:lang w:eastAsia="it-IT"/>
        </w:rPr>
        <w:t>e</w:t>
      </w:r>
      <w:r w:rsidR="00C9270A">
        <w:rPr>
          <w:rFonts w:ascii="Segoe UI" w:hAnsi="Segoe UI" w:cs="Segoe UI"/>
          <w:noProof/>
          <w:szCs w:val="20"/>
          <w:lang w:eastAsia="it-IT"/>
        </w:rPr>
        <w:t>)</w:t>
      </w:r>
      <w:r w:rsidR="00694C7B" w:rsidRPr="0062207D">
        <w:rPr>
          <w:rFonts w:ascii="Segoe UI" w:hAnsi="Segoe UI" w:cs="Segoe UI"/>
          <w:noProof/>
          <w:szCs w:val="20"/>
          <w:lang w:eastAsia="it-IT"/>
        </w:rPr>
        <w:t xml:space="preserve"> e la </w:t>
      </w:r>
      <w:r w:rsidR="00C9270A">
        <w:rPr>
          <w:rFonts w:ascii="Segoe UI" w:hAnsi="Segoe UI" w:cs="Segoe UI"/>
          <w:noProof/>
          <w:szCs w:val="20"/>
          <w:lang w:eastAsia="it-IT"/>
        </w:rPr>
        <w:t xml:space="preserve">loro </w:t>
      </w:r>
      <w:r w:rsidR="00694C7B" w:rsidRPr="0062207D">
        <w:rPr>
          <w:rFonts w:ascii="Segoe UI" w:hAnsi="Segoe UI" w:cs="Segoe UI"/>
          <w:noProof/>
          <w:szCs w:val="20"/>
          <w:lang w:eastAsia="it-IT"/>
        </w:rPr>
        <w:t>traduzione tecnica in italiano</w:t>
      </w:r>
      <w:r w:rsidR="00C9270A">
        <w:rPr>
          <w:rFonts w:ascii="Segoe UI" w:hAnsi="Segoe UI" w:cs="Segoe UI"/>
          <w:noProof/>
          <w:szCs w:val="20"/>
          <w:lang w:eastAsia="it-IT"/>
        </w:rPr>
        <w:t xml:space="preserve"> (che altresì coincide)</w:t>
      </w:r>
      <w:r w:rsidR="00694C7B" w:rsidRPr="0062207D">
        <w:rPr>
          <w:rFonts w:ascii="Segoe UI" w:hAnsi="Segoe UI" w:cs="Segoe UI"/>
          <w:noProof/>
          <w:szCs w:val="20"/>
          <w:lang w:eastAsia="it-IT"/>
        </w:rPr>
        <w:t xml:space="preserve">, </w:t>
      </w:r>
      <w:r w:rsidRPr="0062207D">
        <w:rPr>
          <w:rFonts w:ascii="Segoe UI" w:hAnsi="Segoe UI" w:cs="Segoe UI"/>
          <w:noProof/>
          <w:szCs w:val="20"/>
          <w:lang w:eastAsia="it-IT"/>
        </w:rPr>
        <w:t>nelle pagine</w:t>
      </w:r>
      <w:r>
        <w:rPr>
          <w:rFonts w:ascii="Segoe UI" w:hAnsi="Segoe UI" w:cs="Segoe UI"/>
          <w:noProof/>
          <w:szCs w:val="20"/>
          <w:lang w:eastAsia="it-IT"/>
        </w:rPr>
        <w:t xml:space="preserve"> immediatamente </w:t>
      </w:r>
      <w:r w:rsidRPr="0062207D">
        <w:rPr>
          <w:rFonts w:ascii="Segoe UI" w:hAnsi="Segoe UI" w:cs="Segoe UI"/>
          <w:noProof/>
          <w:szCs w:val="20"/>
          <w:lang w:eastAsia="it-IT"/>
        </w:rPr>
        <w:t>seguenti</w:t>
      </w:r>
      <w:r>
        <w:rPr>
          <w:rFonts w:ascii="Segoe UI" w:hAnsi="Segoe UI" w:cs="Segoe UI"/>
          <w:noProof/>
          <w:szCs w:val="20"/>
          <w:lang w:eastAsia="it-IT"/>
        </w:rPr>
        <w:t xml:space="preserve"> alla sezione</w:t>
      </w:r>
      <w:r w:rsidR="001B37A7">
        <w:rPr>
          <w:rFonts w:ascii="Segoe UI" w:hAnsi="Segoe UI" w:cs="Segoe UI"/>
          <w:noProof/>
          <w:szCs w:val="20"/>
          <w:lang w:eastAsia="it-IT"/>
        </w:rPr>
        <w:t xml:space="preserve"> </w:t>
      </w:r>
      <w:r w:rsidR="001B37A7" w:rsidRPr="00E23D04">
        <w:rPr>
          <w:rFonts w:ascii="Segoe UI" w:hAnsi="Segoe UI" w:cs="Segoe UI"/>
          <w:noProof/>
          <w:szCs w:val="20"/>
          <w:lang w:eastAsia="it-IT"/>
        </w:rPr>
        <w:t xml:space="preserve">“Introduction. </w:t>
      </w:r>
      <w:r w:rsidR="001B37A7" w:rsidRPr="001B37A7">
        <w:rPr>
          <w:rFonts w:ascii="Segoe UI" w:hAnsi="Segoe UI" w:cs="Segoe UI"/>
          <w:noProof/>
          <w:szCs w:val="20"/>
          <w:lang w:val="en-US" w:eastAsia="it-IT"/>
        </w:rPr>
        <w:t xml:space="preserve">Overview of Sustainability Reporting. Orientation to the GRI Guidelines. </w:t>
      </w:r>
      <w:r w:rsidR="001B37A7" w:rsidRPr="00DA0852">
        <w:rPr>
          <w:rFonts w:ascii="Segoe UI" w:hAnsi="Segoe UI" w:cs="Segoe UI"/>
          <w:bCs/>
          <w:szCs w:val="20"/>
          <w:lang w:val="en-US"/>
        </w:rPr>
        <w:t xml:space="preserve">Part 2 – Standard </w:t>
      </w:r>
      <w:r w:rsidRPr="00DA0852">
        <w:rPr>
          <w:rFonts w:ascii="Segoe UI" w:hAnsi="Segoe UI" w:cs="Segoe UI"/>
          <w:bCs/>
          <w:szCs w:val="20"/>
          <w:lang w:val="en-US"/>
        </w:rPr>
        <w:t>Disclosures”,</w:t>
      </w:r>
      <w:r w:rsidRPr="00DA0852">
        <w:rPr>
          <w:rFonts w:ascii="Segoe UI" w:hAnsi="Segoe UI" w:cs="Segoe UI"/>
          <w:noProof/>
          <w:szCs w:val="20"/>
          <w:lang w:val="en-US" w:eastAsia="it-IT"/>
        </w:rPr>
        <w:t xml:space="preserve"> </w:t>
      </w:r>
      <w:r w:rsidR="00694C7B" w:rsidRPr="00DA0852">
        <w:rPr>
          <w:rFonts w:ascii="Segoe UI" w:hAnsi="Segoe UI" w:cs="Segoe UI"/>
          <w:noProof/>
          <w:szCs w:val="20"/>
          <w:lang w:val="en-US" w:eastAsia="it-IT"/>
        </w:rPr>
        <w:t xml:space="preserve">si inizia a generare una certa confusione. </w:t>
      </w:r>
      <w:r w:rsidR="00694C7B" w:rsidRPr="0062207D">
        <w:rPr>
          <w:rFonts w:ascii="Segoe UI" w:hAnsi="Segoe UI" w:cs="Segoe UI"/>
          <w:noProof/>
          <w:szCs w:val="20"/>
          <w:lang w:eastAsia="it-IT"/>
        </w:rPr>
        <w:t xml:space="preserve">Poco dopo, infatti, </w:t>
      </w:r>
      <w:r w:rsidR="0058207B" w:rsidRPr="0062207D">
        <w:rPr>
          <w:rFonts w:ascii="Segoe UI" w:hAnsi="Segoe UI" w:cs="Segoe UI"/>
          <w:noProof/>
          <w:szCs w:val="20"/>
          <w:lang w:eastAsia="it-IT"/>
        </w:rPr>
        <w:t xml:space="preserve">nella versione in inglese, </w:t>
      </w:r>
      <w:r w:rsidR="00E8511D" w:rsidRPr="0062207D">
        <w:rPr>
          <w:rFonts w:ascii="Segoe UI" w:hAnsi="Segoe UI" w:cs="Segoe UI"/>
          <w:noProof/>
          <w:szCs w:val="20"/>
          <w:lang w:eastAsia="it-IT"/>
        </w:rPr>
        <w:t>nella sezione dedicata all’esplicitazione degli orientamenti ai fini dell’individuazione dei contenuti del report, “</w:t>
      </w:r>
      <w:r w:rsidR="0058207B" w:rsidRPr="0062207D">
        <w:rPr>
          <w:rFonts w:ascii="Segoe UI" w:hAnsi="Segoe UI" w:cs="Segoe UI"/>
          <w:szCs w:val="20"/>
        </w:rPr>
        <w:t>1.1 Defining Report Content</w:t>
      </w:r>
      <w:r w:rsidR="00E8511D" w:rsidRPr="0062207D">
        <w:rPr>
          <w:rFonts w:ascii="Segoe UI" w:hAnsi="Segoe UI" w:cs="Segoe UI"/>
          <w:szCs w:val="20"/>
        </w:rPr>
        <w:t>”</w:t>
      </w:r>
      <w:r w:rsidR="0058207B" w:rsidRPr="0062207D">
        <w:rPr>
          <w:rFonts w:ascii="Segoe UI" w:hAnsi="Segoe UI" w:cs="Segoe UI"/>
          <w:szCs w:val="20"/>
        </w:rPr>
        <w:t xml:space="preserve">, </w:t>
      </w:r>
      <w:r w:rsidR="009B1584" w:rsidRPr="0062207D">
        <w:rPr>
          <w:rFonts w:ascii="Segoe UI" w:hAnsi="Segoe UI" w:cs="Segoe UI"/>
          <w:szCs w:val="20"/>
        </w:rPr>
        <w:t xml:space="preserve">con riguardo alle indicazioni </w:t>
      </w:r>
      <w:r w:rsidR="009B1584" w:rsidRPr="0062207D">
        <w:rPr>
          <w:rFonts w:ascii="Segoe UI" w:hAnsi="Segoe UI" w:cs="Segoe UI"/>
          <w:noProof/>
          <w:szCs w:val="20"/>
          <w:lang w:eastAsia="it-IT"/>
        </w:rPr>
        <w:t xml:space="preserve">metodologiche e di processo, </w:t>
      </w:r>
      <w:r w:rsidR="0058207B" w:rsidRPr="0062207D">
        <w:rPr>
          <w:rFonts w:ascii="Segoe UI" w:hAnsi="Segoe UI" w:cs="Segoe UI"/>
          <w:noProof/>
          <w:szCs w:val="20"/>
          <w:lang w:eastAsia="it-IT"/>
        </w:rPr>
        <w:t>si legge</w:t>
      </w:r>
      <w:r w:rsidR="00694C7B" w:rsidRPr="0062207D">
        <w:rPr>
          <w:rFonts w:ascii="Segoe UI" w:hAnsi="Segoe UI" w:cs="Segoe UI"/>
          <w:noProof/>
          <w:szCs w:val="20"/>
          <w:lang w:eastAsia="it-IT"/>
        </w:rPr>
        <w:t>:</w:t>
      </w:r>
    </w:p>
    <w:p w14:paraId="5606EBA6" w14:textId="56D4D9E7" w:rsidR="00A3284F" w:rsidRPr="0094589F" w:rsidRDefault="0058207B" w:rsidP="0094589F">
      <w:pPr>
        <w:keepNext/>
        <w:keepLines/>
        <w:autoSpaceDE w:val="0"/>
        <w:autoSpaceDN w:val="0"/>
        <w:adjustRightInd w:val="0"/>
        <w:spacing w:before="120" w:after="120" w:line="240" w:lineRule="auto"/>
        <w:ind w:left="284" w:right="282"/>
        <w:jc w:val="both"/>
        <w:rPr>
          <w:rFonts w:ascii="Segoe UI" w:hAnsi="Segoe UI" w:cs="Segoe UI"/>
          <w:bCs/>
          <w:color w:val="525252" w:themeColor="accent3" w:themeShade="80"/>
          <w:sz w:val="20"/>
          <w:szCs w:val="20"/>
          <w:lang w:val="en-US"/>
        </w:rPr>
      </w:pPr>
      <w:r w:rsidRPr="0094589F">
        <w:rPr>
          <w:rFonts w:ascii="Segoe UI" w:hAnsi="Segoe UI" w:cs="Segoe UI"/>
          <w:color w:val="525252" w:themeColor="accent3" w:themeShade="80"/>
          <w:sz w:val="20"/>
          <w:szCs w:val="20"/>
          <w:lang w:val="en-US"/>
        </w:rPr>
        <w:t>“</w:t>
      </w:r>
      <w:r w:rsidR="00A3284F" w:rsidRPr="0094589F">
        <w:rPr>
          <w:rFonts w:ascii="Segoe UI" w:hAnsi="Segoe UI" w:cs="Segoe UI"/>
          <w:bCs/>
          <w:color w:val="525252" w:themeColor="accent3" w:themeShade="80"/>
          <w:sz w:val="20"/>
          <w:szCs w:val="20"/>
          <w:lang w:val="en-US"/>
        </w:rPr>
        <w:t>Reporting Guidance for Defining Content</w:t>
      </w:r>
    </w:p>
    <w:p w14:paraId="628B2BB9" w14:textId="77777777" w:rsidR="00A3284F" w:rsidRPr="0094589F" w:rsidRDefault="00A3284F" w:rsidP="0094589F">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rPr>
      </w:pPr>
      <w:r w:rsidRPr="0094589F">
        <w:rPr>
          <w:rFonts w:ascii="Segoe UI" w:hAnsi="Segoe UI" w:cs="Segoe UI"/>
          <w:color w:val="525252" w:themeColor="accent3" w:themeShade="80"/>
          <w:sz w:val="20"/>
          <w:szCs w:val="20"/>
          <w:lang w:val="en-US"/>
        </w:rPr>
        <w:t>The following approach governs the use of the GRI Reporting Framework in preparing sustainability reports.</w:t>
      </w:r>
    </w:p>
    <w:p w14:paraId="1019520B" w14:textId="77777777" w:rsidR="00A3284F" w:rsidRPr="0094589F" w:rsidRDefault="00A3284F" w:rsidP="0094589F">
      <w:pPr>
        <w:pStyle w:val="Paragrafoelenco"/>
        <w:numPr>
          <w:ilvl w:val="0"/>
          <w:numId w:val="15"/>
        </w:numPr>
        <w:tabs>
          <w:tab w:val="left" w:pos="851"/>
        </w:tabs>
        <w:autoSpaceDE w:val="0"/>
        <w:autoSpaceDN w:val="0"/>
        <w:adjustRightInd w:val="0"/>
        <w:spacing w:before="120" w:after="120" w:line="240" w:lineRule="auto"/>
        <w:ind w:left="851" w:right="284" w:hanging="284"/>
        <w:contextualSpacing w:val="0"/>
        <w:jc w:val="both"/>
        <w:rPr>
          <w:rFonts w:ascii="Segoe UI" w:hAnsi="Segoe UI" w:cs="Segoe UI"/>
          <w:color w:val="525252" w:themeColor="accent3" w:themeShade="80"/>
          <w:sz w:val="20"/>
          <w:szCs w:val="20"/>
          <w:lang w:val="en-US"/>
        </w:rPr>
      </w:pPr>
      <w:r w:rsidRPr="0094589F">
        <w:rPr>
          <w:rFonts w:ascii="Segoe UI" w:hAnsi="Segoe UI" w:cs="Segoe UI"/>
          <w:color w:val="525252" w:themeColor="accent3" w:themeShade="80"/>
          <w:sz w:val="20"/>
          <w:szCs w:val="20"/>
          <w:lang w:val="en-US"/>
        </w:rPr>
        <w:t>Identify the topics and related Indicators that are relevant, and therefore might be appropriate to report, by undergoing an iterative process using the Principles of materiality, stakeholder inclusiveness, sustainability context, and guidance on setting the Report Boundary.</w:t>
      </w:r>
    </w:p>
    <w:p w14:paraId="47A33344" w14:textId="6E7753ED" w:rsidR="005E3E60" w:rsidRPr="0094589F" w:rsidRDefault="005E3E60" w:rsidP="0094589F">
      <w:pPr>
        <w:pStyle w:val="Paragrafoelenco"/>
        <w:numPr>
          <w:ilvl w:val="0"/>
          <w:numId w:val="15"/>
        </w:numPr>
        <w:tabs>
          <w:tab w:val="left" w:pos="851"/>
        </w:tabs>
        <w:autoSpaceDE w:val="0"/>
        <w:autoSpaceDN w:val="0"/>
        <w:adjustRightInd w:val="0"/>
        <w:spacing w:before="120" w:after="120" w:line="240" w:lineRule="auto"/>
        <w:ind w:left="851" w:right="284" w:hanging="284"/>
        <w:contextualSpacing w:val="0"/>
        <w:jc w:val="both"/>
        <w:rPr>
          <w:rFonts w:ascii="Segoe UI" w:hAnsi="Segoe UI" w:cs="Segoe UI"/>
          <w:color w:val="525252" w:themeColor="accent3" w:themeShade="80"/>
          <w:sz w:val="20"/>
          <w:szCs w:val="20"/>
          <w:lang w:val="en-US"/>
        </w:rPr>
      </w:pPr>
      <w:r w:rsidRPr="0094589F">
        <w:rPr>
          <w:rFonts w:ascii="Segoe UI" w:hAnsi="Segoe UI" w:cs="Segoe UI"/>
          <w:color w:val="525252" w:themeColor="accent3" w:themeShade="80"/>
          <w:sz w:val="20"/>
          <w:szCs w:val="20"/>
          <w:lang w:val="en-US"/>
        </w:rPr>
        <w:t>When identifying topics, consider the relevance of all Indicator Aspects identified in the GRI Guidelines and applicable Sector Supplements. Also consider other topics, if any, that are relevant to report.</w:t>
      </w:r>
    </w:p>
    <w:p w14:paraId="4219B67D" w14:textId="624872D9" w:rsidR="005E3E60" w:rsidRPr="0094589F" w:rsidRDefault="005E3E60" w:rsidP="0094589F">
      <w:pPr>
        <w:pStyle w:val="Paragrafoelenco"/>
        <w:numPr>
          <w:ilvl w:val="0"/>
          <w:numId w:val="15"/>
        </w:numPr>
        <w:tabs>
          <w:tab w:val="left" w:pos="851"/>
        </w:tabs>
        <w:autoSpaceDE w:val="0"/>
        <w:autoSpaceDN w:val="0"/>
        <w:adjustRightInd w:val="0"/>
        <w:spacing w:before="120" w:after="120" w:line="240" w:lineRule="auto"/>
        <w:ind w:left="851" w:right="284" w:hanging="284"/>
        <w:contextualSpacing w:val="0"/>
        <w:jc w:val="both"/>
        <w:rPr>
          <w:rFonts w:ascii="Segoe UI" w:hAnsi="Segoe UI" w:cs="Segoe UI"/>
          <w:color w:val="525252" w:themeColor="accent3" w:themeShade="80"/>
          <w:sz w:val="20"/>
          <w:szCs w:val="20"/>
          <w:lang w:val="en-US"/>
        </w:rPr>
      </w:pPr>
      <w:r w:rsidRPr="0094589F">
        <w:rPr>
          <w:rFonts w:ascii="Segoe UI" w:hAnsi="Segoe UI" w:cs="Segoe UI"/>
          <w:color w:val="525252" w:themeColor="accent3" w:themeShade="80"/>
          <w:sz w:val="20"/>
          <w:szCs w:val="20"/>
          <w:lang w:val="en-US"/>
        </w:rPr>
        <w:t>From the set of relevant topics and Indicators identified, use the tests listed for each Principle to assess which topics and Indicators are material, and therefore should be reported.</w:t>
      </w:r>
    </w:p>
    <w:p w14:paraId="5FACF17F" w14:textId="0782801C" w:rsidR="005E3E60" w:rsidRPr="0094589F" w:rsidRDefault="005E3E60" w:rsidP="0094589F">
      <w:pPr>
        <w:pStyle w:val="Paragrafoelenco"/>
        <w:numPr>
          <w:ilvl w:val="0"/>
          <w:numId w:val="15"/>
        </w:numPr>
        <w:tabs>
          <w:tab w:val="left" w:pos="851"/>
        </w:tabs>
        <w:autoSpaceDE w:val="0"/>
        <w:autoSpaceDN w:val="0"/>
        <w:adjustRightInd w:val="0"/>
        <w:spacing w:before="120" w:after="120" w:line="240" w:lineRule="auto"/>
        <w:ind w:left="851" w:right="284" w:hanging="284"/>
        <w:contextualSpacing w:val="0"/>
        <w:jc w:val="both"/>
        <w:rPr>
          <w:rFonts w:ascii="Segoe UI" w:hAnsi="Segoe UI" w:cs="Segoe UI"/>
          <w:color w:val="525252" w:themeColor="accent3" w:themeShade="80"/>
          <w:sz w:val="20"/>
          <w:szCs w:val="20"/>
          <w:lang w:val="en-US"/>
        </w:rPr>
      </w:pPr>
      <w:r w:rsidRPr="0094589F">
        <w:rPr>
          <w:rFonts w:ascii="Segoe UI" w:hAnsi="Segoe UI" w:cs="Segoe UI"/>
          <w:color w:val="525252" w:themeColor="accent3" w:themeShade="80"/>
          <w:sz w:val="20"/>
          <w:szCs w:val="20"/>
          <w:lang w:val="en-US"/>
        </w:rPr>
        <w:t>Use the Principles to prioritize selected topics and decide which will be emphasized.</w:t>
      </w:r>
    </w:p>
    <w:p w14:paraId="72CA6E99" w14:textId="5B01CC68" w:rsidR="00711807" w:rsidRPr="0094589F" w:rsidRDefault="0058207B" w:rsidP="0094589F">
      <w:pPr>
        <w:tabs>
          <w:tab w:val="left" w:pos="284"/>
        </w:tabs>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rPr>
      </w:pPr>
      <w:r w:rsidRPr="0094589F">
        <w:rPr>
          <w:rFonts w:ascii="Segoe UI" w:hAnsi="Segoe UI" w:cs="Segoe UI"/>
          <w:color w:val="525252" w:themeColor="accent3" w:themeShade="80"/>
          <w:sz w:val="20"/>
          <w:szCs w:val="20"/>
        </w:rPr>
        <w:t>[</w:t>
      </w:r>
      <w:r w:rsidR="00A3284F" w:rsidRPr="0094589F">
        <w:rPr>
          <w:rFonts w:ascii="Segoe UI" w:hAnsi="Segoe UI" w:cs="Segoe UI"/>
          <w:color w:val="525252" w:themeColor="accent3" w:themeShade="80"/>
          <w:sz w:val="20"/>
          <w:szCs w:val="20"/>
        </w:rPr>
        <w:t>...</w:t>
      </w:r>
      <w:r w:rsidRPr="0094589F">
        <w:rPr>
          <w:rFonts w:ascii="Segoe UI" w:hAnsi="Segoe UI" w:cs="Segoe UI"/>
          <w:color w:val="525252" w:themeColor="accent3" w:themeShade="80"/>
          <w:sz w:val="20"/>
          <w:szCs w:val="20"/>
        </w:rPr>
        <w:t>]”</w:t>
      </w:r>
      <w:r w:rsidR="00EE7944" w:rsidRPr="0094589F">
        <w:rPr>
          <w:rFonts w:ascii="Segoe UI" w:hAnsi="Segoe UI" w:cs="Segoe UI"/>
          <w:color w:val="525252" w:themeColor="accent3" w:themeShade="80"/>
          <w:sz w:val="20"/>
          <w:szCs w:val="20"/>
        </w:rPr>
        <w:t>.</w:t>
      </w:r>
    </w:p>
    <w:p w14:paraId="64010395" w14:textId="1999F80C" w:rsidR="00F95FE9" w:rsidRPr="0062207D" w:rsidRDefault="00F95FE9" w:rsidP="0013336D">
      <w:pPr>
        <w:keepNext/>
        <w:keepLines/>
        <w:spacing w:before="120" w:after="120" w:line="240" w:lineRule="auto"/>
        <w:jc w:val="both"/>
        <w:rPr>
          <w:rFonts w:ascii="Segoe UI" w:hAnsi="Segoe UI" w:cs="Segoe UI"/>
          <w:szCs w:val="20"/>
        </w:rPr>
      </w:pPr>
      <w:r w:rsidRPr="0062207D">
        <w:rPr>
          <w:rFonts w:ascii="Segoe UI" w:hAnsi="Segoe UI" w:cs="Segoe UI"/>
          <w:szCs w:val="20"/>
        </w:rPr>
        <w:t>Nella versione in italiano tal</w:t>
      </w:r>
      <w:r w:rsidR="00694C7B" w:rsidRPr="0062207D">
        <w:rPr>
          <w:rFonts w:ascii="Segoe UI" w:hAnsi="Segoe UI" w:cs="Segoe UI"/>
          <w:szCs w:val="20"/>
        </w:rPr>
        <w:t xml:space="preserve">i passaggi sono </w:t>
      </w:r>
      <w:r w:rsidRPr="0062207D">
        <w:rPr>
          <w:rFonts w:ascii="Segoe UI" w:hAnsi="Segoe UI" w:cs="Segoe UI"/>
          <w:szCs w:val="20"/>
        </w:rPr>
        <w:t>tradott</w:t>
      </w:r>
      <w:r w:rsidR="00694C7B" w:rsidRPr="0062207D">
        <w:rPr>
          <w:rFonts w:ascii="Segoe UI" w:hAnsi="Segoe UI" w:cs="Segoe UI"/>
          <w:szCs w:val="20"/>
        </w:rPr>
        <w:t>i</w:t>
      </w:r>
      <w:r w:rsidRPr="0062207D">
        <w:rPr>
          <w:rFonts w:ascii="Segoe UI" w:hAnsi="Segoe UI" w:cs="Segoe UI"/>
          <w:szCs w:val="20"/>
        </w:rPr>
        <w:t xml:space="preserve"> come segue:</w:t>
      </w:r>
    </w:p>
    <w:p w14:paraId="31B49101" w14:textId="62610CE5" w:rsidR="005E3E60" w:rsidRPr="0094589F" w:rsidRDefault="00F95FE9" w:rsidP="0094589F">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rPr>
      </w:pPr>
      <w:r w:rsidRPr="0094589F">
        <w:rPr>
          <w:rFonts w:ascii="Segoe UI" w:hAnsi="Segoe UI" w:cs="Segoe UI"/>
          <w:color w:val="525252" w:themeColor="accent3" w:themeShade="80"/>
          <w:sz w:val="20"/>
          <w:szCs w:val="20"/>
        </w:rPr>
        <w:t>“</w:t>
      </w:r>
      <w:r w:rsidR="005E3E60" w:rsidRPr="0094589F">
        <w:rPr>
          <w:rFonts w:ascii="Segoe UI" w:hAnsi="Segoe UI" w:cs="Segoe UI"/>
          <w:color w:val="525252" w:themeColor="accent3" w:themeShade="80"/>
          <w:sz w:val="20"/>
          <w:szCs w:val="20"/>
        </w:rPr>
        <w:t>Guida alla definizione del contenuto del report</w:t>
      </w:r>
    </w:p>
    <w:p w14:paraId="25F25C6B" w14:textId="772BB238" w:rsidR="00A3284F" w:rsidRPr="0094589F" w:rsidRDefault="00A3284F" w:rsidP="0094589F">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rPr>
      </w:pPr>
      <w:r w:rsidRPr="0094589F">
        <w:rPr>
          <w:rFonts w:ascii="Segoe UI" w:hAnsi="Segoe UI" w:cs="Segoe UI"/>
          <w:color w:val="525252" w:themeColor="accent3" w:themeShade="80"/>
          <w:sz w:val="20"/>
          <w:szCs w:val="20"/>
        </w:rPr>
        <w:t>L’approccio seguente disciplina l’utilizzo del GRI Reporting Framework in fase di redazione dei report di sostenibilità.</w:t>
      </w:r>
    </w:p>
    <w:p w14:paraId="5DD0390E" w14:textId="2D10BC96" w:rsidR="00A3284F" w:rsidRPr="0094589F" w:rsidRDefault="00A3284F" w:rsidP="0094589F">
      <w:pPr>
        <w:pStyle w:val="Paragrafoelenco"/>
        <w:numPr>
          <w:ilvl w:val="0"/>
          <w:numId w:val="15"/>
        </w:numPr>
        <w:tabs>
          <w:tab w:val="left" w:pos="851"/>
        </w:tabs>
        <w:autoSpaceDE w:val="0"/>
        <w:autoSpaceDN w:val="0"/>
        <w:adjustRightInd w:val="0"/>
        <w:spacing w:before="120" w:after="120" w:line="240" w:lineRule="auto"/>
        <w:ind w:left="851" w:right="284" w:hanging="284"/>
        <w:contextualSpacing w:val="0"/>
        <w:jc w:val="both"/>
        <w:rPr>
          <w:rFonts w:ascii="Segoe UI" w:hAnsi="Segoe UI" w:cs="Segoe UI"/>
          <w:color w:val="525252" w:themeColor="accent3" w:themeShade="80"/>
          <w:sz w:val="20"/>
          <w:szCs w:val="20"/>
        </w:rPr>
      </w:pPr>
      <w:r w:rsidRPr="0094589F">
        <w:rPr>
          <w:rFonts w:ascii="Segoe UI" w:hAnsi="Segoe UI" w:cs="Segoe UI"/>
          <w:color w:val="525252" w:themeColor="accent3" w:themeShade="80"/>
          <w:sz w:val="20"/>
          <w:szCs w:val="20"/>
        </w:rPr>
        <w:t>Occorre identificare quali argomenti e relativi in</w:t>
      </w:r>
      <w:r w:rsidR="005E3E60" w:rsidRPr="0094589F">
        <w:rPr>
          <w:rFonts w:ascii="Segoe UI" w:hAnsi="Segoe UI" w:cs="Segoe UI"/>
          <w:color w:val="525252" w:themeColor="accent3" w:themeShade="80"/>
          <w:sz w:val="20"/>
          <w:szCs w:val="20"/>
        </w:rPr>
        <w:t>d</w:t>
      </w:r>
      <w:r w:rsidRPr="0094589F">
        <w:rPr>
          <w:rFonts w:ascii="Segoe UI" w:hAnsi="Segoe UI" w:cs="Segoe UI"/>
          <w:color w:val="525252" w:themeColor="accent3" w:themeShade="80"/>
          <w:sz w:val="20"/>
          <w:szCs w:val="20"/>
        </w:rPr>
        <w:t>icatori sono rilevanti</w:t>
      </w:r>
      <w:r w:rsidRPr="0094589F">
        <w:rPr>
          <w:rFonts w:ascii="Segoe UI" w:hAnsi="Segoe UI" w:cs="Segoe UI"/>
          <w:b/>
          <w:color w:val="525252" w:themeColor="accent3" w:themeShade="80"/>
          <w:sz w:val="20"/>
          <w:szCs w:val="20"/>
        </w:rPr>
        <w:t xml:space="preserve"> </w:t>
      </w:r>
      <w:r w:rsidRPr="0094589F">
        <w:rPr>
          <w:rFonts w:ascii="Segoe UI" w:hAnsi="Segoe UI" w:cs="Segoe UI"/>
          <w:color w:val="525252" w:themeColor="accent3" w:themeShade="80"/>
          <w:sz w:val="20"/>
          <w:szCs w:val="20"/>
        </w:rPr>
        <w:t>e che quindi potrebbe essere adeguato indicare nel report, tramite un processo iterativo, utilizzando i Principi di materialità, inclusività degli stakehol</w:t>
      </w:r>
      <w:r w:rsidR="005E3E60" w:rsidRPr="0094589F">
        <w:rPr>
          <w:rFonts w:ascii="Segoe UI" w:hAnsi="Segoe UI" w:cs="Segoe UI"/>
          <w:color w:val="525252" w:themeColor="accent3" w:themeShade="80"/>
          <w:sz w:val="20"/>
          <w:szCs w:val="20"/>
        </w:rPr>
        <w:t>d</w:t>
      </w:r>
      <w:r w:rsidRPr="0094589F">
        <w:rPr>
          <w:rFonts w:ascii="Segoe UI" w:hAnsi="Segoe UI" w:cs="Segoe UI"/>
          <w:color w:val="525252" w:themeColor="accent3" w:themeShade="80"/>
          <w:sz w:val="20"/>
          <w:szCs w:val="20"/>
        </w:rPr>
        <w:t>er, contesto di sostenib</w:t>
      </w:r>
      <w:r w:rsidR="005E3E60" w:rsidRPr="0094589F">
        <w:rPr>
          <w:rFonts w:ascii="Segoe UI" w:hAnsi="Segoe UI" w:cs="Segoe UI"/>
          <w:color w:val="525252" w:themeColor="accent3" w:themeShade="80"/>
          <w:sz w:val="20"/>
          <w:szCs w:val="20"/>
        </w:rPr>
        <w:t>i</w:t>
      </w:r>
      <w:r w:rsidRPr="0094589F">
        <w:rPr>
          <w:rFonts w:ascii="Segoe UI" w:hAnsi="Segoe UI" w:cs="Segoe UI"/>
          <w:color w:val="525252" w:themeColor="accent3" w:themeShade="80"/>
          <w:sz w:val="20"/>
          <w:szCs w:val="20"/>
        </w:rPr>
        <w:t>lità e le istruzioni per la definizione del perimetro del repo</w:t>
      </w:r>
      <w:r w:rsidR="005E3E60" w:rsidRPr="0094589F">
        <w:rPr>
          <w:rFonts w:ascii="Segoe UI" w:hAnsi="Segoe UI" w:cs="Segoe UI"/>
          <w:color w:val="525252" w:themeColor="accent3" w:themeShade="80"/>
          <w:sz w:val="20"/>
          <w:szCs w:val="20"/>
        </w:rPr>
        <w:t>r</w:t>
      </w:r>
      <w:r w:rsidRPr="0094589F">
        <w:rPr>
          <w:rFonts w:ascii="Segoe UI" w:hAnsi="Segoe UI" w:cs="Segoe UI"/>
          <w:color w:val="525252" w:themeColor="accent3" w:themeShade="80"/>
          <w:sz w:val="20"/>
          <w:szCs w:val="20"/>
        </w:rPr>
        <w:t>t</w:t>
      </w:r>
      <w:r w:rsidR="00532EE8" w:rsidRPr="0094589F">
        <w:rPr>
          <w:rFonts w:ascii="Segoe UI" w:hAnsi="Segoe UI" w:cs="Segoe UI"/>
          <w:color w:val="525252" w:themeColor="accent3" w:themeShade="80"/>
          <w:sz w:val="20"/>
          <w:szCs w:val="20"/>
        </w:rPr>
        <w:t>;</w:t>
      </w:r>
    </w:p>
    <w:p w14:paraId="3628B09F" w14:textId="77777777" w:rsidR="00532EE8" w:rsidRPr="0094589F" w:rsidRDefault="00532EE8" w:rsidP="0094589F">
      <w:pPr>
        <w:pStyle w:val="Paragrafoelenco"/>
        <w:numPr>
          <w:ilvl w:val="0"/>
          <w:numId w:val="15"/>
        </w:numPr>
        <w:tabs>
          <w:tab w:val="left" w:pos="851"/>
        </w:tabs>
        <w:autoSpaceDE w:val="0"/>
        <w:autoSpaceDN w:val="0"/>
        <w:adjustRightInd w:val="0"/>
        <w:spacing w:before="120" w:after="120" w:line="240" w:lineRule="auto"/>
        <w:ind w:left="851" w:right="284" w:hanging="284"/>
        <w:contextualSpacing w:val="0"/>
        <w:jc w:val="both"/>
        <w:rPr>
          <w:rFonts w:ascii="Segoe UI" w:hAnsi="Segoe UI" w:cs="Segoe UI"/>
          <w:color w:val="525252" w:themeColor="accent3" w:themeShade="80"/>
          <w:sz w:val="20"/>
          <w:szCs w:val="20"/>
        </w:rPr>
      </w:pPr>
      <w:r w:rsidRPr="0094589F">
        <w:rPr>
          <w:rFonts w:ascii="Segoe UI" w:hAnsi="Segoe UI" w:cs="Segoe UI"/>
          <w:color w:val="525252" w:themeColor="accent3" w:themeShade="80"/>
          <w:sz w:val="20"/>
          <w:szCs w:val="20"/>
        </w:rPr>
        <w:t>quando si identificano gli argomenti è necessario considerare la pertinenza di tutti gli aspetti degli Indicatori riportati nelle Linee guida del GRI e applicabili ai Supplementi di settore. Se esistono, considerare altri argomenti rilevanti per il report;</w:t>
      </w:r>
    </w:p>
    <w:p w14:paraId="601E80E3" w14:textId="2A013FC0" w:rsidR="00532EE8" w:rsidRPr="0094589F" w:rsidRDefault="00532EE8" w:rsidP="0094589F">
      <w:pPr>
        <w:pStyle w:val="Paragrafoelenco"/>
        <w:numPr>
          <w:ilvl w:val="0"/>
          <w:numId w:val="15"/>
        </w:numPr>
        <w:tabs>
          <w:tab w:val="left" w:pos="851"/>
        </w:tabs>
        <w:autoSpaceDE w:val="0"/>
        <w:autoSpaceDN w:val="0"/>
        <w:adjustRightInd w:val="0"/>
        <w:spacing w:before="120" w:after="120" w:line="240" w:lineRule="auto"/>
        <w:ind w:left="851" w:right="284" w:hanging="284"/>
        <w:contextualSpacing w:val="0"/>
        <w:jc w:val="both"/>
        <w:rPr>
          <w:rFonts w:ascii="Segoe UI" w:hAnsi="Segoe UI" w:cs="Segoe UI"/>
          <w:color w:val="525252" w:themeColor="accent3" w:themeShade="80"/>
          <w:sz w:val="20"/>
          <w:szCs w:val="20"/>
        </w:rPr>
      </w:pPr>
      <w:r w:rsidRPr="0094589F">
        <w:rPr>
          <w:rFonts w:ascii="Segoe UI" w:hAnsi="Segoe UI" w:cs="Segoe UI"/>
          <w:color w:val="525252" w:themeColor="accent3" w:themeShade="80"/>
          <w:sz w:val="20"/>
          <w:szCs w:val="20"/>
        </w:rPr>
        <w:t>a partire dagli argomenti rilevanti e dagli Indicatori identificati, bisogna utilizzare i test elencati per ciascun Principio al fine di valutare quali argomenti e Indicatori sono rilevanti e che pertanto dovranno essere inclusi nel report;</w:t>
      </w:r>
    </w:p>
    <w:p w14:paraId="4B1C5D0A" w14:textId="42285308" w:rsidR="00532EE8" w:rsidRPr="0094589F" w:rsidRDefault="00532EE8" w:rsidP="0094589F">
      <w:pPr>
        <w:pStyle w:val="Paragrafoelenco"/>
        <w:numPr>
          <w:ilvl w:val="0"/>
          <w:numId w:val="15"/>
        </w:numPr>
        <w:tabs>
          <w:tab w:val="left" w:pos="851"/>
        </w:tabs>
        <w:autoSpaceDE w:val="0"/>
        <w:autoSpaceDN w:val="0"/>
        <w:adjustRightInd w:val="0"/>
        <w:spacing w:before="120" w:after="120" w:line="240" w:lineRule="auto"/>
        <w:ind w:left="851" w:right="284" w:hanging="284"/>
        <w:contextualSpacing w:val="0"/>
        <w:jc w:val="both"/>
        <w:rPr>
          <w:rFonts w:ascii="Segoe UI" w:hAnsi="Segoe UI" w:cs="Segoe UI"/>
          <w:color w:val="525252" w:themeColor="accent3" w:themeShade="80"/>
          <w:sz w:val="20"/>
          <w:szCs w:val="20"/>
        </w:rPr>
      </w:pPr>
      <w:r w:rsidRPr="0094589F">
        <w:rPr>
          <w:rFonts w:ascii="Segoe UI" w:hAnsi="Segoe UI" w:cs="Segoe UI"/>
          <w:color w:val="525252" w:themeColor="accent3" w:themeShade="80"/>
          <w:sz w:val="20"/>
          <w:szCs w:val="20"/>
        </w:rPr>
        <w:t>occorre utilizzare i Principi per stabilire l’ordine di priorità degli argomenti selezionati e decid</w:t>
      </w:r>
      <w:r w:rsidR="00EE7944" w:rsidRPr="0094589F">
        <w:rPr>
          <w:rFonts w:ascii="Segoe UI" w:hAnsi="Segoe UI" w:cs="Segoe UI"/>
          <w:color w:val="525252" w:themeColor="accent3" w:themeShade="80"/>
          <w:sz w:val="20"/>
          <w:szCs w:val="20"/>
        </w:rPr>
        <w:t>ere a quali dar maggior risalto</w:t>
      </w:r>
      <w:r w:rsidR="00637C85" w:rsidRPr="0094589F">
        <w:rPr>
          <w:rFonts w:ascii="Segoe UI" w:hAnsi="Segoe UI" w:cs="Segoe UI"/>
          <w:color w:val="525252" w:themeColor="accent3" w:themeShade="80"/>
          <w:sz w:val="20"/>
          <w:szCs w:val="20"/>
        </w:rPr>
        <w:t>.</w:t>
      </w:r>
    </w:p>
    <w:p w14:paraId="268E1544" w14:textId="71937723" w:rsidR="005E3E60" w:rsidRPr="0094589F" w:rsidRDefault="00532EE8" w:rsidP="0094589F">
      <w:pPr>
        <w:tabs>
          <w:tab w:val="left" w:pos="567"/>
        </w:tab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rPr>
      </w:pPr>
      <w:r w:rsidRPr="0094589F">
        <w:rPr>
          <w:rFonts w:ascii="Segoe UI" w:hAnsi="Segoe UI" w:cs="Segoe UI"/>
          <w:color w:val="525252" w:themeColor="accent3" w:themeShade="80"/>
          <w:sz w:val="20"/>
          <w:szCs w:val="20"/>
        </w:rPr>
        <w:t>[...]”.</w:t>
      </w:r>
    </w:p>
    <w:p w14:paraId="5AC9FABE" w14:textId="2425AEE3" w:rsidR="00894001" w:rsidRPr="0062207D" w:rsidRDefault="00811BD5" w:rsidP="0013336D">
      <w:pPr>
        <w:autoSpaceDE w:val="0"/>
        <w:autoSpaceDN w:val="0"/>
        <w:adjustRightInd w:val="0"/>
        <w:spacing w:before="120" w:after="120" w:line="240" w:lineRule="auto"/>
        <w:jc w:val="both"/>
        <w:rPr>
          <w:rFonts w:ascii="Segoe UI" w:hAnsi="Segoe UI" w:cs="Segoe UI"/>
          <w:szCs w:val="20"/>
          <w:lang w:eastAsia="it-IT"/>
        </w:rPr>
      </w:pPr>
      <w:r w:rsidRPr="0062207D">
        <w:rPr>
          <w:rFonts w:ascii="Segoe UI" w:hAnsi="Segoe UI" w:cs="Segoe UI"/>
          <w:szCs w:val="20"/>
          <w:lang w:eastAsia="it-IT"/>
        </w:rPr>
        <w:t xml:space="preserve">Conclusione: in questo caso, dunque, </w:t>
      </w:r>
      <w:r w:rsidR="00694C7B" w:rsidRPr="0062207D">
        <w:rPr>
          <w:rFonts w:ascii="Segoe UI" w:hAnsi="Segoe UI" w:cs="Segoe UI"/>
          <w:szCs w:val="20"/>
          <w:lang w:eastAsia="it-IT"/>
        </w:rPr>
        <w:t>il termine “</w:t>
      </w:r>
      <w:r w:rsidR="00694C7B" w:rsidRPr="0062207D">
        <w:rPr>
          <w:rFonts w:ascii="Segoe UI" w:hAnsi="Segoe UI" w:cs="Segoe UI"/>
          <w:b/>
          <w:i/>
          <w:szCs w:val="20"/>
          <w:lang w:eastAsia="it-IT"/>
        </w:rPr>
        <w:t>releva</w:t>
      </w:r>
      <w:r w:rsidR="00086E8A" w:rsidRPr="0062207D">
        <w:rPr>
          <w:rFonts w:ascii="Segoe UI" w:hAnsi="Segoe UI" w:cs="Segoe UI"/>
          <w:b/>
          <w:i/>
          <w:szCs w:val="20"/>
          <w:lang w:eastAsia="it-IT"/>
        </w:rPr>
        <w:t>n</w:t>
      </w:r>
      <w:r w:rsidR="00694C7B" w:rsidRPr="0062207D">
        <w:rPr>
          <w:rFonts w:ascii="Segoe UI" w:hAnsi="Segoe UI" w:cs="Segoe UI"/>
          <w:b/>
          <w:i/>
          <w:szCs w:val="20"/>
          <w:lang w:eastAsia="it-IT"/>
        </w:rPr>
        <w:t>t</w:t>
      </w:r>
      <w:r w:rsidR="00694C7B" w:rsidRPr="0062207D">
        <w:rPr>
          <w:rFonts w:ascii="Segoe UI" w:hAnsi="Segoe UI" w:cs="Segoe UI"/>
          <w:szCs w:val="20"/>
          <w:lang w:eastAsia="it-IT"/>
        </w:rPr>
        <w:t>” è stato tradotto “</w:t>
      </w:r>
      <w:r w:rsidR="00694C7B" w:rsidRPr="0062207D">
        <w:rPr>
          <w:rFonts w:ascii="Segoe UI" w:hAnsi="Segoe UI" w:cs="Segoe UI"/>
          <w:b/>
          <w:szCs w:val="20"/>
          <w:lang w:eastAsia="it-IT"/>
        </w:rPr>
        <w:t>rilevante</w:t>
      </w:r>
      <w:r w:rsidR="00694C7B" w:rsidRPr="0062207D">
        <w:rPr>
          <w:rFonts w:ascii="Segoe UI" w:hAnsi="Segoe UI" w:cs="Segoe UI"/>
          <w:szCs w:val="20"/>
          <w:lang w:eastAsia="it-IT"/>
        </w:rPr>
        <w:t>” mentre “il termine “</w:t>
      </w:r>
      <w:r w:rsidR="00694C7B" w:rsidRPr="0062207D">
        <w:rPr>
          <w:rFonts w:ascii="Segoe UI" w:hAnsi="Segoe UI" w:cs="Segoe UI"/>
          <w:b/>
          <w:i/>
          <w:szCs w:val="20"/>
          <w:lang w:eastAsia="it-IT"/>
        </w:rPr>
        <w:t>materiality</w:t>
      </w:r>
      <w:r w:rsidR="00694C7B" w:rsidRPr="0062207D">
        <w:rPr>
          <w:rFonts w:ascii="Segoe UI" w:hAnsi="Segoe UI" w:cs="Segoe UI"/>
          <w:szCs w:val="20"/>
          <w:lang w:eastAsia="it-IT"/>
        </w:rPr>
        <w:t>”</w:t>
      </w:r>
      <w:r w:rsidR="004C3F17" w:rsidRPr="0062207D">
        <w:rPr>
          <w:rFonts w:ascii="Segoe UI" w:hAnsi="Segoe UI" w:cs="Segoe UI"/>
          <w:szCs w:val="20"/>
          <w:lang w:eastAsia="it-IT"/>
        </w:rPr>
        <w:t xml:space="preserve">, </w:t>
      </w:r>
      <w:r w:rsidR="00694C7B" w:rsidRPr="0062207D">
        <w:rPr>
          <w:rFonts w:ascii="Segoe UI" w:hAnsi="Segoe UI" w:cs="Segoe UI"/>
          <w:szCs w:val="20"/>
          <w:lang w:eastAsia="it-IT"/>
        </w:rPr>
        <w:t>che si riferisce specific</w:t>
      </w:r>
      <w:r w:rsidR="004C3F17" w:rsidRPr="0062207D">
        <w:rPr>
          <w:rFonts w:ascii="Segoe UI" w:hAnsi="Segoe UI" w:cs="Segoe UI"/>
          <w:szCs w:val="20"/>
          <w:lang w:eastAsia="it-IT"/>
        </w:rPr>
        <w:t xml:space="preserve">amente </w:t>
      </w:r>
      <w:r w:rsidR="00694C7B" w:rsidRPr="0062207D">
        <w:rPr>
          <w:rFonts w:ascii="Segoe UI" w:hAnsi="Segoe UI" w:cs="Segoe UI"/>
          <w:szCs w:val="20"/>
          <w:lang w:eastAsia="it-IT"/>
        </w:rPr>
        <w:t xml:space="preserve">al principio di </w:t>
      </w:r>
      <w:r w:rsidR="00694C7B" w:rsidRPr="0062207D">
        <w:rPr>
          <w:rFonts w:ascii="Segoe UI" w:hAnsi="Segoe UI" w:cs="Segoe UI"/>
          <w:i/>
          <w:szCs w:val="20"/>
          <w:lang w:eastAsia="it-IT"/>
        </w:rPr>
        <w:t>reporting</w:t>
      </w:r>
      <w:r w:rsidR="00694C7B" w:rsidRPr="0062207D">
        <w:rPr>
          <w:rFonts w:ascii="Segoe UI" w:hAnsi="Segoe UI" w:cs="Segoe UI"/>
          <w:szCs w:val="20"/>
          <w:lang w:eastAsia="it-IT"/>
        </w:rPr>
        <w:t xml:space="preserve">, </w:t>
      </w:r>
      <w:r w:rsidR="004C3F17" w:rsidRPr="0062207D">
        <w:rPr>
          <w:rFonts w:ascii="Segoe UI" w:hAnsi="Segoe UI" w:cs="Segoe UI"/>
          <w:szCs w:val="20"/>
          <w:lang w:eastAsia="it-IT"/>
        </w:rPr>
        <w:t>è stato tradotto “</w:t>
      </w:r>
      <w:r w:rsidR="004C3F17" w:rsidRPr="0062207D">
        <w:rPr>
          <w:rFonts w:ascii="Segoe UI" w:hAnsi="Segoe UI" w:cs="Segoe UI"/>
          <w:b/>
          <w:szCs w:val="20"/>
          <w:lang w:eastAsia="it-IT"/>
        </w:rPr>
        <w:t>materialità</w:t>
      </w:r>
      <w:r w:rsidR="004C3F17" w:rsidRPr="0062207D">
        <w:rPr>
          <w:rFonts w:ascii="Segoe UI" w:hAnsi="Segoe UI" w:cs="Segoe UI"/>
          <w:szCs w:val="20"/>
          <w:lang w:eastAsia="it-IT"/>
        </w:rPr>
        <w:t>”</w:t>
      </w:r>
      <w:r w:rsidR="00086E8A" w:rsidRPr="0062207D">
        <w:rPr>
          <w:rFonts w:ascii="Segoe UI" w:hAnsi="Segoe UI" w:cs="Segoe UI"/>
          <w:szCs w:val="20"/>
          <w:lang w:eastAsia="it-IT"/>
        </w:rPr>
        <w:t>;</w:t>
      </w:r>
      <w:r w:rsidR="004C3F17" w:rsidRPr="0062207D">
        <w:rPr>
          <w:rFonts w:ascii="Segoe UI" w:hAnsi="Segoe UI" w:cs="Segoe UI"/>
          <w:szCs w:val="20"/>
          <w:lang w:eastAsia="it-IT"/>
        </w:rPr>
        <w:t xml:space="preserve"> nello stesso passaggio,</w:t>
      </w:r>
      <w:r w:rsidR="00086E8A" w:rsidRPr="0062207D">
        <w:rPr>
          <w:rFonts w:ascii="Segoe UI" w:hAnsi="Segoe UI" w:cs="Segoe UI"/>
          <w:szCs w:val="20"/>
          <w:lang w:eastAsia="it-IT"/>
        </w:rPr>
        <w:t xml:space="preserve"> con riguardo quindi al medesimo processo, </w:t>
      </w:r>
      <w:r w:rsidR="004C3F17" w:rsidRPr="0062207D">
        <w:rPr>
          <w:rFonts w:ascii="Segoe UI" w:hAnsi="Segoe UI" w:cs="Segoe UI"/>
          <w:szCs w:val="20"/>
          <w:lang w:eastAsia="it-IT"/>
        </w:rPr>
        <w:t>nel secondo punto elenco, “</w:t>
      </w:r>
      <w:r w:rsidR="004C3F17" w:rsidRPr="0062207D">
        <w:rPr>
          <w:rFonts w:ascii="Segoe UI" w:hAnsi="Segoe UI" w:cs="Segoe UI"/>
          <w:b/>
          <w:i/>
          <w:szCs w:val="20"/>
          <w:lang w:eastAsia="it-IT"/>
        </w:rPr>
        <w:t>relevance</w:t>
      </w:r>
      <w:r w:rsidR="004C3F17" w:rsidRPr="0062207D">
        <w:rPr>
          <w:rFonts w:ascii="Segoe UI" w:hAnsi="Segoe UI" w:cs="Segoe UI"/>
          <w:szCs w:val="20"/>
          <w:lang w:eastAsia="it-IT"/>
        </w:rPr>
        <w:t>” è stato tradotto “</w:t>
      </w:r>
      <w:r w:rsidR="004C3F17" w:rsidRPr="0062207D">
        <w:rPr>
          <w:rFonts w:ascii="Segoe UI" w:hAnsi="Segoe UI" w:cs="Segoe UI"/>
          <w:b/>
          <w:szCs w:val="20"/>
          <w:lang w:eastAsia="it-IT"/>
        </w:rPr>
        <w:t>pertinenza</w:t>
      </w:r>
      <w:r w:rsidR="004C3F17" w:rsidRPr="0062207D">
        <w:rPr>
          <w:rFonts w:ascii="Segoe UI" w:hAnsi="Segoe UI" w:cs="Segoe UI"/>
          <w:szCs w:val="20"/>
          <w:lang w:eastAsia="it-IT"/>
        </w:rPr>
        <w:t xml:space="preserve">”, </w:t>
      </w:r>
      <w:r w:rsidR="00894001" w:rsidRPr="0062207D">
        <w:rPr>
          <w:rFonts w:ascii="Segoe UI" w:hAnsi="Segoe UI" w:cs="Segoe UI"/>
          <w:szCs w:val="20"/>
          <w:lang w:eastAsia="it-IT"/>
        </w:rPr>
        <w:t>in modo analogo ad una delle accezioni rilevate nelle direttive 2013/34/UE e 2014/95/UE</w:t>
      </w:r>
      <w:r w:rsidR="00086E8A" w:rsidRPr="0062207D">
        <w:rPr>
          <w:rFonts w:ascii="Segoe UI" w:hAnsi="Segoe UI" w:cs="Segoe UI"/>
          <w:szCs w:val="20"/>
          <w:lang w:eastAsia="it-IT"/>
        </w:rPr>
        <w:t xml:space="preserve">, mentre, </w:t>
      </w:r>
      <w:r w:rsidR="00693026" w:rsidRPr="0062207D">
        <w:rPr>
          <w:rFonts w:ascii="Segoe UI" w:hAnsi="Segoe UI" w:cs="Segoe UI"/>
          <w:szCs w:val="20"/>
          <w:lang w:eastAsia="it-IT"/>
        </w:rPr>
        <w:t>nel terzo punto elenco</w:t>
      </w:r>
      <w:r w:rsidR="00086E8A" w:rsidRPr="0062207D">
        <w:rPr>
          <w:rFonts w:ascii="Segoe UI" w:hAnsi="Segoe UI" w:cs="Segoe UI"/>
          <w:szCs w:val="20"/>
          <w:lang w:eastAsia="it-IT"/>
        </w:rPr>
        <w:t>,</w:t>
      </w:r>
      <w:r w:rsidR="00693026" w:rsidRPr="0062207D">
        <w:rPr>
          <w:rFonts w:ascii="Segoe UI" w:hAnsi="Segoe UI" w:cs="Segoe UI"/>
          <w:szCs w:val="20"/>
          <w:lang w:eastAsia="it-IT"/>
        </w:rPr>
        <w:t xml:space="preserve"> sia “</w:t>
      </w:r>
      <w:r w:rsidR="00693026" w:rsidRPr="0062207D">
        <w:rPr>
          <w:rFonts w:ascii="Segoe UI" w:hAnsi="Segoe UI" w:cs="Segoe UI"/>
          <w:b/>
          <w:i/>
          <w:szCs w:val="20"/>
          <w:lang w:eastAsia="it-IT"/>
        </w:rPr>
        <w:t>relevant</w:t>
      </w:r>
      <w:r w:rsidR="00693026" w:rsidRPr="0062207D">
        <w:rPr>
          <w:rFonts w:ascii="Segoe UI" w:hAnsi="Segoe UI" w:cs="Segoe UI"/>
          <w:szCs w:val="20"/>
          <w:lang w:eastAsia="it-IT"/>
        </w:rPr>
        <w:t xml:space="preserve">” </w:t>
      </w:r>
      <w:r w:rsidR="00564B61">
        <w:rPr>
          <w:rFonts w:ascii="Segoe UI" w:hAnsi="Segoe UI" w:cs="Segoe UI"/>
          <w:szCs w:val="20"/>
          <w:lang w:eastAsia="it-IT"/>
        </w:rPr>
        <w:t xml:space="preserve">(con riguardo ai “topics”) </w:t>
      </w:r>
      <w:r w:rsidR="00693026" w:rsidRPr="0062207D">
        <w:rPr>
          <w:rFonts w:ascii="Segoe UI" w:hAnsi="Segoe UI" w:cs="Segoe UI"/>
          <w:szCs w:val="20"/>
          <w:lang w:eastAsia="it-IT"/>
        </w:rPr>
        <w:t>sia “</w:t>
      </w:r>
      <w:r w:rsidR="00693026" w:rsidRPr="0062207D">
        <w:rPr>
          <w:rFonts w:ascii="Segoe UI" w:hAnsi="Segoe UI" w:cs="Segoe UI"/>
          <w:b/>
          <w:i/>
          <w:szCs w:val="20"/>
          <w:lang w:eastAsia="it-IT"/>
        </w:rPr>
        <w:t>material</w:t>
      </w:r>
      <w:r w:rsidR="00693026" w:rsidRPr="0062207D">
        <w:rPr>
          <w:rFonts w:ascii="Segoe UI" w:hAnsi="Segoe UI" w:cs="Segoe UI"/>
          <w:szCs w:val="20"/>
          <w:lang w:eastAsia="it-IT"/>
        </w:rPr>
        <w:t xml:space="preserve">” </w:t>
      </w:r>
      <w:r w:rsidR="00564B61">
        <w:rPr>
          <w:rFonts w:ascii="Segoe UI" w:hAnsi="Segoe UI" w:cs="Segoe UI"/>
          <w:szCs w:val="20"/>
          <w:lang w:eastAsia="it-IT"/>
        </w:rPr>
        <w:t>(con riguardo a “</w:t>
      </w:r>
      <w:r w:rsidR="00564B61" w:rsidRPr="00564B61">
        <w:rPr>
          <w:rFonts w:ascii="Segoe UI" w:hAnsi="Segoe UI" w:cs="Segoe UI"/>
          <w:szCs w:val="20"/>
        </w:rPr>
        <w:t xml:space="preserve">topics and </w:t>
      </w:r>
      <w:r w:rsidR="00564B61">
        <w:rPr>
          <w:rFonts w:ascii="Segoe UI" w:hAnsi="Segoe UI" w:cs="Segoe UI"/>
          <w:szCs w:val="20"/>
        </w:rPr>
        <w:t>i</w:t>
      </w:r>
      <w:r w:rsidR="00564B61" w:rsidRPr="00564B61">
        <w:rPr>
          <w:rFonts w:ascii="Segoe UI" w:hAnsi="Segoe UI" w:cs="Segoe UI"/>
          <w:szCs w:val="20"/>
        </w:rPr>
        <w:t>ndicators</w:t>
      </w:r>
      <w:r w:rsidR="00564B61">
        <w:rPr>
          <w:rFonts w:ascii="Segoe UI" w:hAnsi="Segoe UI" w:cs="Segoe UI"/>
          <w:szCs w:val="20"/>
          <w:lang w:eastAsia="it-IT"/>
        </w:rPr>
        <w:t xml:space="preserve">”) </w:t>
      </w:r>
      <w:r w:rsidR="00693026" w:rsidRPr="0062207D">
        <w:rPr>
          <w:rFonts w:ascii="Segoe UI" w:hAnsi="Segoe UI" w:cs="Segoe UI"/>
          <w:szCs w:val="20"/>
          <w:lang w:eastAsia="it-IT"/>
        </w:rPr>
        <w:t>sono stati tradotti “</w:t>
      </w:r>
      <w:r w:rsidR="00693026" w:rsidRPr="0062207D">
        <w:rPr>
          <w:rFonts w:ascii="Segoe UI" w:hAnsi="Segoe UI" w:cs="Segoe UI"/>
          <w:b/>
          <w:szCs w:val="20"/>
          <w:lang w:eastAsia="it-IT"/>
        </w:rPr>
        <w:t>rilevante</w:t>
      </w:r>
      <w:r w:rsidR="00693026" w:rsidRPr="0062207D">
        <w:rPr>
          <w:rFonts w:ascii="Segoe UI" w:hAnsi="Segoe UI" w:cs="Segoe UI"/>
          <w:szCs w:val="20"/>
          <w:lang w:eastAsia="it-IT"/>
        </w:rPr>
        <w:t>”</w:t>
      </w:r>
      <w:r w:rsidR="00086E8A" w:rsidRPr="0062207D">
        <w:rPr>
          <w:rFonts w:ascii="Segoe UI" w:hAnsi="Segoe UI" w:cs="Segoe UI"/>
          <w:szCs w:val="20"/>
          <w:lang w:eastAsia="it-IT"/>
        </w:rPr>
        <w:t>. Ora, anche ammesso che possa utilmente scegliersi una qualsiasi coppia di termini per identificare i due diversi concetti di “</w:t>
      </w:r>
      <w:r w:rsidR="00086E8A" w:rsidRPr="0062207D">
        <w:rPr>
          <w:rFonts w:ascii="Segoe UI" w:hAnsi="Segoe UI" w:cs="Segoe UI"/>
          <w:i/>
          <w:szCs w:val="20"/>
          <w:lang w:eastAsia="it-IT"/>
        </w:rPr>
        <w:t>relevance</w:t>
      </w:r>
      <w:r w:rsidR="00086E8A" w:rsidRPr="0062207D">
        <w:rPr>
          <w:rFonts w:ascii="Segoe UI" w:hAnsi="Segoe UI" w:cs="Segoe UI"/>
          <w:szCs w:val="20"/>
          <w:lang w:eastAsia="it-IT"/>
        </w:rPr>
        <w:t>” e “</w:t>
      </w:r>
      <w:r w:rsidR="00086E8A" w:rsidRPr="0062207D">
        <w:rPr>
          <w:rFonts w:ascii="Segoe UI" w:hAnsi="Segoe UI" w:cs="Segoe UI"/>
          <w:i/>
          <w:szCs w:val="20"/>
          <w:lang w:eastAsia="it-IT"/>
        </w:rPr>
        <w:t>materiality</w:t>
      </w:r>
      <w:r w:rsidR="00086E8A" w:rsidRPr="0062207D">
        <w:rPr>
          <w:rFonts w:ascii="Segoe UI" w:hAnsi="Segoe UI" w:cs="Segoe UI"/>
          <w:szCs w:val="20"/>
          <w:lang w:eastAsia="it-IT"/>
        </w:rPr>
        <w:t>”, come definiti nell’ambito dei Princ</w:t>
      </w:r>
      <w:r w:rsidR="00114042">
        <w:rPr>
          <w:rFonts w:ascii="Segoe UI" w:hAnsi="Segoe UI" w:cs="Segoe UI"/>
          <w:szCs w:val="20"/>
          <w:lang w:eastAsia="it-IT"/>
        </w:rPr>
        <w:t>i</w:t>
      </w:r>
      <w:r w:rsidR="00086E8A" w:rsidRPr="0062207D">
        <w:rPr>
          <w:rFonts w:ascii="Segoe UI" w:hAnsi="Segoe UI" w:cs="Segoe UI"/>
          <w:szCs w:val="20"/>
          <w:lang w:eastAsia="it-IT"/>
        </w:rPr>
        <w:t>pi contabili int</w:t>
      </w:r>
      <w:r w:rsidR="00114042">
        <w:rPr>
          <w:rFonts w:ascii="Segoe UI" w:hAnsi="Segoe UI" w:cs="Segoe UI"/>
          <w:szCs w:val="20"/>
          <w:lang w:eastAsia="it-IT"/>
        </w:rPr>
        <w:t>e</w:t>
      </w:r>
      <w:r w:rsidR="00086E8A" w:rsidRPr="0062207D">
        <w:rPr>
          <w:rFonts w:ascii="Segoe UI" w:hAnsi="Segoe UI" w:cs="Segoe UI"/>
          <w:szCs w:val="20"/>
          <w:lang w:eastAsia="it-IT"/>
        </w:rPr>
        <w:t>rnazionali, sia essa “significatività e rilevanza” sia essa “rilevanza e material</w:t>
      </w:r>
      <w:r w:rsidR="009F0910">
        <w:rPr>
          <w:rFonts w:ascii="Segoe UI" w:hAnsi="Segoe UI" w:cs="Segoe UI"/>
          <w:szCs w:val="20"/>
          <w:lang w:eastAsia="it-IT"/>
        </w:rPr>
        <w:t>i</w:t>
      </w:r>
      <w:r w:rsidR="00086E8A" w:rsidRPr="0062207D">
        <w:rPr>
          <w:rFonts w:ascii="Segoe UI" w:hAnsi="Segoe UI" w:cs="Segoe UI"/>
          <w:szCs w:val="20"/>
          <w:lang w:eastAsia="it-IT"/>
        </w:rPr>
        <w:t>tà” o “pertine</w:t>
      </w:r>
      <w:r w:rsidR="00114042">
        <w:rPr>
          <w:rFonts w:ascii="Segoe UI" w:hAnsi="Segoe UI" w:cs="Segoe UI"/>
          <w:szCs w:val="20"/>
          <w:lang w:eastAsia="it-IT"/>
        </w:rPr>
        <w:t>n</w:t>
      </w:r>
      <w:r w:rsidR="00086E8A" w:rsidRPr="0062207D">
        <w:rPr>
          <w:rFonts w:ascii="Segoe UI" w:hAnsi="Segoe UI" w:cs="Segoe UI"/>
          <w:szCs w:val="20"/>
          <w:lang w:eastAsia="it-IT"/>
        </w:rPr>
        <w:t>za e materialità” (sebbene, come avremo modo di illustrare</w:t>
      </w:r>
      <w:r w:rsidR="00987ACE" w:rsidRPr="0062207D">
        <w:rPr>
          <w:rFonts w:ascii="Segoe UI" w:hAnsi="Segoe UI" w:cs="Segoe UI"/>
          <w:szCs w:val="20"/>
          <w:lang w:eastAsia="it-IT"/>
        </w:rPr>
        <w:t xml:space="preserve"> più avanti</w:t>
      </w:r>
      <w:r w:rsidR="00086E8A" w:rsidRPr="0062207D">
        <w:rPr>
          <w:rFonts w:ascii="Segoe UI" w:hAnsi="Segoe UI" w:cs="Segoe UI"/>
          <w:szCs w:val="20"/>
          <w:lang w:eastAsia="it-IT"/>
        </w:rPr>
        <w:t xml:space="preserve">, il termine </w:t>
      </w:r>
      <w:r w:rsidR="00987ACE" w:rsidRPr="0062207D">
        <w:rPr>
          <w:rFonts w:ascii="Segoe UI" w:hAnsi="Segoe UI" w:cs="Segoe UI"/>
          <w:szCs w:val="20"/>
          <w:lang w:eastAsia="it-IT"/>
        </w:rPr>
        <w:t>“</w:t>
      </w:r>
      <w:r w:rsidR="00086E8A" w:rsidRPr="0062207D">
        <w:rPr>
          <w:rFonts w:ascii="Segoe UI" w:hAnsi="Segoe UI" w:cs="Segoe UI"/>
          <w:szCs w:val="20"/>
          <w:lang w:eastAsia="it-IT"/>
        </w:rPr>
        <w:t>pertinenza</w:t>
      </w:r>
      <w:r w:rsidR="00987ACE" w:rsidRPr="0062207D">
        <w:rPr>
          <w:rFonts w:ascii="Segoe UI" w:hAnsi="Segoe UI" w:cs="Segoe UI"/>
          <w:szCs w:val="20"/>
          <w:lang w:eastAsia="it-IT"/>
        </w:rPr>
        <w:t>”</w:t>
      </w:r>
      <w:r w:rsidR="00086E8A" w:rsidRPr="0062207D">
        <w:rPr>
          <w:rFonts w:ascii="Segoe UI" w:hAnsi="Segoe UI" w:cs="Segoe UI"/>
          <w:szCs w:val="20"/>
          <w:lang w:eastAsia="it-IT"/>
        </w:rPr>
        <w:t xml:space="preserve"> sembra</w:t>
      </w:r>
      <w:r w:rsidR="00110C3D">
        <w:rPr>
          <w:rFonts w:ascii="Segoe UI" w:hAnsi="Segoe UI" w:cs="Segoe UI"/>
          <w:szCs w:val="20"/>
          <w:lang w:eastAsia="it-IT"/>
        </w:rPr>
        <w:t xml:space="preserve"> meglio</w:t>
      </w:r>
      <w:r w:rsidR="00086E8A" w:rsidRPr="0062207D">
        <w:rPr>
          <w:rFonts w:ascii="Segoe UI" w:hAnsi="Segoe UI" w:cs="Segoe UI"/>
          <w:szCs w:val="20"/>
          <w:lang w:eastAsia="it-IT"/>
        </w:rPr>
        <w:t xml:space="preserve"> riferirsi a un concetto differente rispetto a quello esplicitato nei Princ</w:t>
      </w:r>
      <w:r w:rsidR="00114042">
        <w:rPr>
          <w:rFonts w:ascii="Segoe UI" w:hAnsi="Segoe UI" w:cs="Segoe UI"/>
          <w:szCs w:val="20"/>
          <w:lang w:eastAsia="it-IT"/>
        </w:rPr>
        <w:t>i</w:t>
      </w:r>
      <w:r w:rsidR="00086E8A" w:rsidRPr="0062207D">
        <w:rPr>
          <w:rFonts w:ascii="Segoe UI" w:hAnsi="Segoe UI" w:cs="Segoe UI"/>
          <w:szCs w:val="20"/>
          <w:lang w:eastAsia="it-IT"/>
        </w:rPr>
        <w:t xml:space="preserve">pi contabili IAS/IFRS </w:t>
      </w:r>
      <w:r w:rsidR="00987ACE" w:rsidRPr="0062207D">
        <w:rPr>
          <w:rFonts w:ascii="Segoe UI" w:hAnsi="Segoe UI" w:cs="Segoe UI"/>
          <w:szCs w:val="20"/>
          <w:lang w:eastAsia="it-IT"/>
        </w:rPr>
        <w:t xml:space="preserve">quando è adottato il </w:t>
      </w:r>
      <w:r w:rsidR="00086E8A" w:rsidRPr="0062207D">
        <w:rPr>
          <w:rFonts w:ascii="Segoe UI" w:hAnsi="Segoe UI" w:cs="Segoe UI"/>
          <w:szCs w:val="20"/>
          <w:lang w:eastAsia="it-IT"/>
        </w:rPr>
        <w:t>termine “</w:t>
      </w:r>
      <w:r w:rsidR="00086E8A" w:rsidRPr="0062207D">
        <w:rPr>
          <w:rFonts w:ascii="Segoe UI" w:hAnsi="Segoe UI" w:cs="Segoe UI"/>
          <w:i/>
          <w:szCs w:val="20"/>
          <w:lang w:eastAsia="it-IT"/>
        </w:rPr>
        <w:t>relevance</w:t>
      </w:r>
      <w:r w:rsidR="00086E8A" w:rsidRPr="0062207D">
        <w:rPr>
          <w:rFonts w:ascii="Segoe UI" w:hAnsi="Segoe UI" w:cs="Segoe UI"/>
          <w:szCs w:val="20"/>
          <w:lang w:eastAsia="it-IT"/>
        </w:rPr>
        <w:t>”</w:t>
      </w:r>
      <w:r w:rsidR="00987ACE" w:rsidRPr="0062207D">
        <w:rPr>
          <w:rFonts w:ascii="Segoe UI" w:hAnsi="Segoe UI" w:cs="Segoe UI"/>
          <w:szCs w:val="20"/>
          <w:lang w:eastAsia="it-IT"/>
        </w:rPr>
        <w:t xml:space="preserve">), è chiaro che vi sia un’evidente approssimazione nella terza traduzione, quando non anche una </w:t>
      </w:r>
      <w:r w:rsidR="00114042">
        <w:rPr>
          <w:rFonts w:ascii="Segoe UI" w:hAnsi="Segoe UI" w:cs="Segoe UI"/>
          <w:szCs w:val="20"/>
          <w:lang w:eastAsia="it-IT"/>
        </w:rPr>
        <w:t>certa incomprens</w:t>
      </w:r>
      <w:r w:rsidR="00574E31">
        <w:rPr>
          <w:rFonts w:ascii="Segoe UI" w:hAnsi="Segoe UI" w:cs="Segoe UI"/>
          <w:szCs w:val="20"/>
          <w:lang w:eastAsia="it-IT"/>
        </w:rPr>
        <w:t>ione del</w:t>
      </w:r>
      <w:r w:rsidR="00987ACE" w:rsidRPr="0062207D">
        <w:rPr>
          <w:rFonts w:ascii="Segoe UI" w:hAnsi="Segoe UI" w:cs="Segoe UI"/>
          <w:szCs w:val="20"/>
          <w:lang w:eastAsia="it-IT"/>
        </w:rPr>
        <w:t>la sostanza del concetto espresso in lingua inglese, con cui si illustra un processo metodologico che, invero, sembra ben delineato tanto nella forma linguistica quanto nei contenuti</w:t>
      </w:r>
      <w:r w:rsidR="00086E8A" w:rsidRPr="0062207D">
        <w:rPr>
          <w:rFonts w:ascii="Segoe UI" w:hAnsi="Segoe UI" w:cs="Segoe UI"/>
          <w:szCs w:val="20"/>
          <w:lang w:eastAsia="it-IT"/>
        </w:rPr>
        <w:t>.</w:t>
      </w:r>
    </w:p>
    <w:p w14:paraId="07B201E4" w14:textId="77777777" w:rsidR="00894001" w:rsidRDefault="00894001" w:rsidP="0013336D">
      <w:pPr>
        <w:autoSpaceDE w:val="0"/>
        <w:autoSpaceDN w:val="0"/>
        <w:adjustRightInd w:val="0"/>
        <w:spacing w:before="120" w:after="120" w:line="240" w:lineRule="auto"/>
        <w:jc w:val="both"/>
        <w:rPr>
          <w:rFonts w:ascii="Segoe UI" w:hAnsi="Segoe UI" w:cs="Segoe UI"/>
          <w:noProof/>
          <w:szCs w:val="20"/>
          <w:lang w:eastAsia="it-IT"/>
        </w:rPr>
      </w:pPr>
    </w:p>
    <w:p w14:paraId="09E837CD" w14:textId="77777777" w:rsidR="00564B61" w:rsidRDefault="00564B61" w:rsidP="0013336D">
      <w:pPr>
        <w:autoSpaceDE w:val="0"/>
        <w:autoSpaceDN w:val="0"/>
        <w:adjustRightInd w:val="0"/>
        <w:spacing w:before="120" w:after="120" w:line="240" w:lineRule="auto"/>
        <w:jc w:val="both"/>
        <w:rPr>
          <w:rFonts w:ascii="Segoe UI" w:hAnsi="Segoe UI" w:cs="Segoe UI"/>
          <w:noProof/>
          <w:szCs w:val="20"/>
          <w:lang w:eastAsia="it-IT"/>
        </w:rPr>
      </w:pPr>
    </w:p>
    <w:p w14:paraId="7EB14EEB" w14:textId="662AB255" w:rsidR="00564B61" w:rsidRPr="00564B61" w:rsidRDefault="00564B61" w:rsidP="00564B61">
      <w:pPr>
        <w:keepNext/>
        <w:keepLines/>
        <w:tabs>
          <w:tab w:val="left" w:pos="284"/>
        </w:tabs>
        <w:spacing w:before="120" w:after="120" w:line="240" w:lineRule="auto"/>
        <w:jc w:val="both"/>
        <w:rPr>
          <w:rFonts w:ascii="Segoe UI" w:hAnsi="Segoe UI" w:cs="Segoe UI"/>
          <w:noProof/>
          <w:szCs w:val="20"/>
          <w:lang w:eastAsia="it-IT"/>
        </w:rPr>
      </w:pPr>
      <w:r>
        <w:rPr>
          <w:rFonts w:ascii="Segoe UI" w:hAnsi="Segoe UI" w:cs="Segoe UI"/>
          <w:noProof/>
          <w:szCs w:val="20"/>
          <w:lang w:eastAsia="it-IT"/>
        </w:rPr>
        <w:t>B.</w:t>
      </w:r>
      <w:r>
        <w:rPr>
          <w:rFonts w:ascii="Segoe UI" w:hAnsi="Segoe UI" w:cs="Segoe UI"/>
          <w:noProof/>
          <w:szCs w:val="20"/>
          <w:lang w:eastAsia="it-IT"/>
        </w:rPr>
        <w:tab/>
      </w:r>
      <w:r w:rsidRPr="00FF072E">
        <w:rPr>
          <w:rFonts w:ascii="Segoe UI" w:hAnsi="Segoe UI" w:cs="Segoe UI"/>
          <w:i/>
          <w:noProof/>
          <w:szCs w:val="20"/>
          <w:lang w:eastAsia="it-IT"/>
        </w:rPr>
        <w:t>Materiality</w:t>
      </w:r>
    </w:p>
    <w:p w14:paraId="430ED064" w14:textId="77777777" w:rsidR="00564B61" w:rsidRPr="00564B61" w:rsidRDefault="00564B61" w:rsidP="00564B61">
      <w:pPr>
        <w:keepNext/>
        <w:keepLines/>
        <w:spacing w:before="120" w:after="120" w:line="240" w:lineRule="auto"/>
        <w:jc w:val="both"/>
        <w:rPr>
          <w:rFonts w:ascii="Segoe UI" w:hAnsi="Segoe UI" w:cs="Segoe UI"/>
          <w:i/>
          <w:noProof/>
          <w:szCs w:val="20"/>
          <w:lang w:eastAsia="it-IT"/>
        </w:rPr>
      </w:pPr>
    </w:p>
    <w:p w14:paraId="58A99FEE" w14:textId="782D070F" w:rsidR="009B5AC6" w:rsidRPr="0062207D" w:rsidRDefault="009B5AC6" w:rsidP="009B5AC6">
      <w:pPr>
        <w:keepNext/>
        <w:keepLines/>
        <w:spacing w:before="120" w:after="120" w:line="240" w:lineRule="auto"/>
        <w:jc w:val="both"/>
        <w:rPr>
          <w:rFonts w:ascii="Segoe UI" w:hAnsi="Segoe UI" w:cs="Segoe UI"/>
          <w:szCs w:val="20"/>
        </w:rPr>
      </w:pPr>
      <w:r>
        <w:rPr>
          <w:rFonts w:ascii="Segoe UI" w:hAnsi="Segoe UI" w:cs="Segoe UI"/>
          <w:szCs w:val="20"/>
        </w:rPr>
        <w:t>Traduzione</w:t>
      </w:r>
      <w:r w:rsidR="002A4D65">
        <w:rPr>
          <w:rFonts w:ascii="Segoe UI" w:hAnsi="Segoe UI" w:cs="Segoe UI"/>
          <w:szCs w:val="20"/>
        </w:rPr>
        <w:t>:</w:t>
      </w:r>
      <w:r>
        <w:rPr>
          <w:rFonts w:ascii="Segoe UI" w:hAnsi="Segoe UI" w:cs="Segoe UI"/>
          <w:szCs w:val="20"/>
        </w:rPr>
        <w:t xml:space="preserve"> opzione </w:t>
      </w:r>
      <w:r w:rsidR="00564B61">
        <w:rPr>
          <w:rFonts w:ascii="Segoe UI" w:hAnsi="Segoe UI" w:cs="Segoe UI"/>
          <w:szCs w:val="20"/>
        </w:rPr>
        <w:t>2</w:t>
      </w:r>
      <w:r>
        <w:rPr>
          <w:rFonts w:ascii="Segoe UI" w:hAnsi="Segoe UI" w:cs="Segoe UI"/>
          <w:szCs w:val="20"/>
        </w:rPr>
        <w:t xml:space="preserve"> / </w:t>
      </w:r>
      <w:r w:rsidR="002A4D65">
        <w:rPr>
          <w:rFonts w:ascii="Segoe UI" w:hAnsi="Segoe UI" w:cs="Segoe UI"/>
          <w:szCs w:val="20"/>
        </w:rPr>
        <w:t>A</w:t>
      </w:r>
      <w:r>
        <w:rPr>
          <w:rFonts w:ascii="Segoe UI" w:hAnsi="Segoe UI" w:cs="Segoe UI"/>
          <w:szCs w:val="20"/>
        </w:rPr>
        <w:t>ccezione</w:t>
      </w:r>
      <w:r w:rsidR="002A4D65">
        <w:rPr>
          <w:rFonts w:ascii="Segoe UI" w:hAnsi="Segoe UI" w:cs="Segoe UI"/>
          <w:szCs w:val="20"/>
        </w:rPr>
        <w:t>: opzione</w:t>
      </w:r>
      <w:r>
        <w:rPr>
          <w:rFonts w:ascii="Segoe UI" w:hAnsi="Segoe UI" w:cs="Segoe UI"/>
          <w:szCs w:val="20"/>
        </w:rPr>
        <w:t xml:space="preserve"> </w:t>
      </w:r>
      <w:r w:rsidR="00564B61">
        <w:rPr>
          <w:rFonts w:ascii="Segoe UI" w:hAnsi="Segoe UI" w:cs="Segoe UI"/>
          <w:szCs w:val="20"/>
        </w:rPr>
        <w:t>1</w:t>
      </w:r>
    </w:p>
    <w:p w14:paraId="0CA81153" w14:textId="31463A85" w:rsidR="00405276" w:rsidRPr="0062207D" w:rsidRDefault="00A97B3A" w:rsidP="0013336D">
      <w:pPr>
        <w:autoSpaceDE w:val="0"/>
        <w:autoSpaceDN w:val="0"/>
        <w:adjustRightInd w:val="0"/>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 xml:space="preserve">Infine, ma non meno importante, </w:t>
      </w:r>
      <w:r w:rsidR="009F7B05" w:rsidRPr="0062207D">
        <w:rPr>
          <w:rFonts w:ascii="Segoe UI" w:hAnsi="Segoe UI" w:cs="Segoe UI"/>
          <w:noProof/>
          <w:szCs w:val="20"/>
          <w:lang w:eastAsia="it-IT"/>
        </w:rPr>
        <w:t>nell</w:t>
      </w:r>
      <w:r w:rsidR="00680B41">
        <w:rPr>
          <w:rFonts w:ascii="Segoe UI" w:hAnsi="Segoe UI" w:cs="Segoe UI"/>
          <w:noProof/>
          <w:szCs w:val="20"/>
          <w:lang w:eastAsia="it-IT"/>
        </w:rPr>
        <w:t>e</w:t>
      </w:r>
      <w:r w:rsidR="002C1D5F">
        <w:rPr>
          <w:rFonts w:ascii="Segoe UI" w:hAnsi="Segoe UI" w:cs="Segoe UI"/>
          <w:noProof/>
          <w:szCs w:val="20"/>
          <w:lang w:eastAsia="it-IT"/>
        </w:rPr>
        <w:t xml:space="preserve"> </w:t>
      </w:r>
      <w:r w:rsidR="00680B41" w:rsidRPr="0062207D">
        <w:rPr>
          <w:rFonts w:ascii="Segoe UI" w:hAnsi="Segoe UI" w:cs="Segoe UI"/>
          <w:noProof/>
          <w:szCs w:val="20"/>
          <w:lang w:eastAsia="it-IT"/>
        </w:rPr>
        <w:t>SR Guidelines G3</w:t>
      </w:r>
      <w:r w:rsidR="00680B41">
        <w:rPr>
          <w:rFonts w:ascii="Segoe UI" w:hAnsi="Segoe UI" w:cs="Segoe UI"/>
          <w:noProof/>
          <w:szCs w:val="20"/>
          <w:lang w:eastAsia="it-IT"/>
        </w:rPr>
        <w:t xml:space="preserve"> e G3.1</w:t>
      </w:r>
      <w:r w:rsidR="00680B41" w:rsidRPr="0062207D">
        <w:rPr>
          <w:rFonts w:ascii="Segoe UI" w:hAnsi="Segoe UI" w:cs="Segoe UI"/>
          <w:noProof/>
          <w:szCs w:val="20"/>
          <w:lang w:eastAsia="it-IT"/>
        </w:rPr>
        <w:t xml:space="preserve"> </w:t>
      </w:r>
      <w:r w:rsidR="009F7B05" w:rsidRPr="0062207D">
        <w:rPr>
          <w:rFonts w:ascii="Segoe UI" w:hAnsi="Segoe UI" w:cs="Segoe UI"/>
          <w:noProof/>
          <w:szCs w:val="20"/>
          <w:lang w:eastAsia="it-IT"/>
        </w:rPr>
        <w:t>si fornisce una specifica definizione del principio di “</w:t>
      </w:r>
      <w:r w:rsidR="009F7B05" w:rsidRPr="0062207D">
        <w:rPr>
          <w:rFonts w:ascii="Segoe UI" w:hAnsi="Segoe UI" w:cs="Segoe UI"/>
          <w:i/>
          <w:noProof/>
          <w:szCs w:val="20"/>
          <w:lang w:eastAsia="it-IT"/>
        </w:rPr>
        <w:t>materiality</w:t>
      </w:r>
      <w:r w:rsidR="009F7B05" w:rsidRPr="0062207D">
        <w:rPr>
          <w:rFonts w:ascii="Segoe UI" w:hAnsi="Segoe UI" w:cs="Segoe UI"/>
          <w:noProof/>
          <w:szCs w:val="20"/>
          <w:lang w:eastAsia="it-IT"/>
        </w:rPr>
        <w:t>”</w:t>
      </w:r>
      <w:r w:rsidR="00680B41">
        <w:rPr>
          <w:rFonts w:ascii="Segoe UI" w:hAnsi="Segoe UI" w:cs="Segoe UI"/>
          <w:noProof/>
          <w:szCs w:val="20"/>
          <w:lang w:eastAsia="it-IT"/>
        </w:rPr>
        <w:t xml:space="preserve"> (</w:t>
      </w:r>
      <w:r w:rsidR="005305B0">
        <w:rPr>
          <w:rFonts w:ascii="Segoe UI" w:hAnsi="Segoe UI" w:cs="Segoe UI"/>
          <w:noProof/>
          <w:szCs w:val="20"/>
          <w:lang w:eastAsia="it-IT"/>
        </w:rPr>
        <w:t>identica</w:t>
      </w:r>
      <w:r w:rsidR="00680B41">
        <w:rPr>
          <w:rFonts w:ascii="Segoe UI" w:hAnsi="Segoe UI" w:cs="Segoe UI"/>
          <w:noProof/>
          <w:szCs w:val="20"/>
          <w:lang w:eastAsia="it-IT"/>
        </w:rPr>
        <w:t xml:space="preserve"> nelle due versioni</w:t>
      </w:r>
      <w:r w:rsidR="001D2208">
        <w:rPr>
          <w:rFonts w:ascii="Segoe UI" w:hAnsi="Segoe UI" w:cs="Segoe UI"/>
          <w:noProof/>
          <w:szCs w:val="20"/>
          <w:lang w:eastAsia="it-IT"/>
        </w:rPr>
        <w:t xml:space="preserve"> </w:t>
      </w:r>
      <w:r w:rsidR="00680B41">
        <w:rPr>
          <w:rFonts w:ascii="Segoe UI" w:hAnsi="Segoe UI" w:cs="Segoe UI"/>
          <w:noProof/>
          <w:szCs w:val="20"/>
          <w:lang w:eastAsia="it-IT"/>
        </w:rPr>
        <w:t xml:space="preserve">e </w:t>
      </w:r>
      <w:r w:rsidR="001D2208">
        <w:rPr>
          <w:rFonts w:ascii="Segoe UI" w:hAnsi="Segoe UI" w:cs="Segoe UI"/>
          <w:noProof/>
          <w:szCs w:val="20"/>
          <w:lang w:eastAsia="it-IT"/>
        </w:rPr>
        <w:t>nella traduzione italiana delle stesse</w:t>
      </w:r>
      <w:r w:rsidR="00680B41">
        <w:rPr>
          <w:rFonts w:ascii="Segoe UI" w:hAnsi="Segoe UI" w:cs="Segoe UI"/>
          <w:noProof/>
          <w:szCs w:val="20"/>
          <w:lang w:eastAsia="it-IT"/>
        </w:rPr>
        <w:t>)</w:t>
      </w:r>
      <w:r w:rsidR="009F7B05" w:rsidRPr="0062207D">
        <w:rPr>
          <w:rFonts w:ascii="Segoe UI" w:hAnsi="Segoe UI" w:cs="Segoe UI"/>
          <w:noProof/>
          <w:szCs w:val="20"/>
          <w:lang w:eastAsia="it-IT"/>
        </w:rPr>
        <w:t>,</w:t>
      </w:r>
      <w:r w:rsidR="001D2208">
        <w:rPr>
          <w:rFonts w:ascii="Segoe UI" w:hAnsi="Segoe UI" w:cs="Segoe UI"/>
          <w:noProof/>
          <w:szCs w:val="20"/>
          <w:lang w:eastAsia="it-IT"/>
        </w:rPr>
        <w:t xml:space="preserve"> </w:t>
      </w:r>
      <w:r w:rsidR="009F7B05" w:rsidRPr="0062207D">
        <w:rPr>
          <w:rFonts w:ascii="Segoe UI" w:hAnsi="Segoe UI" w:cs="Segoe UI"/>
          <w:noProof/>
          <w:szCs w:val="20"/>
          <w:lang w:eastAsia="it-IT"/>
        </w:rPr>
        <w:t>nella quale si ricorre a un’ulteriore attribuzione (riferita questa volta agli impatti)</w:t>
      </w:r>
      <w:r w:rsidR="00405276" w:rsidRPr="0062207D">
        <w:rPr>
          <w:rFonts w:ascii="Segoe UI" w:hAnsi="Segoe UI" w:cs="Segoe UI"/>
          <w:noProof/>
          <w:szCs w:val="20"/>
          <w:lang w:eastAsia="it-IT"/>
        </w:rPr>
        <w:t xml:space="preserve"> e, </w:t>
      </w:r>
      <w:r w:rsidR="009F7B05" w:rsidRPr="0062207D">
        <w:rPr>
          <w:rFonts w:ascii="Segoe UI" w:hAnsi="Segoe UI" w:cs="Segoe UI"/>
          <w:noProof/>
          <w:szCs w:val="20"/>
          <w:lang w:eastAsia="it-IT"/>
        </w:rPr>
        <w:t>qundi</w:t>
      </w:r>
      <w:r w:rsidR="00405276" w:rsidRPr="0062207D">
        <w:rPr>
          <w:rFonts w:ascii="Segoe UI" w:hAnsi="Segoe UI" w:cs="Segoe UI"/>
          <w:noProof/>
          <w:szCs w:val="20"/>
          <w:lang w:eastAsia="it-IT"/>
        </w:rPr>
        <w:t>,</w:t>
      </w:r>
      <w:r w:rsidR="009F7B05" w:rsidRPr="0062207D">
        <w:rPr>
          <w:rFonts w:ascii="Segoe UI" w:hAnsi="Segoe UI" w:cs="Segoe UI"/>
          <w:noProof/>
          <w:szCs w:val="20"/>
          <w:lang w:eastAsia="it-IT"/>
        </w:rPr>
        <w:t xml:space="preserve"> anche a un ulteriore elemento concettuale</w:t>
      </w:r>
      <w:r w:rsidR="00405276" w:rsidRPr="0062207D">
        <w:rPr>
          <w:rFonts w:ascii="Segoe UI" w:hAnsi="Segoe UI" w:cs="Segoe UI"/>
          <w:noProof/>
          <w:szCs w:val="20"/>
          <w:lang w:eastAsia="it-IT"/>
        </w:rPr>
        <w:t xml:space="preserve">, che riduce ancor più, se possible, quella specificità </w:t>
      </w:r>
      <w:r w:rsidR="00377599" w:rsidRPr="0062207D">
        <w:rPr>
          <w:rFonts w:ascii="Segoe UI" w:hAnsi="Segoe UI" w:cs="Segoe UI"/>
          <w:noProof/>
          <w:szCs w:val="20"/>
          <w:lang w:eastAsia="it-IT"/>
        </w:rPr>
        <w:t>terminologica</w:t>
      </w:r>
      <w:r w:rsidR="00014BEB" w:rsidRPr="0062207D">
        <w:rPr>
          <w:rFonts w:ascii="Segoe UI" w:hAnsi="Segoe UI" w:cs="Segoe UI"/>
          <w:noProof/>
          <w:szCs w:val="20"/>
          <w:lang w:eastAsia="it-IT"/>
        </w:rPr>
        <w:t xml:space="preserve"> </w:t>
      </w:r>
      <w:r w:rsidR="00377599" w:rsidRPr="0062207D">
        <w:rPr>
          <w:rFonts w:ascii="Segoe UI" w:hAnsi="Segoe UI" w:cs="Segoe UI"/>
          <w:noProof/>
          <w:szCs w:val="20"/>
          <w:lang w:eastAsia="it-IT"/>
        </w:rPr>
        <w:t xml:space="preserve">ed </w:t>
      </w:r>
      <w:r w:rsidR="00405276" w:rsidRPr="0062207D">
        <w:rPr>
          <w:rFonts w:ascii="Segoe UI" w:hAnsi="Segoe UI" w:cs="Segoe UI"/>
          <w:noProof/>
          <w:szCs w:val="20"/>
          <w:lang w:eastAsia="it-IT"/>
        </w:rPr>
        <w:t xml:space="preserve">etimologica dei </w:t>
      </w:r>
      <w:r w:rsidR="00377599" w:rsidRPr="0062207D">
        <w:rPr>
          <w:rFonts w:ascii="Segoe UI" w:hAnsi="Segoe UI" w:cs="Segoe UI"/>
          <w:noProof/>
          <w:szCs w:val="20"/>
          <w:lang w:eastAsia="it-IT"/>
        </w:rPr>
        <w:t xml:space="preserve">vocaboli </w:t>
      </w:r>
      <w:r w:rsidR="00405276" w:rsidRPr="0062207D">
        <w:rPr>
          <w:rFonts w:ascii="Segoe UI" w:hAnsi="Segoe UI" w:cs="Segoe UI"/>
          <w:noProof/>
          <w:szCs w:val="20"/>
          <w:lang w:eastAsia="it-IT"/>
        </w:rPr>
        <w:t xml:space="preserve">tecnici che nel tempo </w:t>
      </w:r>
      <w:r w:rsidR="00014BEB" w:rsidRPr="0062207D">
        <w:rPr>
          <w:rFonts w:ascii="Segoe UI" w:hAnsi="Segoe UI" w:cs="Segoe UI"/>
          <w:noProof/>
          <w:szCs w:val="20"/>
          <w:lang w:eastAsia="it-IT"/>
        </w:rPr>
        <w:t xml:space="preserve">studiosi e operatori hanno </w:t>
      </w:r>
      <w:r w:rsidR="00405276" w:rsidRPr="0062207D">
        <w:rPr>
          <w:rFonts w:ascii="Segoe UI" w:hAnsi="Segoe UI" w:cs="Segoe UI"/>
          <w:noProof/>
          <w:szCs w:val="20"/>
          <w:lang w:eastAsia="it-IT"/>
        </w:rPr>
        <w:t xml:space="preserve">cercato di acquisire </w:t>
      </w:r>
      <w:r w:rsidR="00377599" w:rsidRPr="0062207D">
        <w:rPr>
          <w:rFonts w:ascii="Segoe UI" w:hAnsi="Segoe UI" w:cs="Segoe UI"/>
          <w:noProof/>
          <w:szCs w:val="20"/>
          <w:lang w:eastAsia="it-IT"/>
        </w:rPr>
        <w:t xml:space="preserve">e sviluppare </w:t>
      </w:r>
      <w:r w:rsidR="00405276" w:rsidRPr="0062207D">
        <w:rPr>
          <w:rFonts w:ascii="Segoe UI" w:hAnsi="Segoe UI" w:cs="Segoe UI"/>
          <w:noProof/>
          <w:szCs w:val="20"/>
          <w:lang w:eastAsia="it-IT"/>
        </w:rPr>
        <w:t>nell’ambito della rendicontazione finanziaria.</w:t>
      </w:r>
    </w:p>
    <w:p w14:paraId="5C217221" w14:textId="2E378E76" w:rsidR="009B1584" w:rsidRPr="0062207D" w:rsidRDefault="009F7B05" w:rsidP="009B1584">
      <w:pPr>
        <w:keepNext/>
        <w:keepLines/>
        <w:autoSpaceDE w:val="0"/>
        <w:autoSpaceDN w:val="0"/>
        <w:adjustRightInd w:val="0"/>
        <w:spacing w:before="120" w:after="120" w:line="240" w:lineRule="auto"/>
        <w:jc w:val="both"/>
        <w:rPr>
          <w:rFonts w:ascii="Segoe UI" w:hAnsi="Segoe UI" w:cs="Segoe UI"/>
          <w:noProof/>
          <w:szCs w:val="20"/>
          <w:lang w:eastAsia="it-IT"/>
        </w:rPr>
      </w:pPr>
      <w:r w:rsidRPr="0062207D">
        <w:rPr>
          <w:rFonts w:ascii="Segoe UI" w:hAnsi="Segoe UI" w:cs="Segoe UI"/>
          <w:noProof/>
          <w:szCs w:val="20"/>
          <w:lang w:eastAsia="it-IT"/>
        </w:rPr>
        <w:t xml:space="preserve">Sempre </w:t>
      </w:r>
      <w:r w:rsidR="009B1584" w:rsidRPr="0062207D">
        <w:rPr>
          <w:rFonts w:ascii="Segoe UI" w:hAnsi="Segoe UI" w:cs="Segoe UI"/>
          <w:noProof/>
          <w:szCs w:val="20"/>
          <w:lang w:eastAsia="it-IT"/>
        </w:rPr>
        <w:t>nella sezion</w:t>
      </w:r>
      <w:r w:rsidR="005B6A01">
        <w:rPr>
          <w:rFonts w:ascii="Segoe UI" w:hAnsi="Segoe UI" w:cs="Segoe UI"/>
          <w:noProof/>
          <w:szCs w:val="20"/>
          <w:lang w:eastAsia="it-IT"/>
        </w:rPr>
        <w:t>e</w:t>
      </w:r>
      <w:r w:rsidR="009B1584" w:rsidRPr="0062207D">
        <w:rPr>
          <w:rFonts w:ascii="Segoe UI" w:hAnsi="Segoe UI" w:cs="Segoe UI"/>
          <w:noProof/>
          <w:szCs w:val="20"/>
          <w:lang w:eastAsia="it-IT"/>
        </w:rPr>
        <w:t xml:space="preserve"> delle</w:t>
      </w:r>
      <w:r w:rsidR="004D20EC">
        <w:rPr>
          <w:rFonts w:ascii="Segoe UI" w:hAnsi="Segoe UI" w:cs="Segoe UI"/>
          <w:noProof/>
          <w:szCs w:val="20"/>
          <w:lang w:eastAsia="it-IT"/>
        </w:rPr>
        <w:t xml:space="preserve"> </w:t>
      </w:r>
      <w:r w:rsidRPr="0062207D">
        <w:rPr>
          <w:rFonts w:ascii="Segoe UI" w:hAnsi="Segoe UI" w:cs="Segoe UI"/>
          <w:noProof/>
          <w:szCs w:val="20"/>
          <w:lang w:eastAsia="it-IT"/>
        </w:rPr>
        <w:t>SR Guidelines G3</w:t>
      </w:r>
      <w:r w:rsidR="00B44869">
        <w:rPr>
          <w:rFonts w:ascii="Segoe UI" w:hAnsi="Segoe UI" w:cs="Segoe UI"/>
          <w:noProof/>
          <w:szCs w:val="20"/>
          <w:lang w:eastAsia="it-IT"/>
        </w:rPr>
        <w:t xml:space="preserve"> e G3.1</w:t>
      </w:r>
      <w:r w:rsidRPr="0062207D">
        <w:rPr>
          <w:rFonts w:ascii="Segoe UI" w:hAnsi="Segoe UI" w:cs="Segoe UI"/>
          <w:noProof/>
          <w:szCs w:val="20"/>
          <w:lang w:eastAsia="it-IT"/>
        </w:rPr>
        <w:t xml:space="preserve"> </w:t>
      </w:r>
      <w:r w:rsidR="009B1584" w:rsidRPr="0062207D">
        <w:rPr>
          <w:rFonts w:ascii="Segoe UI" w:hAnsi="Segoe UI" w:cs="Segoe UI"/>
          <w:noProof/>
          <w:szCs w:val="20"/>
          <w:lang w:eastAsia="it-IT"/>
        </w:rPr>
        <w:t>dedicata alle indicazioni volte all’individuazione dei contenuti del report, “</w:t>
      </w:r>
      <w:r w:rsidR="009B1584" w:rsidRPr="0062207D">
        <w:rPr>
          <w:rFonts w:ascii="Segoe UI" w:hAnsi="Segoe UI" w:cs="Segoe UI"/>
          <w:szCs w:val="20"/>
        </w:rPr>
        <w:t xml:space="preserve">1.1 Defining Report Content”, con riguardo ai </w:t>
      </w:r>
      <w:r w:rsidR="009B1584" w:rsidRPr="0062207D">
        <w:rPr>
          <w:rFonts w:ascii="Segoe UI" w:hAnsi="Segoe UI" w:cs="Segoe UI"/>
          <w:noProof/>
          <w:szCs w:val="20"/>
          <w:lang w:eastAsia="it-IT"/>
        </w:rPr>
        <w:t>principi di reporting, nella versione in inglese si legge:</w:t>
      </w:r>
    </w:p>
    <w:p w14:paraId="12CB2D60" w14:textId="24F8973C" w:rsidR="00A3284F" w:rsidRPr="0094589F" w:rsidRDefault="009B1584" w:rsidP="0094589F">
      <w:pPr>
        <w:keepNext/>
        <w:keepLines/>
        <w:autoSpaceDE w:val="0"/>
        <w:autoSpaceDN w:val="0"/>
        <w:adjustRightInd w:val="0"/>
        <w:spacing w:before="120" w:after="120" w:line="240" w:lineRule="auto"/>
        <w:ind w:left="284" w:right="282"/>
        <w:jc w:val="both"/>
        <w:rPr>
          <w:rFonts w:ascii="Segoe UI" w:hAnsi="Segoe UI" w:cs="Segoe UI"/>
          <w:bCs/>
          <w:color w:val="525252" w:themeColor="accent3" w:themeShade="80"/>
          <w:sz w:val="20"/>
          <w:szCs w:val="20"/>
          <w:lang w:val="en-US"/>
        </w:rPr>
      </w:pPr>
      <w:r w:rsidRPr="0094589F">
        <w:rPr>
          <w:rFonts w:ascii="Segoe UI" w:hAnsi="Segoe UI" w:cs="Segoe UI"/>
          <w:color w:val="525252" w:themeColor="accent3" w:themeShade="80"/>
          <w:sz w:val="20"/>
          <w:szCs w:val="20"/>
          <w:lang w:val="en-US"/>
        </w:rPr>
        <w:t>“</w:t>
      </w:r>
      <w:r w:rsidR="00A3284F" w:rsidRPr="0094589F">
        <w:rPr>
          <w:rFonts w:ascii="Segoe UI" w:hAnsi="Segoe UI" w:cs="Segoe UI"/>
          <w:bCs/>
          <w:color w:val="525252" w:themeColor="accent3" w:themeShade="80"/>
          <w:sz w:val="20"/>
          <w:szCs w:val="20"/>
          <w:lang w:val="en-US"/>
        </w:rPr>
        <w:t>Reporting Principles for Defining Content</w:t>
      </w:r>
    </w:p>
    <w:p w14:paraId="17986A8F" w14:textId="638BD838" w:rsidR="00A3284F" w:rsidRPr="0094589F" w:rsidRDefault="009B1584" w:rsidP="0094589F">
      <w:pPr>
        <w:keepNext/>
        <w:keepLines/>
        <w:autoSpaceDE w:val="0"/>
        <w:autoSpaceDN w:val="0"/>
        <w:adjustRightInd w:val="0"/>
        <w:spacing w:before="120" w:after="120" w:line="240" w:lineRule="auto"/>
        <w:ind w:left="284" w:right="282"/>
        <w:jc w:val="both"/>
        <w:rPr>
          <w:rFonts w:ascii="Segoe UI" w:hAnsi="Segoe UI" w:cs="Segoe UI"/>
          <w:noProof/>
          <w:color w:val="525252" w:themeColor="accent3" w:themeShade="80"/>
          <w:sz w:val="20"/>
          <w:szCs w:val="20"/>
          <w:lang w:val="en-US" w:eastAsia="it-IT"/>
        </w:rPr>
      </w:pPr>
      <w:r w:rsidRPr="0094589F">
        <w:rPr>
          <w:rFonts w:ascii="Segoe UI" w:hAnsi="Segoe UI" w:cs="Segoe UI"/>
          <w:bCs/>
          <w:color w:val="525252" w:themeColor="accent3" w:themeShade="80"/>
          <w:sz w:val="20"/>
          <w:szCs w:val="20"/>
          <w:lang w:val="en-US"/>
        </w:rPr>
        <w:t>[</w:t>
      </w:r>
      <w:r w:rsidR="00A3284F" w:rsidRPr="0094589F">
        <w:rPr>
          <w:rFonts w:ascii="Segoe UI" w:hAnsi="Segoe UI" w:cs="Segoe UI"/>
          <w:bCs/>
          <w:color w:val="525252" w:themeColor="accent3" w:themeShade="80"/>
          <w:sz w:val="20"/>
          <w:szCs w:val="20"/>
          <w:lang w:val="en-US"/>
        </w:rPr>
        <w:t>...</w:t>
      </w:r>
      <w:r w:rsidRPr="0094589F">
        <w:rPr>
          <w:rFonts w:ascii="Segoe UI" w:hAnsi="Segoe UI" w:cs="Segoe UI"/>
          <w:bCs/>
          <w:color w:val="525252" w:themeColor="accent3" w:themeShade="80"/>
          <w:sz w:val="20"/>
          <w:szCs w:val="20"/>
          <w:lang w:val="en-US"/>
        </w:rPr>
        <w:t>]</w:t>
      </w:r>
    </w:p>
    <w:p w14:paraId="4D3CA9A5" w14:textId="66B825DB" w:rsidR="00A3284F" w:rsidRPr="0094589F" w:rsidRDefault="00A3284F" w:rsidP="0094589F">
      <w:pPr>
        <w:keepNext/>
        <w:keepLines/>
        <w:autoSpaceDE w:val="0"/>
        <w:autoSpaceDN w:val="0"/>
        <w:adjustRightInd w:val="0"/>
        <w:spacing w:before="120" w:after="120" w:line="240" w:lineRule="auto"/>
        <w:ind w:left="284" w:right="282"/>
        <w:jc w:val="both"/>
        <w:rPr>
          <w:rFonts w:ascii="Segoe UI" w:eastAsiaTheme="minorHAnsi" w:hAnsi="Segoe UI" w:cs="Segoe UI"/>
          <w:color w:val="525252" w:themeColor="accent3" w:themeShade="80"/>
          <w:sz w:val="20"/>
          <w:szCs w:val="20"/>
          <w:lang w:val="en-US"/>
        </w:rPr>
      </w:pPr>
      <w:r w:rsidRPr="0094589F">
        <w:rPr>
          <w:rFonts w:ascii="Segoe UI" w:hAnsi="Segoe UI" w:cs="Segoe UI"/>
          <w:color w:val="525252" w:themeColor="accent3" w:themeShade="80"/>
          <w:sz w:val="20"/>
          <w:szCs w:val="20"/>
          <w:lang w:val="en-US"/>
        </w:rPr>
        <w:t>Materiality</w:t>
      </w:r>
    </w:p>
    <w:p w14:paraId="2B44F389" w14:textId="4D4B6B39" w:rsidR="00A3284F" w:rsidRPr="0094589F" w:rsidRDefault="00A3284F" w:rsidP="0094589F">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rPr>
      </w:pPr>
      <w:r w:rsidRPr="0094589F">
        <w:rPr>
          <w:rFonts w:ascii="Segoe UI" w:hAnsi="Segoe UI" w:cs="Segoe UI"/>
          <w:bCs/>
          <w:color w:val="525252" w:themeColor="accent3" w:themeShade="80"/>
          <w:sz w:val="20"/>
          <w:szCs w:val="20"/>
          <w:lang w:val="en-US"/>
        </w:rPr>
        <w:t xml:space="preserve">Definition: </w:t>
      </w:r>
      <w:r w:rsidRPr="0094589F">
        <w:rPr>
          <w:rFonts w:ascii="Segoe UI" w:hAnsi="Segoe UI" w:cs="Segoe UI"/>
          <w:color w:val="525252" w:themeColor="accent3" w:themeShade="80"/>
          <w:sz w:val="20"/>
          <w:szCs w:val="20"/>
          <w:lang w:val="en-US"/>
        </w:rPr>
        <w:t>The information in a report should cover topics and Indicators that reflect the organization’s significant economic, environmental, and social impacts, or that would substantively influence the assessments and decisions of stakeholders.</w:t>
      </w:r>
      <w:r w:rsidR="009B1584" w:rsidRPr="0094589F">
        <w:rPr>
          <w:rFonts w:ascii="Segoe UI" w:hAnsi="Segoe UI" w:cs="Segoe UI"/>
          <w:color w:val="525252" w:themeColor="accent3" w:themeShade="80"/>
          <w:sz w:val="20"/>
          <w:szCs w:val="20"/>
          <w:lang w:val="en-US"/>
        </w:rPr>
        <w:t>”</w:t>
      </w:r>
      <w:r w:rsidR="00323FD3" w:rsidRPr="0094589F">
        <w:rPr>
          <w:rFonts w:ascii="Segoe UI" w:hAnsi="Segoe UI" w:cs="Segoe UI"/>
          <w:color w:val="525252" w:themeColor="accent3" w:themeShade="80"/>
          <w:sz w:val="20"/>
          <w:szCs w:val="20"/>
          <w:lang w:val="en-US"/>
        </w:rPr>
        <w:t>.</w:t>
      </w:r>
    </w:p>
    <w:p w14:paraId="396CF36B" w14:textId="0F7CE64C" w:rsidR="009B1584" w:rsidRPr="00711807" w:rsidRDefault="009B1584" w:rsidP="009B1584">
      <w:pPr>
        <w:keepNext/>
        <w:keepLines/>
        <w:autoSpaceDE w:val="0"/>
        <w:autoSpaceDN w:val="0"/>
        <w:adjustRightInd w:val="0"/>
        <w:spacing w:before="120" w:after="120" w:line="240" w:lineRule="auto"/>
        <w:jc w:val="both"/>
        <w:rPr>
          <w:rFonts w:ascii="Segoe UI" w:hAnsi="Segoe UI" w:cs="Segoe UI"/>
          <w:noProof/>
          <w:szCs w:val="20"/>
          <w:lang w:eastAsia="it-IT"/>
        </w:rPr>
      </w:pPr>
      <w:r w:rsidRPr="00711807">
        <w:rPr>
          <w:rFonts w:ascii="Segoe UI" w:hAnsi="Segoe UI" w:cs="Segoe UI"/>
          <w:szCs w:val="20"/>
        </w:rPr>
        <w:t>Questo fondamentale passaggio è stato tradotto come segue:</w:t>
      </w:r>
    </w:p>
    <w:p w14:paraId="636751B8" w14:textId="786F0F4B" w:rsidR="009B1584" w:rsidRPr="0094589F" w:rsidRDefault="009B1584" w:rsidP="00D36126">
      <w:pPr>
        <w:keepNext/>
        <w:keepLines/>
        <w:autoSpaceDE w:val="0"/>
        <w:autoSpaceDN w:val="0"/>
        <w:adjustRightInd w:val="0"/>
        <w:spacing w:before="120" w:after="120" w:line="240" w:lineRule="auto"/>
        <w:ind w:left="284" w:right="282"/>
        <w:jc w:val="both"/>
        <w:rPr>
          <w:rFonts w:ascii="Segoe UI" w:hAnsi="Segoe UI" w:cs="Segoe UI"/>
          <w:bCs/>
          <w:color w:val="525252" w:themeColor="accent3" w:themeShade="80"/>
          <w:sz w:val="20"/>
          <w:szCs w:val="20"/>
        </w:rPr>
      </w:pPr>
      <w:r w:rsidRPr="0094589F">
        <w:rPr>
          <w:rFonts w:ascii="Segoe UI" w:hAnsi="Segoe UI" w:cs="Segoe UI"/>
          <w:color w:val="525252" w:themeColor="accent3" w:themeShade="80"/>
          <w:sz w:val="20"/>
          <w:szCs w:val="20"/>
        </w:rPr>
        <w:t>“</w:t>
      </w:r>
      <w:r w:rsidR="009E67E8" w:rsidRPr="0094589F">
        <w:rPr>
          <w:rFonts w:ascii="Segoe UI" w:hAnsi="Segoe UI" w:cs="Segoe UI"/>
          <w:color w:val="525252" w:themeColor="accent3" w:themeShade="80"/>
          <w:sz w:val="20"/>
          <w:szCs w:val="20"/>
        </w:rPr>
        <w:t>Principi di definizione del contenuto del report</w:t>
      </w:r>
    </w:p>
    <w:p w14:paraId="0DB6FC14" w14:textId="77777777" w:rsidR="009B1584" w:rsidRPr="0094589F" w:rsidRDefault="009B1584" w:rsidP="00D36126">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94589F">
        <w:rPr>
          <w:rFonts w:ascii="Segoe UI" w:hAnsi="Segoe UI" w:cs="Segoe UI"/>
          <w:bCs/>
          <w:color w:val="525252" w:themeColor="accent3" w:themeShade="80"/>
          <w:sz w:val="20"/>
          <w:szCs w:val="20"/>
        </w:rPr>
        <w:t>[...]</w:t>
      </w:r>
    </w:p>
    <w:p w14:paraId="0F3FAB62" w14:textId="4A84FA6C" w:rsidR="00A3284F" w:rsidRPr="0094589F" w:rsidRDefault="00A3284F" w:rsidP="00D36126">
      <w:pPr>
        <w:keepNext/>
        <w:keepLines/>
        <w:spacing w:before="120" w:after="120" w:line="240" w:lineRule="auto"/>
        <w:ind w:left="284" w:right="282"/>
        <w:jc w:val="both"/>
        <w:rPr>
          <w:rFonts w:ascii="Segoe UI" w:hAnsi="Segoe UI" w:cs="Segoe UI"/>
          <w:color w:val="525252" w:themeColor="accent3" w:themeShade="80"/>
          <w:sz w:val="20"/>
          <w:szCs w:val="20"/>
          <w:lang w:eastAsia="it-IT"/>
        </w:rPr>
      </w:pPr>
      <w:r w:rsidRPr="0094589F">
        <w:rPr>
          <w:rFonts w:ascii="Segoe UI" w:hAnsi="Segoe UI" w:cs="Segoe UI"/>
          <w:color w:val="525252" w:themeColor="accent3" w:themeShade="80"/>
          <w:sz w:val="20"/>
          <w:szCs w:val="20"/>
          <w:lang w:eastAsia="it-IT"/>
        </w:rPr>
        <w:t>Materia</w:t>
      </w:r>
      <w:r w:rsidR="009E67E8" w:rsidRPr="0094589F">
        <w:rPr>
          <w:rFonts w:ascii="Segoe UI" w:hAnsi="Segoe UI" w:cs="Segoe UI"/>
          <w:color w:val="525252" w:themeColor="accent3" w:themeShade="80"/>
          <w:sz w:val="20"/>
          <w:szCs w:val="20"/>
          <w:lang w:eastAsia="it-IT"/>
        </w:rPr>
        <w:t>l</w:t>
      </w:r>
      <w:r w:rsidRPr="0094589F">
        <w:rPr>
          <w:rFonts w:ascii="Segoe UI" w:hAnsi="Segoe UI" w:cs="Segoe UI"/>
          <w:color w:val="525252" w:themeColor="accent3" w:themeShade="80"/>
          <w:sz w:val="20"/>
          <w:szCs w:val="20"/>
          <w:lang w:eastAsia="it-IT"/>
        </w:rPr>
        <w:t>ità</w:t>
      </w:r>
    </w:p>
    <w:p w14:paraId="189E9590" w14:textId="37115BAC" w:rsidR="00A3284F" w:rsidRPr="0094589F" w:rsidRDefault="00A3284F" w:rsidP="00D36126">
      <w:pPr>
        <w:spacing w:before="120" w:after="120" w:line="240" w:lineRule="auto"/>
        <w:ind w:left="284" w:right="282"/>
        <w:jc w:val="both"/>
        <w:rPr>
          <w:rFonts w:ascii="Segoe UI" w:hAnsi="Segoe UI" w:cs="Segoe UI"/>
          <w:color w:val="525252" w:themeColor="accent3" w:themeShade="80"/>
          <w:sz w:val="20"/>
          <w:szCs w:val="20"/>
          <w:lang w:eastAsia="it-IT"/>
        </w:rPr>
      </w:pPr>
      <w:r w:rsidRPr="0094589F">
        <w:rPr>
          <w:rFonts w:ascii="Segoe UI" w:hAnsi="Segoe UI" w:cs="Segoe UI"/>
          <w:color w:val="525252" w:themeColor="accent3" w:themeShade="80"/>
          <w:sz w:val="20"/>
          <w:szCs w:val="20"/>
          <w:lang w:eastAsia="it-IT"/>
        </w:rPr>
        <w:t>Definizione: le informazioni contenute in un report devono riferirsi agli argomenti e agli indicatori che riflettono gli impatti significativi economici, ambientali e sociali, o che potrebbero influenzare in modo sostanzi</w:t>
      </w:r>
      <w:r w:rsidR="008216BF">
        <w:rPr>
          <w:rFonts w:ascii="Segoe UI" w:hAnsi="Segoe UI" w:cs="Segoe UI"/>
          <w:color w:val="525252" w:themeColor="accent3" w:themeShade="80"/>
          <w:sz w:val="20"/>
          <w:szCs w:val="20"/>
          <w:lang w:eastAsia="it-IT"/>
        </w:rPr>
        <w:t>a</w:t>
      </w:r>
      <w:r w:rsidRPr="0094589F">
        <w:rPr>
          <w:rFonts w:ascii="Segoe UI" w:hAnsi="Segoe UI" w:cs="Segoe UI"/>
          <w:color w:val="525252" w:themeColor="accent3" w:themeShade="80"/>
          <w:sz w:val="20"/>
          <w:szCs w:val="20"/>
          <w:lang w:eastAsia="it-IT"/>
        </w:rPr>
        <w:t>le le valutazioni e le decisioni degli stak</w:t>
      </w:r>
      <w:r w:rsidR="008216BF">
        <w:rPr>
          <w:rFonts w:ascii="Segoe UI" w:hAnsi="Segoe UI" w:cs="Segoe UI"/>
          <w:color w:val="525252" w:themeColor="accent3" w:themeShade="80"/>
          <w:sz w:val="20"/>
          <w:szCs w:val="20"/>
          <w:lang w:eastAsia="it-IT"/>
        </w:rPr>
        <w:t>e</w:t>
      </w:r>
      <w:r w:rsidRPr="0094589F">
        <w:rPr>
          <w:rFonts w:ascii="Segoe UI" w:hAnsi="Segoe UI" w:cs="Segoe UI"/>
          <w:color w:val="525252" w:themeColor="accent3" w:themeShade="80"/>
          <w:sz w:val="20"/>
          <w:szCs w:val="20"/>
          <w:lang w:eastAsia="it-IT"/>
        </w:rPr>
        <w:t>holder.</w:t>
      </w:r>
      <w:r w:rsidR="009E67E8" w:rsidRPr="0094589F">
        <w:rPr>
          <w:rFonts w:ascii="Segoe UI" w:hAnsi="Segoe UI" w:cs="Segoe UI"/>
          <w:color w:val="525252" w:themeColor="accent3" w:themeShade="80"/>
          <w:sz w:val="20"/>
          <w:szCs w:val="20"/>
          <w:lang w:eastAsia="it-IT"/>
        </w:rPr>
        <w:t>”</w:t>
      </w:r>
      <w:r w:rsidR="00323FD3" w:rsidRPr="0094589F">
        <w:rPr>
          <w:rFonts w:ascii="Segoe UI" w:hAnsi="Segoe UI" w:cs="Segoe UI"/>
          <w:color w:val="525252" w:themeColor="accent3" w:themeShade="80"/>
          <w:sz w:val="20"/>
          <w:szCs w:val="20"/>
          <w:lang w:eastAsia="it-IT"/>
        </w:rPr>
        <w:t>.</w:t>
      </w:r>
    </w:p>
    <w:p w14:paraId="5CF3491E" w14:textId="20CF6E88" w:rsidR="00F45517" w:rsidRPr="0062207D" w:rsidRDefault="00014BEB" w:rsidP="009B1584">
      <w:pPr>
        <w:spacing w:before="120" w:after="120" w:line="240" w:lineRule="auto"/>
        <w:jc w:val="both"/>
        <w:rPr>
          <w:rFonts w:ascii="Segoe UI" w:hAnsi="Segoe UI" w:cs="Segoe UI"/>
          <w:szCs w:val="20"/>
          <w:lang w:eastAsia="it-IT"/>
        </w:rPr>
      </w:pPr>
      <w:r w:rsidRPr="0062207D">
        <w:rPr>
          <w:rFonts w:ascii="Segoe UI" w:hAnsi="Segoe UI" w:cs="Segoe UI"/>
          <w:szCs w:val="20"/>
          <w:lang w:eastAsia="it-IT"/>
        </w:rPr>
        <w:t>Conclusione: per definire il principio di “</w:t>
      </w:r>
      <w:r w:rsidRPr="00711807">
        <w:rPr>
          <w:rFonts w:ascii="Segoe UI" w:hAnsi="Segoe UI" w:cs="Segoe UI"/>
          <w:b/>
          <w:i/>
          <w:szCs w:val="20"/>
          <w:lang w:eastAsia="it-IT"/>
        </w:rPr>
        <w:t>materiality</w:t>
      </w:r>
      <w:r w:rsidRPr="0062207D">
        <w:rPr>
          <w:rFonts w:ascii="Segoe UI" w:hAnsi="Segoe UI" w:cs="Segoe UI"/>
          <w:szCs w:val="20"/>
          <w:lang w:eastAsia="it-IT"/>
        </w:rPr>
        <w:t xml:space="preserve">” </w:t>
      </w:r>
      <w:r w:rsidR="00323FD3">
        <w:rPr>
          <w:rFonts w:ascii="Segoe UI" w:hAnsi="Segoe UI" w:cs="Segoe UI"/>
          <w:szCs w:val="20"/>
          <w:lang w:eastAsia="it-IT"/>
        </w:rPr>
        <w:t>(qui, “materialità”)</w:t>
      </w:r>
      <w:r w:rsidR="008216BF">
        <w:rPr>
          <w:rFonts w:ascii="Segoe UI" w:hAnsi="Segoe UI" w:cs="Segoe UI"/>
          <w:szCs w:val="20"/>
          <w:lang w:eastAsia="it-IT"/>
        </w:rPr>
        <w:t xml:space="preserve"> </w:t>
      </w:r>
      <w:r w:rsidRPr="0062207D">
        <w:rPr>
          <w:rFonts w:ascii="Segoe UI" w:hAnsi="Segoe UI" w:cs="Segoe UI"/>
          <w:szCs w:val="20"/>
          <w:lang w:eastAsia="it-IT"/>
        </w:rPr>
        <w:t>si è ricorso in questo caso al concetto di “</w:t>
      </w:r>
      <w:r w:rsidRPr="00711807">
        <w:rPr>
          <w:rFonts w:ascii="Segoe UI" w:hAnsi="Segoe UI" w:cs="Segoe UI"/>
          <w:b/>
          <w:i/>
          <w:szCs w:val="20"/>
          <w:lang w:eastAsia="it-IT"/>
        </w:rPr>
        <w:t>significant impact</w:t>
      </w:r>
      <w:r w:rsidRPr="0062207D">
        <w:rPr>
          <w:rFonts w:ascii="Segoe UI" w:hAnsi="Segoe UI" w:cs="Segoe UI"/>
          <w:szCs w:val="20"/>
          <w:lang w:eastAsia="it-IT"/>
        </w:rPr>
        <w:t>”; il primo dei due termini della locuzione è stato tradotto col termine “sign</w:t>
      </w:r>
      <w:r w:rsidR="008216BF">
        <w:rPr>
          <w:rFonts w:ascii="Segoe UI" w:hAnsi="Segoe UI" w:cs="Segoe UI"/>
          <w:szCs w:val="20"/>
          <w:lang w:eastAsia="it-IT"/>
        </w:rPr>
        <w:t>i</w:t>
      </w:r>
      <w:r w:rsidRPr="0062207D">
        <w:rPr>
          <w:rFonts w:ascii="Segoe UI" w:hAnsi="Segoe UI" w:cs="Segoe UI"/>
          <w:szCs w:val="20"/>
          <w:lang w:eastAsia="it-IT"/>
        </w:rPr>
        <w:t>ficativo”. Chiaramente, il traduttore non ha compreso appieno (o comunque non ha utilizzato) l’approccio concettuale e terminologico degli estensori del documento in lingua inglese, che hanno tenuto distinti, con una certa coerenza e continuità, i termini “</w:t>
      </w:r>
      <w:r w:rsidRPr="0062207D">
        <w:rPr>
          <w:rFonts w:ascii="Segoe UI" w:hAnsi="Segoe UI" w:cs="Segoe UI"/>
          <w:i/>
          <w:szCs w:val="20"/>
          <w:lang w:eastAsia="it-IT"/>
        </w:rPr>
        <w:t>relevance</w:t>
      </w:r>
      <w:r w:rsidRPr="0062207D">
        <w:rPr>
          <w:rFonts w:ascii="Segoe UI" w:hAnsi="Segoe UI" w:cs="Segoe UI"/>
          <w:szCs w:val="20"/>
          <w:lang w:eastAsia="it-IT"/>
        </w:rPr>
        <w:t>” e “</w:t>
      </w:r>
      <w:r w:rsidRPr="0062207D">
        <w:rPr>
          <w:rFonts w:ascii="Segoe UI" w:hAnsi="Segoe UI" w:cs="Segoe UI"/>
          <w:i/>
          <w:szCs w:val="20"/>
          <w:lang w:eastAsia="it-IT"/>
        </w:rPr>
        <w:t>materiality</w:t>
      </w:r>
      <w:r w:rsidRPr="0062207D">
        <w:rPr>
          <w:rFonts w:ascii="Segoe UI" w:hAnsi="Segoe UI" w:cs="Segoe UI"/>
          <w:szCs w:val="20"/>
          <w:lang w:eastAsia="it-IT"/>
        </w:rPr>
        <w:t>", motivo per cui si ritiene abbiano anche voluto attribuire un significato determinato a</w:t>
      </w:r>
      <w:r w:rsidR="00F45517" w:rsidRPr="0062207D">
        <w:rPr>
          <w:rFonts w:ascii="Segoe UI" w:hAnsi="Segoe UI" w:cs="Segoe UI"/>
          <w:szCs w:val="20"/>
          <w:lang w:eastAsia="it-IT"/>
        </w:rPr>
        <w:t>l</w:t>
      </w:r>
      <w:r w:rsidR="00EE7944">
        <w:rPr>
          <w:rFonts w:ascii="Segoe UI" w:hAnsi="Segoe UI" w:cs="Segoe UI"/>
          <w:szCs w:val="20"/>
          <w:lang w:eastAsia="it-IT"/>
        </w:rPr>
        <w:t xml:space="preserve"> </w:t>
      </w:r>
      <w:r w:rsidRPr="0062207D">
        <w:rPr>
          <w:rFonts w:ascii="Segoe UI" w:hAnsi="Segoe UI" w:cs="Segoe UI"/>
          <w:szCs w:val="20"/>
          <w:lang w:eastAsia="it-IT"/>
        </w:rPr>
        <w:t>termine “</w:t>
      </w:r>
      <w:r w:rsidRPr="0062207D">
        <w:rPr>
          <w:rFonts w:ascii="Segoe UI" w:hAnsi="Segoe UI" w:cs="Segoe UI"/>
          <w:i/>
          <w:szCs w:val="20"/>
          <w:lang w:eastAsia="it-IT"/>
        </w:rPr>
        <w:t>significant</w:t>
      </w:r>
      <w:r w:rsidRPr="0062207D">
        <w:rPr>
          <w:rFonts w:ascii="Segoe UI" w:hAnsi="Segoe UI" w:cs="Segoe UI"/>
          <w:szCs w:val="20"/>
          <w:lang w:eastAsia="it-IT"/>
        </w:rPr>
        <w:t>”</w:t>
      </w:r>
      <w:r w:rsidR="00F45517" w:rsidRPr="0062207D">
        <w:rPr>
          <w:rFonts w:ascii="Segoe UI" w:hAnsi="Segoe UI" w:cs="Segoe UI"/>
          <w:szCs w:val="20"/>
          <w:lang w:eastAsia="it-IT"/>
        </w:rPr>
        <w:t>: viceversa, come si è visto</w:t>
      </w:r>
      <w:r w:rsidR="008216BF">
        <w:rPr>
          <w:rFonts w:ascii="Segoe UI" w:hAnsi="Segoe UI" w:cs="Segoe UI"/>
          <w:szCs w:val="20"/>
          <w:lang w:eastAsia="it-IT"/>
        </w:rPr>
        <w:t xml:space="preserve"> in precedenza</w:t>
      </w:r>
      <w:r w:rsidR="00F45517" w:rsidRPr="0062207D">
        <w:rPr>
          <w:rFonts w:ascii="Segoe UI" w:hAnsi="Segoe UI" w:cs="Segoe UI"/>
          <w:szCs w:val="20"/>
          <w:lang w:eastAsia="it-IT"/>
        </w:rPr>
        <w:t xml:space="preserve">, il traduttore italiano ha utilizzato il termine </w:t>
      </w:r>
      <w:r w:rsidR="008216BF">
        <w:rPr>
          <w:rFonts w:ascii="Segoe UI" w:hAnsi="Segoe UI" w:cs="Segoe UI"/>
          <w:szCs w:val="20"/>
          <w:lang w:eastAsia="it-IT"/>
        </w:rPr>
        <w:t>“</w:t>
      </w:r>
      <w:r w:rsidR="00F45517" w:rsidRPr="0062207D">
        <w:rPr>
          <w:rFonts w:ascii="Segoe UI" w:hAnsi="Segoe UI" w:cs="Segoe UI"/>
          <w:szCs w:val="20"/>
          <w:lang w:eastAsia="it-IT"/>
        </w:rPr>
        <w:t>sign</w:t>
      </w:r>
      <w:r w:rsidR="008216BF">
        <w:rPr>
          <w:rFonts w:ascii="Segoe UI" w:hAnsi="Segoe UI" w:cs="Segoe UI"/>
          <w:szCs w:val="20"/>
          <w:lang w:eastAsia="it-IT"/>
        </w:rPr>
        <w:t>i</w:t>
      </w:r>
      <w:r w:rsidR="00F45517" w:rsidRPr="0062207D">
        <w:rPr>
          <w:rFonts w:ascii="Segoe UI" w:hAnsi="Segoe UI" w:cs="Segoe UI"/>
          <w:szCs w:val="20"/>
          <w:lang w:eastAsia="it-IT"/>
        </w:rPr>
        <w:t>ficativo</w:t>
      </w:r>
      <w:r w:rsidR="008216BF">
        <w:rPr>
          <w:rFonts w:ascii="Segoe UI" w:hAnsi="Segoe UI" w:cs="Segoe UI"/>
          <w:szCs w:val="20"/>
          <w:lang w:eastAsia="it-IT"/>
        </w:rPr>
        <w:t>”</w:t>
      </w:r>
      <w:r w:rsidR="00F45517" w:rsidRPr="0062207D">
        <w:rPr>
          <w:rFonts w:ascii="Segoe UI" w:hAnsi="Segoe UI" w:cs="Segoe UI"/>
          <w:szCs w:val="20"/>
          <w:lang w:eastAsia="it-IT"/>
        </w:rPr>
        <w:t xml:space="preserve"> per identificare tanto il termine “</w:t>
      </w:r>
      <w:r w:rsidR="00F45517" w:rsidRPr="0062207D">
        <w:rPr>
          <w:rFonts w:ascii="Segoe UI" w:hAnsi="Segoe UI" w:cs="Segoe UI"/>
          <w:i/>
          <w:szCs w:val="20"/>
          <w:lang w:eastAsia="it-IT"/>
        </w:rPr>
        <w:t>relevant</w:t>
      </w:r>
      <w:r w:rsidR="00F45517" w:rsidRPr="0062207D">
        <w:rPr>
          <w:rFonts w:ascii="Segoe UI" w:hAnsi="Segoe UI" w:cs="Segoe UI"/>
          <w:szCs w:val="20"/>
          <w:lang w:eastAsia="it-IT"/>
        </w:rPr>
        <w:t>” quanto il termine “</w:t>
      </w:r>
      <w:r w:rsidR="00F45517" w:rsidRPr="0062207D">
        <w:rPr>
          <w:rFonts w:ascii="Segoe UI" w:hAnsi="Segoe UI" w:cs="Segoe UI"/>
          <w:i/>
          <w:szCs w:val="20"/>
          <w:lang w:eastAsia="it-IT"/>
        </w:rPr>
        <w:t>significant</w:t>
      </w:r>
      <w:r w:rsidR="00F45517" w:rsidRPr="0062207D">
        <w:rPr>
          <w:rFonts w:ascii="Segoe UI" w:hAnsi="Segoe UI" w:cs="Segoe UI"/>
          <w:szCs w:val="20"/>
          <w:lang w:eastAsia="it-IT"/>
        </w:rPr>
        <w:t>”.</w:t>
      </w:r>
    </w:p>
    <w:p w14:paraId="08CC846E" w14:textId="23D22BF0" w:rsidR="002B1F46" w:rsidRPr="00A42E62" w:rsidRDefault="00A42E62" w:rsidP="00A42E62">
      <w:pPr>
        <w:keepNext/>
        <w:keepLines/>
        <w:tabs>
          <w:tab w:val="left" w:pos="567"/>
        </w:tabs>
        <w:spacing w:before="1080" w:after="720" w:line="240" w:lineRule="auto"/>
        <w:ind w:left="567" w:hanging="567"/>
        <w:outlineLvl w:val="1"/>
        <w:rPr>
          <w:rFonts w:ascii="Segoe UI" w:eastAsiaTheme="minorHAnsi" w:hAnsi="Segoe UI" w:cs="Segoe UI"/>
          <w:bCs/>
          <w:sz w:val="28"/>
          <w:szCs w:val="28"/>
          <w:lang w:val="en-US"/>
        </w:rPr>
      </w:pPr>
      <w:bookmarkStart w:id="16" w:name="_Toc507973949"/>
      <w:r w:rsidRPr="00A42E62">
        <w:rPr>
          <w:rFonts w:ascii="Segoe UI" w:eastAsiaTheme="minorHAnsi" w:hAnsi="Segoe UI" w:cs="Segoe UI"/>
          <w:bCs/>
          <w:sz w:val="28"/>
          <w:szCs w:val="28"/>
          <w:lang w:val="en-US"/>
        </w:rPr>
        <w:t>3</w:t>
      </w:r>
      <w:r w:rsidR="002B1F46" w:rsidRPr="00A42E62">
        <w:rPr>
          <w:rFonts w:ascii="Segoe UI" w:eastAsiaTheme="minorHAnsi" w:hAnsi="Segoe UI" w:cs="Segoe UI"/>
          <w:bCs/>
          <w:sz w:val="28"/>
          <w:szCs w:val="28"/>
          <w:lang w:val="en-US"/>
        </w:rPr>
        <w:t>.2</w:t>
      </w:r>
      <w:r w:rsidR="002B1F46" w:rsidRPr="00A42E62">
        <w:rPr>
          <w:rFonts w:ascii="Segoe UI" w:eastAsiaTheme="minorHAnsi" w:hAnsi="Segoe UI" w:cs="Segoe UI"/>
          <w:bCs/>
          <w:sz w:val="28"/>
          <w:szCs w:val="28"/>
          <w:lang w:val="en-US"/>
        </w:rPr>
        <w:tab/>
        <w:t>I</w:t>
      </w:r>
      <w:r w:rsidR="00D63331" w:rsidRPr="00A42E62">
        <w:rPr>
          <w:rFonts w:ascii="Segoe UI" w:eastAsiaTheme="minorHAnsi" w:hAnsi="Segoe UI" w:cs="Segoe UI"/>
          <w:bCs/>
          <w:sz w:val="28"/>
          <w:szCs w:val="28"/>
          <w:lang w:val="en-US"/>
        </w:rPr>
        <w:t>nternational Integrated Reporting (IR) Framework dell’</w:t>
      </w:r>
      <w:r w:rsidR="002B1F46" w:rsidRPr="00A42E62">
        <w:rPr>
          <w:rFonts w:ascii="Segoe UI" w:eastAsiaTheme="minorHAnsi" w:hAnsi="Segoe UI" w:cs="Segoe UI"/>
          <w:bCs/>
          <w:sz w:val="28"/>
          <w:szCs w:val="28"/>
          <w:lang w:val="en-US"/>
        </w:rPr>
        <w:t xml:space="preserve">International Integrated Reporting </w:t>
      </w:r>
      <w:r w:rsidR="00D63331" w:rsidRPr="00A42E62">
        <w:rPr>
          <w:rFonts w:ascii="Segoe UI" w:eastAsiaTheme="minorHAnsi" w:hAnsi="Segoe UI" w:cs="Segoe UI"/>
          <w:bCs/>
          <w:sz w:val="28"/>
          <w:szCs w:val="28"/>
          <w:lang w:val="en-US"/>
        </w:rPr>
        <w:t>Council (IIRC)</w:t>
      </w:r>
      <w:bookmarkEnd w:id="16"/>
    </w:p>
    <w:p w14:paraId="16888F93" w14:textId="41DD8094" w:rsidR="00CA62C0" w:rsidRPr="002E6836" w:rsidRDefault="00CA62C0" w:rsidP="002E6836">
      <w:pPr>
        <w:spacing w:before="120" w:after="120" w:line="240" w:lineRule="auto"/>
        <w:jc w:val="both"/>
        <w:rPr>
          <w:rFonts w:ascii="Segoe UI" w:hAnsi="Segoe UI" w:cs="Segoe UI"/>
          <w:lang w:eastAsia="it-IT"/>
        </w:rPr>
      </w:pPr>
      <w:r w:rsidRPr="002E6836">
        <w:rPr>
          <w:rFonts w:ascii="Segoe UI" w:hAnsi="Segoe UI" w:cs="Segoe UI"/>
          <w:lang w:eastAsia="it-IT"/>
        </w:rPr>
        <w:t xml:space="preserve">Nell’International Integrated Reporting (IR) Framework i termini </w:t>
      </w:r>
      <w:r w:rsidR="00A36AE0" w:rsidRPr="002E6836">
        <w:rPr>
          <w:rFonts w:ascii="Segoe UI" w:hAnsi="Segoe UI" w:cs="Segoe UI"/>
          <w:lang w:eastAsia="it-IT"/>
        </w:rPr>
        <w:t>“</w:t>
      </w:r>
      <w:r w:rsidRPr="002E6836">
        <w:rPr>
          <w:rFonts w:ascii="Segoe UI" w:hAnsi="Segoe UI" w:cs="Segoe UI"/>
          <w:i/>
          <w:lang w:eastAsia="it-IT"/>
        </w:rPr>
        <w:t>significant</w:t>
      </w:r>
      <w:r w:rsidR="00A36AE0" w:rsidRPr="002E6836">
        <w:rPr>
          <w:rFonts w:ascii="Segoe UI" w:hAnsi="Segoe UI" w:cs="Segoe UI"/>
          <w:lang w:eastAsia="it-IT"/>
        </w:rPr>
        <w:t>”</w:t>
      </w:r>
      <w:r w:rsidRPr="002E6836">
        <w:rPr>
          <w:rFonts w:ascii="Segoe UI" w:hAnsi="Segoe UI" w:cs="Segoe UI"/>
          <w:lang w:eastAsia="it-IT"/>
        </w:rPr>
        <w:t xml:space="preserve">, </w:t>
      </w:r>
      <w:r w:rsidR="00A36AE0" w:rsidRPr="002E6836">
        <w:rPr>
          <w:rFonts w:ascii="Segoe UI" w:hAnsi="Segoe UI" w:cs="Segoe UI"/>
          <w:lang w:eastAsia="it-IT"/>
        </w:rPr>
        <w:t>“</w:t>
      </w:r>
      <w:r w:rsidRPr="002E6836">
        <w:rPr>
          <w:rFonts w:ascii="Segoe UI" w:hAnsi="Segoe UI" w:cs="Segoe UI"/>
          <w:i/>
          <w:lang w:eastAsia="it-IT"/>
        </w:rPr>
        <w:t>relevant</w:t>
      </w:r>
      <w:r w:rsidR="00A36AE0" w:rsidRPr="002E6836">
        <w:rPr>
          <w:rFonts w:ascii="Segoe UI" w:hAnsi="Segoe UI" w:cs="Segoe UI"/>
          <w:lang w:eastAsia="it-IT"/>
        </w:rPr>
        <w:t>”</w:t>
      </w:r>
      <w:r w:rsidRPr="002E6836">
        <w:rPr>
          <w:rFonts w:ascii="Segoe UI" w:hAnsi="Segoe UI" w:cs="Segoe UI"/>
          <w:lang w:eastAsia="it-IT"/>
        </w:rPr>
        <w:t xml:space="preserve"> e </w:t>
      </w:r>
      <w:r w:rsidR="00A36AE0" w:rsidRPr="002E6836">
        <w:rPr>
          <w:rFonts w:ascii="Segoe UI" w:hAnsi="Segoe UI" w:cs="Segoe UI"/>
          <w:lang w:eastAsia="it-IT"/>
        </w:rPr>
        <w:t>“</w:t>
      </w:r>
      <w:r w:rsidRPr="002E6836">
        <w:rPr>
          <w:rFonts w:ascii="Segoe UI" w:hAnsi="Segoe UI" w:cs="Segoe UI"/>
          <w:i/>
          <w:lang w:eastAsia="it-IT"/>
        </w:rPr>
        <w:t>material</w:t>
      </w:r>
      <w:r w:rsidR="00A36AE0" w:rsidRPr="002E6836">
        <w:rPr>
          <w:rFonts w:ascii="Segoe UI" w:hAnsi="Segoe UI" w:cs="Segoe UI"/>
          <w:lang w:eastAsia="it-IT"/>
        </w:rPr>
        <w:t>” (e i relativi sostantivi)</w:t>
      </w:r>
      <w:r w:rsidRPr="002E6836">
        <w:rPr>
          <w:rFonts w:ascii="Segoe UI" w:hAnsi="Segoe UI" w:cs="Segoe UI"/>
          <w:lang w:eastAsia="it-IT"/>
        </w:rPr>
        <w:t xml:space="preserve"> sono adottati continuamente.</w:t>
      </w:r>
    </w:p>
    <w:p w14:paraId="22062D76" w14:textId="2E712EB7" w:rsidR="00CA62C0" w:rsidRPr="002E6836" w:rsidRDefault="00CA62C0" w:rsidP="002E6836">
      <w:pPr>
        <w:spacing w:before="120" w:after="120" w:line="240" w:lineRule="auto"/>
        <w:jc w:val="both"/>
        <w:rPr>
          <w:rFonts w:ascii="Segoe UI" w:hAnsi="Segoe UI" w:cs="Segoe UI"/>
          <w:lang w:eastAsia="it-IT"/>
        </w:rPr>
      </w:pPr>
      <w:r w:rsidRPr="002E6836">
        <w:rPr>
          <w:rFonts w:ascii="Segoe UI" w:hAnsi="Segoe UI" w:cs="Segoe UI"/>
          <w:lang w:eastAsia="it-IT"/>
        </w:rPr>
        <w:t xml:space="preserve">In questo caso, tuttavia, </w:t>
      </w:r>
      <w:r w:rsidR="00A36AE0" w:rsidRPr="002E6836">
        <w:rPr>
          <w:rFonts w:ascii="Segoe UI" w:hAnsi="Segoe UI" w:cs="Segoe UI"/>
          <w:lang w:eastAsia="it-IT"/>
        </w:rPr>
        <w:t>il solo termine cui non sembra potersi attribuire un significato strettamente tecnico è il termine “</w:t>
      </w:r>
      <w:r w:rsidR="00A36AE0" w:rsidRPr="002E6836">
        <w:rPr>
          <w:rFonts w:ascii="Segoe UI" w:hAnsi="Segoe UI" w:cs="Segoe UI"/>
          <w:i/>
          <w:lang w:eastAsia="it-IT"/>
        </w:rPr>
        <w:t>significant</w:t>
      </w:r>
      <w:r w:rsidR="00A36AE0" w:rsidRPr="002E6836">
        <w:rPr>
          <w:rFonts w:ascii="Segoe UI" w:hAnsi="Segoe UI" w:cs="Segoe UI"/>
          <w:lang w:eastAsia="it-IT"/>
        </w:rPr>
        <w:t xml:space="preserve">” (tradotto in italiano con </w:t>
      </w:r>
      <w:r w:rsidR="009052A4" w:rsidRPr="002E6836">
        <w:rPr>
          <w:rFonts w:ascii="Segoe UI" w:hAnsi="Segoe UI" w:cs="Segoe UI"/>
          <w:lang w:eastAsia="it-IT"/>
        </w:rPr>
        <w:t xml:space="preserve">una molteplicità di soluzioni: </w:t>
      </w:r>
      <w:r w:rsidR="00A36AE0" w:rsidRPr="002E6836">
        <w:rPr>
          <w:rFonts w:ascii="Segoe UI" w:hAnsi="Segoe UI" w:cs="Segoe UI"/>
          <w:lang w:eastAsia="it-IT"/>
        </w:rPr>
        <w:t xml:space="preserve">significativo, </w:t>
      </w:r>
      <w:r w:rsidR="009052A4" w:rsidRPr="002E6836">
        <w:rPr>
          <w:rFonts w:ascii="Segoe UI" w:hAnsi="Segoe UI" w:cs="Segoe UI"/>
          <w:lang w:eastAsia="it-IT"/>
        </w:rPr>
        <w:t xml:space="preserve">importante, principale, notevole e, addirittura, materiale), </w:t>
      </w:r>
      <w:r w:rsidR="00A36AE0" w:rsidRPr="002E6836">
        <w:rPr>
          <w:rFonts w:ascii="Segoe UI" w:hAnsi="Segoe UI" w:cs="Segoe UI"/>
          <w:lang w:eastAsia="it-IT"/>
        </w:rPr>
        <w:t xml:space="preserve">che sembra </w:t>
      </w:r>
      <w:r w:rsidR="009052A4" w:rsidRPr="002E6836">
        <w:rPr>
          <w:rFonts w:ascii="Segoe UI" w:hAnsi="Segoe UI" w:cs="Segoe UI"/>
          <w:lang w:eastAsia="it-IT"/>
        </w:rPr>
        <w:t>ragionevolmente e intuitivamente rimandare</w:t>
      </w:r>
      <w:r w:rsidR="004F74E6" w:rsidRPr="002E6836">
        <w:rPr>
          <w:rFonts w:ascii="Segoe UI" w:hAnsi="Segoe UI" w:cs="Segoe UI"/>
          <w:lang w:eastAsia="it-IT"/>
        </w:rPr>
        <w:t>,</w:t>
      </w:r>
      <w:r w:rsidR="009052A4" w:rsidRPr="002E6836">
        <w:rPr>
          <w:rFonts w:ascii="Segoe UI" w:hAnsi="Segoe UI" w:cs="Segoe UI"/>
          <w:lang w:eastAsia="it-IT"/>
        </w:rPr>
        <w:t xml:space="preserve"> di volta in volta</w:t>
      </w:r>
      <w:r w:rsidR="004F74E6" w:rsidRPr="002E6836">
        <w:rPr>
          <w:rFonts w:ascii="Segoe UI" w:hAnsi="Segoe UI" w:cs="Segoe UI"/>
          <w:lang w:eastAsia="it-IT"/>
        </w:rPr>
        <w:t>,</w:t>
      </w:r>
      <w:r w:rsidR="009052A4" w:rsidRPr="002E6836">
        <w:rPr>
          <w:rFonts w:ascii="Segoe UI" w:hAnsi="Segoe UI" w:cs="Segoe UI"/>
          <w:lang w:eastAsia="it-IT"/>
        </w:rPr>
        <w:t xml:space="preserve"> a </w:t>
      </w:r>
      <w:r w:rsidR="00A36AE0" w:rsidRPr="002E6836">
        <w:rPr>
          <w:rFonts w:ascii="Segoe UI" w:hAnsi="Segoe UI" w:cs="Segoe UI"/>
          <w:lang w:eastAsia="it-IT"/>
        </w:rPr>
        <w:t>una “dimensione”</w:t>
      </w:r>
      <w:r w:rsidR="009052A4" w:rsidRPr="002E6836">
        <w:rPr>
          <w:rFonts w:ascii="Segoe UI" w:hAnsi="Segoe UI" w:cs="Segoe UI"/>
          <w:lang w:eastAsia="it-IT"/>
        </w:rPr>
        <w:t xml:space="preserve"> </w:t>
      </w:r>
      <w:r w:rsidR="004F74E6" w:rsidRPr="002E6836">
        <w:rPr>
          <w:rFonts w:ascii="Segoe UI" w:hAnsi="Segoe UI" w:cs="Segoe UI"/>
          <w:lang w:eastAsia="it-IT"/>
        </w:rPr>
        <w:t xml:space="preserve">vuoi </w:t>
      </w:r>
      <w:r w:rsidR="009052A4" w:rsidRPr="002E6836">
        <w:rPr>
          <w:rFonts w:ascii="Segoe UI" w:hAnsi="Segoe UI" w:cs="Segoe UI"/>
          <w:lang w:eastAsia="it-IT"/>
        </w:rPr>
        <w:t xml:space="preserve">quantitativa </w:t>
      </w:r>
      <w:r w:rsidR="004F74E6" w:rsidRPr="002E6836">
        <w:rPr>
          <w:rFonts w:ascii="Segoe UI" w:hAnsi="Segoe UI" w:cs="Segoe UI"/>
          <w:lang w:eastAsia="it-IT"/>
        </w:rPr>
        <w:t xml:space="preserve">vuoi </w:t>
      </w:r>
      <w:r w:rsidR="009052A4" w:rsidRPr="002E6836">
        <w:rPr>
          <w:rFonts w:ascii="Segoe UI" w:hAnsi="Segoe UI" w:cs="Segoe UI"/>
          <w:lang w:eastAsia="it-IT"/>
        </w:rPr>
        <w:t>qualitativa relativamente alla natura, alle conseguenze o agli impatti di ciò cui è riferito.</w:t>
      </w:r>
    </w:p>
    <w:p w14:paraId="13827319" w14:textId="22A6915D" w:rsidR="00A36AE0" w:rsidRPr="002E6836" w:rsidRDefault="00A36AE0" w:rsidP="002E6836">
      <w:pPr>
        <w:spacing w:before="120" w:after="120" w:line="240" w:lineRule="auto"/>
        <w:jc w:val="both"/>
        <w:rPr>
          <w:rFonts w:ascii="Segoe UI" w:hAnsi="Segoe UI" w:cs="Segoe UI"/>
          <w:lang w:eastAsia="it-IT"/>
        </w:rPr>
      </w:pPr>
      <w:r w:rsidRPr="002E6836">
        <w:rPr>
          <w:rFonts w:ascii="Segoe UI" w:hAnsi="Segoe UI" w:cs="Segoe UI"/>
          <w:lang w:eastAsia="it-IT"/>
        </w:rPr>
        <w:t>I termini “</w:t>
      </w:r>
      <w:r w:rsidRPr="002E6836">
        <w:rPr>
          <w:rFonts w:ascii="Segoe UI" w:hAnsi="Segoe UI" w:cs="Segoe UI"/>
          <w:i/>
          <w:lang w:eastAsia="it-IT"/>
        </w:rPr>
        <w:t>relevant</w:t>
      </w:r>
      <w:r w:rsidRPr="002E6836">
        <w:rPr>
          <w:rFonts w:ascii="Segoe UI" w:hAnsi="Segoe UI" w:cs="Segoe UI"/>
          <w:lang w:eastAsia="it-IT"/>
        </w:rPr>
        <w:t>”</w:t>
      </w:r>
      <w:r w:rsidR="0070533C">
        <w:rPr>
          <w:rFonts w:ascii="Segoe UI" w:hAnsi="Segoe UI" w:cs="Segoe UI"/>
          <w:lang w:eastAsia="it-IT"/>
        </w:rPr>
        <w:t xml:space="preserve"> e</w:t>
      </w:r>
      <w:r w:rsidRPr="002E6836">
        <w:rPr>
          <w:rFonts w:ascii="Segoe UI" w:hAnsi="Segoe UI" w:cs="Segoe UI"/>
          <w:lang w:eastAsia="it-IT"/>
        </w:rPr>
        <w:t xml:space="preserve"> </w:t>
      </w:r>
      <w:r w:rsidR="0070533C" w:rsidRPr="002E6836">
        <w:rPr>
          <w:rFonts w:ascii="Segoe UI" w:hAnsi="Segoe UI" w:cs="Segoe UI"/>
          <w:lang w:eastAsia="it-IT"/>
        </w:rPr>
        <w:t>“</w:t>
      </w:r>
      <w:r w:rsidR="0070533C" w:rsidRPr="002E6836">
        <w:rPr>
          <w:rFonts w:ascii="Segoe UI" w:hAnsi="Segoe UI" w:cs="Segoe UI"/>
          <w:i/>
          <w:lang w:eastAsia="it-IT"/>
        </w:rPr>
        <w:t>material</w:t>
      </w:r>
      <w:r w:rsidR="0070533C" w:rsidRPr="002E6836">
        <w:rPr>
          <w:rFonts w:ascii="Segoe UI" w:hAnsi="Segoe UI" w:cs="Segoe UI"/>
          <w:lang w:eastAsia="it-IT"/>
        </w:rPr>
        <w:t xml:space="preserve">” </w:t>
      </w:r>
      <w:r w:rsidRPr="002E6836">
        <w:rPr>
          <w:rFonts w:ascii="Segoe UI" w:hAnsi="Segoe UI" w:cs="Segoe UI"/>
          <w:lang w:eastAsia="it-IT"/>
        </w:rPr>
        <w:t xml:space="preserve">sono invece tradotti, rispettivamente, con </w:t>
      </w:r>
      <w:r w:rsidR="0070533C" w:rsidRPr="002E6836">
        <w:rPr>
          <w:rFonts w:ascii="Segoe UI" w:hAnsi="Segoe UI" w:cs="Segoe UI"/>
          <w:lang w:eastAsia="it-IT"/>
        </w:rPr>
        <w:t>“rilevante”</w:t>
      </w:r>
      <w:r w:rsidR="0070533C">
        <w:rPr>
          <w:rFonts w:ascii="Segoe UI" w:hAnsi="Segoe UI" w:cs="Segoe UI"/>
          <w:lang w:eastAsia="it-IT"/>
        </w:rPr>
        <w:t xml:space="preserve"> e</w:t>
      </w:r>
      <w:r w:rsidR="0070533C" w:rsidRPr="002E6836">
        <w:rPr>
          <w:rFonts w:ascii="Segoe UI" w:hAnsi="Segoe UI" w:cs="Segoe UI"/>
          <w:lang w:eastAsia="it-IT"/>
        </w:rPr>
        <w:t xml:space="preserve"> </w:t>
      </w:r>
      <w:r w:rsidRPr="002E6836">
        <w:rPr>
          <w:rFonts w:ascii="Segoe UI" w:hAnsi="Segoe UI" w:cs="Segoe UI"/>
          <w:lang w:eastAsia="it-IT"/>
        </w:rPr>
        <w:t>“materiale”</w:t>
      </w:r>
      <w:r w:rsidR="00786FBF" w:rsidRPr="002E6836">
        <w:rPr>
          <w:rFonts w:ascii="Segoe UI" w:hAnsi="Segoe UI" w:cs="Segoe UI"/>
          <w:lang w:eastAsia="it-IT"/>
        </w:rPr>
        <w:t>; si noti che in questo senso l’IR Framework si distingue dall’approccio adottato nella traduzione dei medesimi concetti nei provvedimenti normativi (in cui “</w:t>
      </w:r>
      <w:r w:rsidR="00786FBF" w:rsidRPr="002E6836">
        <w:rPr>
          <w:rFonts w:ascii="Segoe UI" w:hAnsi="Segoe UI" w:cs="Segoe UI"/>
          <w:i/>
          <w:lang w:eastAsia="it-IT"/>
        </w:rPr>
        <w:t>material</w:t>
      </w:r>
      <w:r w:rsidR="00786FBF" w:rsidRPr="002E6836">
        <w:rPr>
          <w:rFonts w:ascii="Segoe UI" w:hAnsi="Segoe UI" w:cs="Segoe UI"/>
          <w:lang w:eastAsia="it-IT"/>
        </w:rPr>
        <w:t xml:space="preserve">” appare </w:t>
      </w:r>
      <w:r w:rsidR="005E7D6A" w:rsidRPr="002E6836">
        <w:rPr>
          <w:rFonts w:ascii="Segoe UI" w:hAnsi="Segoe UI" w:cs="Segoe UI"/>
          <w:lang w:eastAsia="it-IT"/>
        </w:rPr>
        <w:t xml:space="preserve">soltanto </w:t>
      </w:r>
      <w:r w:rsidR="00786FBF" w:rsidRPr="002E6836">
        <w:rPr>
          <w:rFonts w:ascii="Segoe UI" w:hAnsi="Segoe UI" w:cs="Segoe UI"/>
          <w:lang w:eastAsia="it-IT"/>
        </w:rPr>
        <w:t>nella direttiva di rendicontazione finanziaria 2013/34/UE,</w:t>
      </w:r>
      <w:r w:rsidR="00323FD3">
        <w:rPr>
          <w:rFonts w:ascii="Segoe UI" w:hAnsi="Segoe UI" w:cs="Segoe UI"/>
          <w:lang w:eastAsia="it-IT"/>
        </w:rPr>
        <w:t xml:space="preserve"> con riguardo allo “stato dell’informazione”,</w:t>
      </w:r>
      <w:r w:rsidR="00786FBF" w:rsidRPr="002E6836">
        <w:rPr>
          <w:rFonts w:ascii="Segoe UI" w:hAnsi="Segoe UI" w:cs="Segoe UI"/>
          <w:lang w:eastAsia="it-IT"/>
        </w:rPr>
        <w:t xml:space="preserve"> in cui</w:t>
      </w:r>
      <w:r w:rsidR="00BD473D">
        <w:rPr>
          <w:rFonts w:ascii="Segoe UI" w:hAnsi="Segoe UI" w:cs="Segoe UI"/>
          <w:lang w:eastAsia="it-IT"/>
        </w:rPr>
        <w:t xml:space="preserve">, nella versione italiana, corrisponde a </w:t>
      </w:r>
      <w:r w:rsidR="00786FBF" w:rsidRPr="002E6836">
        <w:rPr>
          <w:rFonts w:ascii="Segoe UI" w:hAnsi="Segoe UI" w:cs="Segoe UI"/>
          <w:lang w:eastAsia="it-IT"/>
        </w:rPr>
        <w:t>“rilevante”) e anche nelle SR Guidelines nell</w:t>
      </w:r>
      <w:r w:rsidR="00A2344B">
        <w:rPr>
          <w:rFonts w:ascii="Segoe UI" w:hAnsi="Segoe UI" w:cs="Segoe UI"/>
          <w:lang w:eastAsia="it-IT"/>
        </w:rPr>
        <w:t>e</w:t>
      </w:r>
      <w:r w:rsidR="00786FBF" w:rsidRPr="002E6836">
        <w:rPr>
          <w:rFonts w:ascii="Segoe UI" w:hAnsi="Segoe UI" w:cs="Segoe UI"/>
          <w:lang w:eastAsia="it-IT"/>
        </w:rPr>
        <w:t xml:space="preserve"> version</w:t>
      </w:r>
      <w:r w:rsidR="00A2344B">
        <w:rPr>
          <w:rFonts w:ascii="Segoe UI" w:hAnsi="Segoe UI" w:cs="Segoe UI"/>
          <w:lang w:eastAsia="it-IT"/>
        </w:rPr>
        <w:t xml:space="preserve">i </w:t>
      </w:r>
      <w:r w:rsidR="00786FBF" w:rsidRPr="002E6836">
        <w:rPr>
          <w:rFonts w:ascii="Segoe UI" w:hAnsi="Segoe UI" w:cs="Segoe UI"/>
          <w:lang w:eastAsia="it-IT"/>
        </w:rPr>
        <w:t>G3</w:t>
      </w:r>
      <w:r w:rsidR="00A2344B">
        <w:rPr>
          <w:rFonts w:ascii="Segoe UI" w:hAnsi="Segoe UI" w:cs="Segoe UI"/>
          <w:lang w:eastAsia="it-IT"/>
        </w:rPr>
        <w:t xml:space="preserve"> e G3.1</w:t>
      </w:r>
      <w:r w:rsidR="00786FBF" w:rsidRPr="002E6836">
        <w:rPr>
          <w:rFonts w:ascii="Segoe UI" w:hAnsi="Segoe UI" w:cs="Segoe UI"/>
          <w:lang w:eastAsia="it-IT"/>
        </w:rPr>
        <w:t xml:space="preserve"> (in cui i termini sono stati tradotti in modo non univoco); nell’IR Framework, </w:t>
      </w:r>
      <w:r w:rsidRPr="002E6836">
        <w:rPr>
          <w:rFonts w:ascii="Segoe UI" w:hAnsi="Segoe UI" w:cs="Segoe UI"/>
          <w:lang w:eastAsia="it-IT"/>
        </w:rPr>
        <w:t xml:space="preserve">ad essi è attribuito un significato univoco e </w:t>
      </w:r>
      <w:r w:rsidR="00786FBF" w:rsidRPr="002E6836">
        <w:rPr>
          <w:rFonts w:ascii="Segoe UI" w:hAnsi="Segoe UI" w:cs="Segoe UI"/>
          <w:lang w:eastAsia="it-IT"/>
        </w:rPr>
        <w:t xml:space="preserve">sostanzialmente </w:t>
      </w:r>
      <w:r w:rsidRPr="002E6836">
        <w:rPr>
          <w:rFonts w:ascii="Segoe UI" w:hAnsi="Segoe UI" w:cs="Segoe UI"/>
          <w:lang w:eastAsia="it-IT"/>
        </w:rPr>
        <w:t xml:space="preserve">coerente in tutto il </w:t>
      </w:r>
      <w:r w:rsidR="00786FBF" w:rsidRPr="002E6836">
        <w:rPr>
          <w:rFonts w:ascii="Segoe UI" w:hAnsi="Segoe UI" w:cs="Segoe UI"/>
          <w:lang w:eastAsia="it-IT"/>
        </w:rPr>
        <w:t xml:space="preserve">documento, significato che </w:t>
      </w:r>
      <w:r w:rsidR="00B13296" w:rsidRPr="002E6836">
        <w:rPr>
          <w:rFonts w:ascii="Segoe UI" w:hAnsi="Segoe UI" w:cs="Segoe UI"/>
          <w:lang w:eastAsia="it-IT"/>
        </w:rPr>
        <w:t xml:space="preserve">acquista senso </w:t>
      </w:r>
      <w:r w:rsidRPr="002E6836">
        <w:rPr>
          <w:rFonts w:ascii="Segoe UI" w:hAnsi="Segoe UI" w:cs="Segoe UI"/>
          <w:lang w:eastAsia="it-IT"/>
        </w:rPr>
        <w:t xml:space="preserve">nell’ambito del processo di determinazione della </w:t>
      </w:r>
      <w:r w:rsidR="004F74E6" w:rsidRPr="002E6836">
        <w:rPr>
          <w:rFonts w:ascii="Segoe UI" w:hAnsi="Segoe UI" w:cs="Segoe UI"/>
          <w:lang w:eastAsia="it-IT"/>
        </w:rPr>
        <w:t>“</w:t>
      </w:r>
      <w:r w:rsidRPr="002E6836">
        <w:rPr>
          <w:rFonts w:ascii="Segoe UI" w:hAnsi="Segoe UI" w:cs="Segoe UI"/>
          <w:lang w:eastAsia="it-IT"/>
        </w:rPr>
        <w:t>materi</w:t>
      </w:r>
      <w:r w:rsidR="00B13296" w:rsidRPr="002E6836">
        <w:rPr>
          <w:rFonts w:ascii="Segoe UI" w:hAnsi="Segoe UI" w:cs="Segoe UI"/>
          <w:lang w:eastAsia="it-IT"/>
        </w:rPr>
        <w:t>a</w:t>
      </w:r>
      <w:r w:rsidRPr="002E6836">
        <w:rPr>
          <w:rFonts w:ascii="Segoe UI" w:hAnsi="Segoe UI" w:cs="Segoe UI"/>
          <w:lang w:eastAsia="it-IT"/>
        </w:rPr>
        <w:t>lità</w:t>
      </w:r>
      <w:r w:rsidR="004F74E6" w:rsidRPr="002E6836">
        <w:rPr>
          <w:rFonts w:ascii="Segoe UI" w:hAnsi="Segoe UI" w:cs="Segoe UI"/>
          <w:lang w:eastAsia="it-IT"/>
        </w:rPr>
        <w:t>”</w:t>
      </w:r>
      <w:r w:rsidRPr="002E6836">
        <w:rPr>
          <w:rFonts w:ascii="Segoe UI" w:hAnsi="Segoe UI" w:cs="Segoe UI"/>
          <w:lang w:eastAsia="it-IT"/>
        </w:rPr>
        <w:t xml:space="preserve"> delle informazioni.</w:t>
      </w:r>
    </w:p>
    <w:p w14:paraId="37FA2484" w14:textId="77777777" w:rsidR="00C63523" w:rsidRDefault="00C63523" w:rsidP="002E6836">
      <w:pPr>
        <w:spacing w:before="120" w:after="120" w:line="240" w:lineRule="auto"/>
        <w:jc w:val="both"/>
        <w:rPr>
          <w:rFonts w:ascii="Segoe UI" w:hAnsi="Segoe UI" w:cs="Segoe UI"/>
          <w:lang w:eastAsia="it-IT"/>
        </w:rPr>
      </w:pPr>
    </w:p>
    <w:p w14:paraId="68F00FF7" w14:textId="77777777" w:rsidR="00564B61" w:rsidRDefault="00564B61" w:rsidP="002E6836">
      <w:pPr>
        <w:spacing w:before="120" w:after="120" w:line="240" w:lineRule="auto"/>
        <w:jc w:val="both"/>
        <w:rPr>
          <w:rFonts w:ascii="Segoe UI" w:hAnsi="Segoe UI" w:cs="Segoe UI"/>
          <w:lang w:eastAsia="it-IT"/>
        </w:rPr>
      </w:pPr>
    </w:p>
    <w:p w14:paraId="6DC5B14A" w14:textId="69B6A909" w:rsidR="0080248C" w:rsidRPr="00564B61" w:rsidRDefault="00564B61" w:rsidP="00564B61">
      <w:pPr>
        <w:keepNext/>
        <w:keepLines/>
        <w:tabs>
          <w:tab w:val="left" w:pos="284"/>
        </w:tabs>
        <w:spacing w:before="120" w:after="120" w:line="240" w:lineRule="auto"/>
        <w:jc w:val="both"/>
        <w:rPr>
          <w:rFonts w:ascii="Segoe UI" w:hAnsi="Segoe UI" w:cs="Segoe UI"/>
          <w:noProof/>
          <w:szCs w:val="20"/>
          <w:lang w:eastAsia="it-IT"/>
        </w:rPr>
      </w:pPr>
      <w:r>
        <w:rPr>
          <w:rFonts w:ascii="Segoe UI" w:hAnsi="Segoe UI" w:cs="Segoe UI"/>
          <w:noProof/>
          <w:szCs w:val="20"/>
          <w:lang w:eastAsia="it-IT"/>
        </w:rPr>
        <w:t>A.</w:t>
      </w:r>
      <w:r>
        <w:rPr>
          <w:rFonts w:ascii="Segoe UI" w:hAnsi="Segoe UI" w:cs="Segoe UI"/>
          <w:noProof/>
          <w:szCs w:val="20"/>
          <w:lang w:eastAsia="it-IT"/>
        </w:rPr>
        <w:tab/>
      </w:r>
      <w:r w:rsidR="0080248C" w:rsidRPr="007F359D">
        <w:rPr>
          <w:rFonts w:ascii="Segoe UI" w:hAnsi="Segoe UI" w:cs="Segoe UI"/>
          <w:i/>
          <w:noProof/>
          <w:szCs w:val="20"/>
          <w:lang w:eastAsia="it-IT"/>
        </w:rPr>
        <w:t>Significant</w:t>
      </w:r>
    </w:p>
    <w:p w14:paraId="525CD443" w14:textId="77777777" w:rsidR="0080248C" w:rsidRPr="0080248C" w:rsidRDefault="0080248C" w:rsidP="0080248C">
      <w:pPr>
        <w:keepNext/>
        <w:keepLines/>
        <w:spacing w:before="120" w:after="120" w:line="240" w:lineRule="auto"/>
        <w:jc w:val="both"/>
        <w:rPr>
          <w:rFonts w:ascii="Segoe UI" w:hAnsi="Segoe UI" w:cs="Segoe UI"/>
          <w:i/>
          <w:lang w:eastAsia="it-IT"/>
        </w:rPr>
      </w:pPr>
    </w:p>
    <w:p w14:paraId="554D1F8A" w14:textId="7F292039" w:rsidR="00B13296" w:rsidRDefault="00B13296" w:rsidP="002E6836">
      <w:pPr>
        <w:spacing w:before="120" w:after="120" w:line="240" w:lineRule="auto"/>
        <w:jc w:val="both"/>
        <w:rPr>
          <w:rFonts w:ascii="Segoe UI" w:hAnsi="Segoe UI" w:cs="Segoe UI"/>
          <w:lang w:eastAsia="it-IT"/>
        </w:rPr>
      </w:pPr>
      <w:r w:rsidRPr="002E6836">
        <w:rPr>
          <w:rFonts w:ascii="Segoe UI" w:hAnsi="Segoe UI" w:cs="Segoe UI"/>
          <w:lang w:eastAsia="it-IT"/>
        </w:rPr>
        <w:t>Solo per illust</w:t>
      </w:r>
      <w:r w:rsidR="005E7D6A" w:rsidRPr="002E6836">
        <w:rPr>
          <w:rFonts w:ascii="Segoe UI" w:hAnsi="Segoe UI" w:cs="Segoe UI"/>
          <w:lang w:eastAsia="it-IT"/>
        </w:rPr>
        <w:t>r</w:t>
      </w:r>
      <w:r w:rsidRPr="002E6836">
        <w:rPr>
          <w:rFonts w:ascii="Segoe UI" w:hAnsi="Segoe UI" w:cs="Segoe UI"/>
          <w:lang w:eastAsia="it-IT"/>
        </w:rPr>
        <w:t xml:space="preserve">are più esplicitamente quanto appena </w:t>
      </w:r>
      <w:r w:rsidR="004F74E6" w:rsidRPr="002E6836">
        <w:rPr>
          <w:rFonts w:ascii="Segoe UI" w:hAnsi="Segoe UI" w:cs="Segoe UI"/>
          <w:lang w:eastAsia="it-IT"/>
        </w:rPr>
        <w:t>accennato</w:t>
      </w:r>
      <w:r w:rsidRPr="002E6836">
        <w:rPr>
          <w:rFonts w:ascii="Segoe UI" w:hAnsi="Segoe UI" w:cs="Segoe UI"/>
          <w:lang w:eastAsia="it-IT"/>
        </w:rPr>
        <w:t>, con riguardo al termine “</w:t>
      </w:r>
      <w:r w:rsidRPr="002E6836">
        <w:rPr>
          <w:rFonts w:ascii="Segoe UI" w:hAnsi="Segoe UI" w:cs="Segoe UI"/>
          <w:i/>
          <w:lang w:eastAsia="it-IT"/>
        </w:rPr>
        <w:t>significant</w:t>
      </w:r>
      <w:r w:rsidRPr="002E6836">
        <w:rPr>
          <w:rFonts w:ascii="Segoe UI" w:hAnsi="Segoe UI" w:cs="Segoe UI"/>
          <w:lang w:eastAsia="it-IT"/>
        </w:rPr>
        <w:t>” si ripo</w:t>
      </w:r>
      <w:r w:rsidR="005E7D6A" w:rsidRPr="002E6836">
        <w:rPr>
          <w:rFonts w:ascii="Segoe UI" w:hAnsi="Segoe UI" w:cs="Segoe UI"/>
          <w:lang w:eastAsia="it-IT"/>
        </w:rPr>
        <w:t>rtano</w:t>
      </w:r>
      <w:r w:rsidRPr="002E6836">
        <w:rPr>
          <w:rFonts w:ascii="Segoe UI" w:hAnsi="Segoe UI" w:cs="Segoe UI"/>
          <w:lang w:eastAsia="it-IT"/>
        </w:rPr>
        <w:t>, tra i numerosi esempi</w:t>
      </w:r>
      <w:r w:rsidR="004F74E6" w:rsidRPr="002E6836">
        <w:rPr>
          <w:rFonts w:ascii="Segoe UI" w:hAnsi="Segoe UI" w:cs="Segoe UI"/>
          <w:lang w:eastAsia="it-IT"/>
        </w:rPr>
        <w:t xml:space="preserve"> </w:t>
      </w:r>
      <w:r w:rsidR="004F74E6" w:rsidRPr="00922E05">
        <w:rPr>
          <w:rFonts w:ascii="Segoe UI" w:hAnsi="Segoe UI" w:cs="Segoe UI"/>
          <w:lang w:eastAsia="it-IT"/>
        </w:rPr>
        <w:t>presenti nel</w:t>
      </w:r>
      <w:r w:rsidR="00BD473D">
        <w:rPr>
          <w:rFonts w:ascii="Segoe UI" w:hAnsi="Segoe UI" w:cs="Segoe UI"/>
          <w:lang w:eastAsia="it-IT"/>
        </w:rPr>
        <w:t>l’</w:t>
      </w:r>
      <w:r w:rsidR="00922E05" w:rsidRPr="00922E05">
        <w:rPr>
          <w:rFonts w:ascii="Segoe UI" w:hAnsi="Segoe UI" w:cs="Segoe UI"/>
          <w:lang w:eastAsia="it-IT"/>
        </w:rPr>
        <w:t xml:space="preserve">IR </w:t>
      </w:r>
      <w:r w:rsidR="004F74E6" w:rsidRPr="00922E05">
        <w:rPr>
          <w:rFonts w:ascii="Segoe UI" w:hAnsi="Segoe UI" w:cs="Segoe UI"/>
          <w:lang w:eastAsia="it-IT"/>
        </w:rPr>
        <w:t>Framework</w:t>
      </w:r>
      <w:r w:rsidRPr="00922E05">
        <w:rPr>
          <w:rFonts w:ascii="Segoe UI" w:hAnsi="Segoe UI" w:cs="Segoe UI"/>
          <w:lang w:eastAsia="it-IT"/>
        </w:rPr>
        <w:t>, tre</w:t>
      </w:r>
      <w:r w:rsidRPr="002E6836">
        <w:rPr>
          <w:rFonts w:ascii="Segoe UI" w:hAnsi="Segoe UI" w:cs="Segoe UI"/>
          <w:lang w:eastAsia="it-IT"/>
        </w:rPr>
        <w:t xml:space="preserve"> circostanze di traduzione</w:t>
      </w:r>
      <w:r w:rsidR="004F74E6" w:rsidRPr="002E6836">
        <w:rPr>
          <w:rFonts w:ascii="Segoe UI" w:hAnsi="Segoe UI" w:cs="Segoe UI"/>
          <w:lang w:eastAsia="it-IT"/>
        </w:rPr>
        <w:t xml:space="preserve"> con </w:t>
      </w:r>
      <w:r w:rsidRPr="002E6836">
        <w:rPr>
          <w:rFonts w:ascii="Segoe UI" w:hAnsi="Segoe UI" w:cs="Segoe UI"/>
          <w:lang w:eastAsia="it-IT"/>
        </w:rPr>
        <w:t>significato te</w:t>
      </w:r>
      <w:r w:rsidR="005E7D6A" w:rsidRPr="002E6836">
        <w:rPr>
          <w:rFonts w:ascii="Segoe UI" w:hAnsi="Segoe UI" w:cs="Segoe UI"/>
          <w:lang w:eastAsia="it-IT"/>
        </w:rPr>
        <w:t>r</w:t>
      </w:r>
      <w:r w:rsidRPr="002E6836">
        <w:rPr>
          <w:rFonts w:ascii="Segoe UI" w:hAnsi="Segoe UI" w:cs="Segoe UI"/>
          <w:lang w:eastAsia="it-IT"/>
        </w:rPr>
        <w:t>minologico diverso.</w:t>
      </w:r>
    </w:p>
    <w:p w14:paraId="11419AF6" w14:textId="77777777" w:rsidR="00A75F7E" w:rsidRDefault="00A75F7E" w:rsidP="002E6836">
      <w:pPr>
        <w:spacing w:before="120" w:after="120" w:line="240" w:lineRule="auto"/>
        <w:jc w:val="both"/>
        <w:rPr>
          <w:rFonts w:ascii="Segoe UI" w:hAnsi="Segoe UI" w:cs="Segoe UI"/>
          <w:lang w:eastAsia="it-IT"/>
        </w:rPr>
      </w:pPr>
    </w:p>
    <w:p w14:paraId="1CE29008" w14:textId="1A275FA2" w:rsidR="00A75F7E" w:rsidRPr="002E6836" w:rsidRDefault="00A75F7E" w:rsidP="00A75F7E">
      <w:pPr>
        <w:keepNext/>
        <w:keepLines/>
        <w:spacing w:before="120" w:after="120" w:line="240" w:lineRule="auto"/>
        <w:jc w:val="both"/>
        <w:rPr>
          <w:rFonts w:ascii="Segoe UI" w:hAnsi="Segoe UI" w:cs="Segoe UI"/>
          <w:lang w:eastAsia="it-IT"/>
        </w:rPr>
      </w:pPr>
      <w:r>
        <w:rPr>
          <w:rFonts w:ascii="Segoe UI" w:hAnsi="Segoe UI" w:cs="Segoe UI"/>
          <w:lang w:eastAsia="it-IT"/>
        </w:rPr>
        <w:t>Traduzione</w:t>
      </w:r>
      <w:r w:rsidR="002A4D65">
        <w:rPr>
          <w:rFonts w:ascii="Segoe UI" w:hAnsi="Segoe UI" w:cs="Segoe UI"/>
          <w:lang w:eastAsia="it-IT"/>
        </w:rPr>
        <w:t>:</w:t>
      </w:r>
      <w:r>
        <w:rPr>
          <w:rFonts w:ascii="Segoe UI" w:hAnsi="Segoe UI" w:cs="Segoe UI"/>
          <w:lang w:eastAsia="it-IT"/>
        </w:rPr>
        <w:t xml:space="preserve"> opzione 1 / </w:t>
      </w:r>
      <w:r w:rsidR="002A4D65">
        <w:rPr>
          <w:rFonts w:ascii="Segoe UI" w:hAnsi="Segoe UI" w:cs="Segoe UI"/>
          <w:lang w:eastAsia="it-IT"/>
        </w:rPr>
        <w:t>A</w:t>
      </w:r>
      <w:r>
        <w:rPr>
          <w:rFonts w:ascii="Segoe UI" w:hAnsi="Segoe UI" w:cs="Segoe UI"/>
          <w:lang w:eastAsia="it-IT"/>
        </w:rPr>
        <w:t>ccezione</w:t>
      </w:r>
      <w:r w:rsidR="002A4D65">
        <w:rPr>
          <w:rFonts w:ascii="Segoe UI" w:hAnsi="Segoe UI" w:cs="Segoe UI"/>
          <w:lang w:eastAsia="it-IT"/>
        </w:rPr>
        <w:t>: opzione</w:t>
      </w:r>
      <w:r>
        <w:rPr>
          <w:rFonts w:ascii="Segoe UI" w:hAnsi="Segoe UI" w:cs="Segoe UI"/>
          <w:lang w:eastAsia="it-IT"/>
        </w:rPr>
        <w:t xml:space="preserve"> 1</w:t>
      </w:r>
    </w:p>
    <w:p w14:paraId="65D78D39" w14:textId="46B06369" w:rsidR="00A75F7E" w:rsidRDefault="00A75F7E" w:rsidP="00A75F7E">
      <w:pPr>
        <w:keepNext/>
        <w:keepLines/>
        <w:spacing w:before="120" w:after="120" w:line="240" w:lineRule="auto"/>
        <w:jc w:val="both"/>
        <w:rPr>
          <w:rFonts w:ascii="Segoe UI" w:hAnsi="Segoe UI" w:cs="Segoe UI"/>
          <w:lang w:eastAsia="it-IT"/>
        </w:rPr>
      </w:pPr>
      <w:r>
        <w:rPr>
          <w:rFonts w:ascii="Segoe UI" w:hAnsi="Segoe UI" w:cs="Segoe UI"/>
          <w:lang w:eastAsia="it-IT"/>
        </w:rPr>
        <w:t>Nella sezione “</w:t>
      </w:r>
      <w:r w:rsidRPr="00A75F7E">
        <w:rPr>
          <w:rFonts w:ascii="Segoe UI" w:hAnsi="Segoe UI" w:cs="Segoe UI"/>
          <w:lang w:eastAsia="it-IT"/>
        </w:rPr>
        <w:t>G</w:t>
      </w:r>
      <w:r>
        <w:rPr>
          <w:rFonts w:ascii="Segoe UI" w:hAnsi="Segoe UI" w:cs="Segoe UI"/>
          <w:lang w:eastAsia="it-IT"/>
        </w:rPr>
        <w:t>uidinig</w:t>
      </w:r>
      <w:r w:rsidRPr="00A75F7E">
        <w:rPr>
          <w:rFonts w:ascii="Segoe UI" w:hAnsi="Segoe UI" w:cs="Segoe UI"/>
          <w:lang w:eastAsia="it-IT"/>
        </w:rPr>
        <w:t xml:space="preserve"> P</w:t>
      </w:r>
      <w:r>
        <w:rPr>
          <w:rFonts w:ascii="Segoe UI" w:hAnsi="Segoe UI" w:cs="Segoe UI"/>
          <w:lang w:eastAsia="it-IT"/>
        </w:rPr>
        <w:t xml:space="preserve">rinciples”, </w:t>
      </w:r>
      <w:r w:rsidRPr="00A75F7E">
        <w:rPr>
          <w:rFonts w:ascii="Segoe UI" w:hAnsi="Segoe UI" w:cs="Segoe UI"/>
        </w:rPr>
        <w:t>sezione “3A Strategic focus and future orientation</w:t>
      </w:r>
      <w:r>
        <w:rPr>
          <w:rFonts w:ascii="Segoe UI" w:hAnsi="Segoe UI" w:cs="Segoe UI"/>
        </w:rPr>
        <w:t xml:space="preserve">”, </w:t>
      </w:r>
      <w:r>
        <w:rPr>
          <w:rFonts w:ascii="Segoe UI" w:hAnsi="Segoe UI" w:cs="Segoe UI"/>
          <w:lang w:eastAsia="it-IT"/>
        </w:rPr>
        <w:t xml:space="preserve">ai fini della </w:t>
      </w:r>
      <w:r w:rsidRPr="00A75F7E">
        <w:rPr>
          <w:rFonts w:ascii="Segoe UI" w:hAnsi="Segoe UI" w:cs="Segoe UI"/>
          <w:lang w:eastAsia="it-IT"/>
        </w:rPr>
        <w:t>redazione dell’</w:t>
      </w:r>
      <w:r w:rsidRPr="00A75F7E">
        <w:rPr>
          <w:rFonts w:ascii="Segoe UI" w:hAnsi="Segoe UI" w:cs="Segoe UI"/>
          <w:i/>
          <w:lang w:eastAsia="it-IT"/>
        </w:rPr>
        <w:t>integrated report</w:t>
      </w:r>
      <w:r w:rsidRPr="00A75F7E">
        <w:rPr>
          <w:rFonts w:ascii="Segoe UI" w:hAnsi="Segoe UI" w:cs="Segoe UI"/>
          <w:lang w:eastAsia="it-IT"/>
        </w:rPr>
        <w:t>, si legge:</w:t>
      </w:r>
    </w:p>
    <w:p w14:paraId="3B0D5DA8" w14:textId="343D8CFA" w:rsidR="00B13296" w:rsidRPr="00D36126" w:rsidRDefault="00B13296" w:rsidP="00D36126">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rPr>
      </w:pPr>
      <w:r w:rsidRPr="00D36126">
        <w:rPr>
          <w:rFonts w:ascii="Segoe UI" w:hAnsi="Segoe UI" w:cs="Segoe UI"/>
          <w:color w:val="525252" w:themeColor="accent3" w:themeShade="80"/>
          <w:sz w:val="20"/>
          <w:szCs w:val="20"/>
          <w:lang w:val="en-US"/>
        </w:rPr>
        <w:t>“3.4 Applying this Guiding Principle is not limited to the Content Elements 4E Strategy and resource allocation and 4G Outlook. It guides the selection and presentation of other content, and may include, for example:</w:t>
      </w:r>
    </w:p>
    <w:p w14:paraId="7E1E48F2" w14:textId="03099582" w:rsidR="00892C2A" w:rsidRPr="00D36126" w:rsidRDefault="00B13296" w:rsidP="00D36126">
      <w:pPr>
        <w:pStyle w:val="Paragrafoelenco"/>
        <w:numPr>
          <w:ilvl w:val="0"/>
          <w:numId w:val="25"/>
        </w:numPr>
        <w:tabs>
          <w:tab w:val="left" w:pos="851"/>
        </w:tabs>
        <w:autoSpaceDE w:val="0"/>
        <w:autoSpaceDN w:val="0"/>
        <w:adjustRightInd w:val="0"/>
        <w:spacing w:before="120" w:after="120" w:line="240" w:lineRule="auto"/>
        <w:ind w:left="851" w:right="282" w:hanging="284"/>
        <w:jc w:val="both"/>
        <w:rPr>
          <w:rFonts w:ascii="Segoe UI" w:hAnsi="Segoe UI" w:cs="Segoe UI"/>
          <w:color w:val="525252" w:themeColor="accent3" w:themeShade="80"/>
          <w:sz w:val="20"/>
          <w:szCs w:val="20"/>
          <w:lang w:val="en-US"/>
        </w:rPr>
      </w:pPr>
      <w:r w:rsidRPr="00D36126">
        <w:rPr>
          <w:rFonts w:ascii="Segoe UI" w:hAnsi="Segoe UI" w:cs="Segoe UI"/>
          <w:color w:val="525252" w:themeColor="accent3" w:themeShade="80"/>
          <w:sz w:val="20"/>
          <w:szCs w:val="20"/>
          <w:lang w:val="en-US"/>
        </w:rPr>
        <w:t>Highlighting significant risks, opportunities and dependencies flowing from the organization’s market position and business model</w:t>
      </w:r>
      <w:r w:rsidR="00892C2A" w:rsidRPr="00D36126">
        <w:rPr>
          <w:rFonts w:ascii="Segoe UI" w:hAnsi="Segoe UI" w:cs="Segoe UI"/>
          <w:color w:val="525252" w:themeColor="accent3" w:themeShade="80"/>
          <w:sz w:val="20"/>
          <w:szCs w:val="20"/>
          <w:lang w:val="en-US"/>
        </w:rPr>
        <w:t xml:space="preserve"> [...]”.</w:t>
      </w:r>
    </w:p>
    <w:p w14:paraId="6AE1655F" w14:textId="77777777" w:rsidR="00892C2A" w:rsidRPr="002E6836" w:rsidRDefault="00892C2A" w:rsidP="002E6836">
      <w:pPr>
        <w:keepNext/>
        <w:keepLines/>
        <w:spacing w:before="120" w:after="120" w:line="240" w:lineRule="auto"/>
        <w:jc w:val="both"/>
        <w:rPr>
          <w:rFonts w:ascii="Segoe UI" w:hAnsi="Segoe UI" w:cs="Segoe UI"/>
        </w:rPr>
      </w:pPr>
      <w:r w:rsidRPr="002E6836">
        <w:rPr>
          <w:rFonts w:ascii="Segoe UI" w:hAnsi="Segoe UI" w:cs="Segoe UI"/>
        </w:rPr>
        <w:t>Nella versione in italiano tale proposizione è tradotta come segue:</w:t>
      </w:r>
    </w:p>
    <w:p w14:paraId="6E77FEAE" w14:textId="4DCF3CE4" w:rsidR="00B13296" w:rsidRPr="00D36126" w:rsidRDefault="00793CDE" w:rsidP="00D36126">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rPr>
      </w:pPr>
      <w:r w:rsidRPr="00B9065C">
        <w:rPr>
          <w:rFonts w:ascii="Segoe UI" w:hAnsi="Segoe UI" w:cs="Segoe UI"/>
          <w:color w:val="525252" w:themeColor="accent3" w:themeShade="80"/>
          <w:sz w:val="20"/>
          <w:szCs w:val="20"/>
        </w:rPr>
        <w:t>“</w:t>
      </w:r>
      <w:r w:rsidR="00B13296" w:rsidRPr="00B9065C">
        <w:rPr>
          <w:rFonts w:ascii="Segoe UI" w:hAnsi="Segoe UI" w:cs="Segoe UI"/>
          <w:color w:val="525252" w:themeColor="accent3" w:themeShade="80"/>
          <w:sz w:val="20"/>
          <w:szCs w:val="20"/>
        </w:rPr>
        <w:t xml:space="preserve">3.4 L'applicazione di questo principio guida non è limitata al Contenuto 4E Strategia e allocazione delle risorse e 4G Prospettive, ma determina anche la scelta e la presentazione di altri contenuti. </w:t>
      </w:r>
      <w:r w:rsidR="00B13296" w:rsidRPr="00D36126">
        <w:rPr>
          <w:rFonts w:ascii="Segoe UI" w:hAnsi="Segoe UI" w:cs="Segoe UI"/>
          <w:color w:val="525252" w:themeColor="accent3" w:themeShade="80"/>
          <w:sz w:val="20"/>
          <w:szCs w:val="20"/>
          <w:lang w:val="en-US"/>
        </w:rPr>
        <w:t>Può ad esempio riguardare:</w:t>
      </w:r>
    </w:p>
    <w:p w14:paraId="16E34B9B" w14:textId="1FA7E025" w:rsidR="00B13296" w:rsidRPr="00B9065C" w:rsidRDefault="00B13296" w:rsidP="00D36126">
      <w:pPr>
        <w:pStyle w:val="Paragrafoelenco"/>
        <w:numPr>
          <w:ilvl w:val="0"/>
          <w:numId w:val="25"/>
        </w:numPr>
        <w:tabs>
          <w:tab w:val="left" w:pos="851"/>
        </w:tabs>
        <w:autoSpaceDE w:val="0"/>
        <w:autoSpaceDN w:val="0"/>
        <w:adjustRightInd w:val="0"/>
        <w:spacing w:before="120" w:after="120" w:line="240" w:lineRule="auto"/>
        <w:ind w:left="851" w:right="282" w:hanging="284"/>
        <w:jc w:val="both"/>
        <w:rPr>
          <w:rFonts w:ascii="Segoe UI" w:hAnsi="Segoe UI" w:cs="Segoe UI"/>
          <w:color w:val="525252" w:themeColor="accent3" w:themeShade="80"/>
          <w:sz w:val="20"/>
          <w:szCs w:val="20"/>
        </w:rPr>
      </w:pPr>
      <w:r w:rsidRPr="00B9065C">
        <w:rPr>
          <w:rFonts w:ascii="Segoe UI" w:hAnsi="Segoe UI" w:cs="Segoe UI"/>
          <w:color w:val="525252" w:themeColor="accent3" w:themeShade="80"/>
          <w:sz w:val="20"/>
          <w:szCs w:val="20"/>
        </w:rPr>
        <w:t>Evidenza di rischi, opportunità e dipendenze significativi derivanti dalla posizione di mercato e dal modello di business dell'organizzazione [...]”.</w:t>
      </w:r>
    </w:p>
    <w:p w14:paraId="29483C37" w14:textId="5B020E00" w:rsidR="00892C2A" w:rsidRDefault="00892C2A" w:rsidP="002E6836">
      <w:pPr>
        <w:autoSpaceDE w:val="0"/>
        <w:autoSpaceDN w:val="0"/>
        <w:adjustRightInd w:val="0"/>
        <w:spacing w:before="120" w:after="120" w:line="240" w:lineRule="auto"/>
        <w:jc w:val="both"/>
        <w:rPr>
          <w:rFonts w:ascii="Segoe UI" w:hAnsi="Segoe UI" w:cs="Segoe UI"/>
          <w:lang w:eastAsia="it-IT"/>
        </w:rPr>
      </w:pPr>
      <w:r w:rsidRPr="002E6836">
        <w:rPr>
          <w:rFonts w:ascii="Segoe UI" w:hAnsi="Segoe UI" w:cs="Segoe UI"/>
          <w:lang w:eastAsia="it-IT"/>
        </w:rPr>
        <w:t>Conclusione:</w:t>
      </w:r>
      <w:r w:rsidR="00A75F7E">
        <w:rPr>
          <w:rFonts w:ascii="Segoe UI" w:hAnsi="Segoe UI" w:cs="Segoe UI"/>
          <w:lang w:eastAsia="it-IT"/>
        </w:rPr>
        <w:t xml:space="preserve"> in questo caso, in cui </w:t>
      </w:r>
      <w:r w:rsidR="00A75F7E" w:rsidRPr="002E6836">
        <w:rPr>
          <w:rFonts w:ascii="Segoe UI" w:hAnsi="Segoe UI" w:cs="Segoe UI"/>
          <w:lang w:eastAsia="it-IT"/>
        </w:rPr>
        <w:t>“</w:t>
      </w:r>
      <w:r w:rsidR="00A75F7E" w:rsidRPr="004121CF">
        <w:rPr>
          <w:rFonts w:ascii="Segoe UI" w:hAnsi="Segoe UI" w:cs="Segoe UI"/>
          <w:b/>
          <w:i/>
          <w:lang w:eastAsia="it-IT"/>
        </w:rPr>
        <w:t>significant</w:t>
      </w:r>
      <w:r w:rsidR="00A75F7E" w:rsidRPr="002E6836">
        <w:rPr>
          <w:rFonts w:ascii="Segoe UI" w:hAnsi="Segoe UI" w:cs="Segoe UI"/>
          <w:lang w:eastAsia="it-IT"/>
        </w:rPr>
        <w:t>” è tradotto “</w:t>
      </w:r>
      <w:r w:rsidR="00A75F7E" w:rsidRPr="004121CF">
        <w:rPr>
          <w:rFonts w:ascii="Segoe UI" w:hAnsi="Segoe UI" w:cs="Segoe UI"/>
          <w:b/>
          <w:lang w:eastAsia="it-IT"/>
        </w:rPr>
        <w:t>significativo</w:t>
      </w:r>
      <w:r w:rsidR="00A75F7E" w:rsidRPr="002E6836">
        <w:rPr>
          <w:rFonts w:ascii="Segoe UI" w:hAnsi="Segoe UI" w:cs="Segoe UI"/>
          <w:lang w:eastAsia="it-IT"/>
        </w:rPr>
        <w:t>”</w:t>
      </w:r>
      <w:r w:rsidR="00A75F7E">
        <w:rPr>
          <w:rFonts w:ascii="Segoe UI" w:hAnsi="Segoe UI" w:cs="Segoe UI"/>
          <w:lang w:eastAsia="it-IT"/>
        </w:rPr>
        <w:t xml:space="preserve">, </w:t>
      </w:r>
      <w:r w:rsidR="005E7D6A" w:rsidRPr="002E6836">
        <w:rPr>
          <w:rFonts w:ascii="Segoe UI" w:hAnsi="Segoe UI" w:cs="Segoe UI"/>
          <w:lang w:eastAsia="it-IT"/>
        </w:rPr>
        <w:t xml:space="preserve">non siamo nell’ambito di una definita </w:t>
      </w:r>
      <w:r w:rsidR="00A75F7E">
        <w:rPr>
          <w:rFonts w:ascii="Segoe UI" w:hAnsi="Segoe UI" w:cs="Segoe UI"/>
          <w:lang w:eastAsia="it-IT"/>
        </w:rPr>
        <w:t>“</w:t>
      </w:r>
      <w:r w:rsidR="005E7D6A" w:rsidRPr="002E6836">
        <w:rPr>
          <w:rFonts w:ascii="Segoe UI" w:hAnsi="Segoe UI" w:cs="Segoe UI"/>
          <w:lang w:eastAsia="it-IT"/>
        </w:rPr>
        <w:t>calibrazione</w:t>
      </w:r>
      <w:r w:rsidR="00A75F7E">
        <w:rPr>
          <w:rFonts w:ascii="Segoe UI" w:hAnsi="Segoe UI" w:cs="Segoe UI"/>
          <w:lang w:eastAsia="it-IT"/>
        </w:rPr>
        <w:t>”;</w:t>
      </w:r>
      <w:r w:rsidR="005E7D6A" w:rsidRPr="002E6836">
        <w:rPr>
          <w:rFonts w:ascii="Segoe UI" w:hAnsi="Segoe UI" w:cs="Segoe UI"/>
          <w:lang w:eastAsia="it-IT"/>
        </w:rPr>
        <w:t xml:space="preserve"> sembrerebbe più ragionevole e consono, invece, attribuire al termine “significativo” un</w:t>
      </w:r>
      <w:r w:rsidR="004F74E6" w:rsidRPr="002E6836">
        <w:rPr>
          <w:rFonts w:ascii="Segoe UI" w:hAnsi="Segoe UI" w:cs="Segoe UI"/>
          <w:lang w:eastAsia="it-IT"/>
        </w:rPr>
        <w:t>’</w:t>
      </w:r>
      <w:r w:rsidR="005E7D6A" w:rsidRPr="002E6836">
        <w:rPr>
          <w:rFonts w:ascii="Segoe UI" w:hAnsi="Segoe UI" w:cs="Segoe UI"/>
          <w:lang w:eastAsia="it-IT"/>
        </w:rPr>
        <w:t>accezione legata a una certa flessibilità interpretativa in funzione di una dimensione sia qualitativa si</w:t>
      </w:r>
      <w:r w:rsidR="004F74E6" w:rsidRPr="002E6836">
        <w:rPr>
          <w:rFonts w:ascii="Segoe UI" w:hAnsi="Segoe UI" w:cs="Segoe UI"/>
          <w:lang w:eastAsia="it-IT"/>
        </w:rPr>
        <w:t>a</w:t>
      </w:r>
      <w:r w:rsidR="005E7D6A" w:rsidRPr="002E6836">
        <w:rPr>
          <w:rFonts w:ascii="Segoe UI" w:hAnsi="Segoe UI" w:cs="Segoe UI"/>
          <w:lang w:eastAsia="it-IT"/>
        </w:rPr>
        <w:t xml:space="preserve"> quantitativa dei rischi cui si riferisce.</w:t>
      </w:r>
    </w:p>
    <w:p w14:paraId="1BA64B82" w14:textId="77777777" w:rsidR="00C63523" w:rsidRDefault="00C63523" w:rsidP="002E6836">
      <w:pPr>
        <w:autoSpaceDE w:val="0"/>
        <w:autoSpaceDN w:val="0"/>
        <w:adjustRightInd w:val="0"/>
        <w:spacing w:before="120" w:after="120" w:line="240" w:lineRule="auto"/>
        <w:jc w:val="both"/>
        <w:rPr>
          <w:rFonts w:ascii="Segoe UI" w:hAnsi="Segoe UI" w:cs="Segoe UI"/>
          <w:lang w:eastAsia="it-IT"/>
        </w:rPr>
      </w:pPr>
    </w:p>
    <w:p w14:paraId="165E1690" w14:textId="6979A973" w:rsidR="00A75F7E" w:rsidRDefault="00A75F7E" w:rsidP="00A75F7E">
      <w:pPr>
        <w:keepNext/>
        <w:keepLines/>
        <w:spacing w:before="120" w:after="120" w:line="240" w:lineRule="auto"/>
        <w:jc w:val="both"/>
        <w:rPr>
          <w:rFonts w:ascii="Segoe UI" w:hAnsi="Segoe UI" w:cs="Segoe UI"/>
          <w:lang w:eastAsia="it-IT"/>
        </w:rPr>
      </w:pPr>
      <w:r>
        <w:rPr>
          <w:rFonts w:ascii="Segoe UI" w:hAnsi="Segoe UI" w:cs="Segoe UI"/>
          <w:lang w:eastAsia="it-IT"/>
        </w:rPr>
        <w:t>Traduzione</w:t>
      </w:r>
      <w:r w:rsidR="002A4D65">
        <w:rPr>
          <w:rFonts w:ascii="Segoe UI" w:hAnsi="Segoe UI" w:cs="Segoe UI"/>
          <w:lang w:eastAsia="it-IT"/>
        </w:rPr>
        <w:t>:</w:t>
      </w:r>
      <w:r>
        <w:rPr>
          <w:rFonts w:ascii="Segoe UI" w:hAnsi="Segoe UI" w:cs="Segoe UI"/>
          <w:lang w:eastAsia="it-IT"/>
        </w:rPr>
        <w:t xml:space="preserve"> opzione 2 / </w:t>
      </w:r>
      <w:r w:rsidR="002A4D65">
        <w:rPr>
          <w:rFonts w:ascii="Segoe UI" w:hAnsi="Segoe UI" w:cs="Segoe UI"/>
          <w:lang w:eastAsia="it-IT"/>
        </w:rPr>
        <w:t>A</w:t>
      </w:r>
      <w:r>
        <w:rPr>
          <w:rFonts w:ascii="Segoe UI" w:hAnsi="Segoe UI" w:cs="Segoe UI"/>
          <w:lang w:eastAsia="it-IT"/>
        </w:rPr>
        <w:t>ccezione</w:t>
      </w:r>
      <w:r w:rsidR="002A4D65">
        <w:rPr>
          <w:rFonts w:ascii="Segoe UI" w:hAnsi="Segoe UI" w:cs="Segoe UI"/>
          <w:lang w:eastAsia="it-IT"/>
        </w:rPr>
        <w:t>: opzione</w:t>
      </w:r>
      <w:r>
        <w:rPr>
          <w:rFonts w:ascii="Segoe UI" w:hAnsi="Segoe UI" w:cs="Segoe UI"/>
          <w:lang w:eastAsia="it-IT"/>
        </w:rPr>
        <w:t xml:space="preserve"> 2</w:t>
      </w:r>
    </w:p>
    <w:p w14:paraId="025B6C12" w14:textId="2E18136E" w:rsidR="00A75F7E" w:rsidRDefault="00A75F7E" w:rsidP="00A75F7E">
      <w:pPr>
        <w:keepNext/>
        <w:keepLines/>
        <w:spacing w:before="120" w:after="120" w:line="240" w:lineRule="auto"/>
        <w:jc w:val="both"/>
        <w:rPr>
          <w:rFonts w:ascii="Segoe UI" w:hAnsi="Segoe UI" w:cs="Segoe UI"/>
          <w:lang w:eastAsia="it-IT"/>
        </w:rPr>
      </w:pPr>
      <w:r>
        <w:rPr>
          <w:rFonts w:ascii="Segoe UI" w:hAnsi="Segoe UI" w:cs="Segoe UI"/>
          <w:lang w:eastAsia="it-IT"/>
        </w:rPr>
        <w:t>Nel capitolo “</w:t>
      </w:r>
      <w:r w:rsidRPr="00A75F7E">
        <w:rPr>
          <w:rFonts w:ascii="Segoe UI" w:hAnsi="Segoe UI" w:cs="Segoe UI"/>
          <w:lang w:eastAsia="it-IT"/>
        </w:rPr>
        <w:t>G</w:t>
      </w:r>
      <w:r>
        <w:rPr>
          <w:rFonts w:ascii="Segoe UI" w:hAnsi="Segoe UI" w:cs="Segoe UI"/>
          <w:lang w:eastAsia="it-IT"/>
        </w:rPr>
        <w:t>uidinig</w:t>
      </w:r>
      <w:r w:rsidRPr="00A75F7E">
        <w:rPr>
          <w:rFonts w:ascii="Segoe UI" w:hAnsi="Segoe UI" w:cs="Segoe UI"/>
          <w:lang w:eastAsia="it-IT"/>
        </w:rPr>
        <w:t xml:space="preserve"> P</w:t>
      </w:r>
      <w:r>
        <w:rPr>
          <w:rFonts w:ascii="Segoe UI" w:hAnsi="Segoe UI" w:cs="Segoe UI"/>
          <w:lang w:eastAsia="it-IT"/>
        </w:rPr>
        <w:t>rinciples</w:t>
      </w:r>
      <w:r>
        <w:rPr>
          <w:rFonts w:ascii="Segoe UI" w:hAnsi="Segoe UI" w:cs="Segoe UI"/>
        </w:rPr>
        <w:t>”,</w:t>
      </w:r>
      <w:r w:rsidRPr="00A75F7E">
        <w:rPr>
          <w:rFonts w:ascii="Segoe UI" w:hAnsi="Segoe UI" w:cs="Segoe UI"/>
        </w:rPr>
        <w:t xml:space="preserve"> </w:t>
      </w:r>
      <w:r>
        <w:rPr>
          <w:rFonts w:ascii="Segoe UI" w:hAnsi="Segoe UI" w:cs="Segoe UI"/>
        </w:rPr>
        <w:t>sezione “</w:t>
      </w:r>
      <w:r w:rsidRPr="00A75F7E">
        <w:rPr>
          <w:rFonts w:ascii="Segoe UI" w:hAnsi="Segoe UI" w:cs="Segoe UI"/>
        </w:rPr>
        <w:t>3C Stakeholder relationships</w:t>
      </w:r>
      <w:r>
        <w:rPr>
          <w:rFonts w:ascii="Segoe UI" w:hAnsi="Segoe UI" w:cs="Segoe UI"/>
        </w:rPr>
        <w:t xml:space="preserve">”, </w:t>
      </w:r>
      <w:r w:rsidRPr="00A75F7E">
        <w:rPr>
          <w:rFonts w:ascii="Segoe UI" w:hAnsi="Segoe UI" w:cs="Segoe UI"/>
        </w:rPr>
        <w:t>ai fini</w:t>
      </w:r>
      <w:r>
        <w:rPr>
          <w:rFonts w:ascii="Segoe UI" w:hAnsi="Segoe UI" w:cs="Segoe UI"/>
          <w:lang w:eastAsia="it-IT"/>
        </w:rPr>
        <w:t xml:space="preserve"> della </w:t>
      </w:r>
      <w:r w:rsidRPr="00A75F7E">
        <w:rPr>
          <w:rFonts w:ascii="Segoe UI" w:hAnsi="Segoe UI" w:cs="Segoe UI"/>
          <w:lang w:eastAsia="it-IT"/>
        </w:rPr>
        <w:t>redazione dell’</w:t>
      </w:r>
      <w:r w:rsidRPr="00A75F7E">
        <w:rPr>
          <w:rFonts w:ascii="Segoe UI" w:hAnsi="Segoe UI" w:cs="Segoe UI"/>
          <w:i/>
          <w:lang w:eastAsia="it-IT"/>
        </w:rPr>
        <w:t>integrated report</w:t>
      </w:r>
      <w:r w:rsidRPr="00A75F7E">
        <w:rPr>
          <w:rFonts w:ascii="Segoe UI" w:hAnsi="Segoe UI" w:cs="Segoe UI"/>
          <w:lang w:eastAsia="it-IT"/>
        </w:rPr>
        <w:t>, si legge:</w:t>
      </w:r>
    </w:p>
    <w:p w14:paraId="6158316B" w14:textId="7C9B92CD" w:rsidR="005C3EDB" w:rsidRPr="00D36126" w:rsidRDefault="005E7D6A" w:rsidP="00D36126">
      <w:pPr>
        <w:keepNext/>
        <w:keepLines/>
        <w:spacing w:before="120" w:after="120" w:line="240" w:lineRule="auto"/>
        <w:ind w:left="284" w:right="282"/>
        <w:jc w:val="both"/>
        <w:rPr>
          <w:rFonts w:ascii="Segoe UI" w:hAnsi="Segoe UI" w:cs="Segoe UI"/>
          <w:color w:val="525252" w:themeColor="accent3" w:themeShade="80"/>
          <w:sz w:val="20"/>
          <w:szCs w:val="20"/>
          <w:lang w:val="en-US"/>
        </w:rPr>
      </w:pPr>
      <w:r w:rsidRPr="00D36126">
        <w:rPr>
          <w:rFonts w:ascii="Segoe UI" w:hAnsi="Segoe UI" w:cs="Segoe UI"/>
          <w:color w:val="525252" w:themeColor="accent3" w:themeShade="80"/>
          <w:sz w:val="20"/>
          <w:szCs w:val="20"/>
          <w:lang w:val="en-US"/>
        </w:rPr>
        <w:t>“</w:t>
      </w:r>
      <w:r w:rsidR="005C3EDB" w:rsidRPr="00D36126">
        <w:rPr>
          <w:rFonts w:ascii="Segoe UI" w:hAnsi="Segoe UI" w:cs="Segoe UI"/>
          <w:color w:val="525252" w:themeColor="accent3" w:themeShade="80"/>
          <w:sz w:val="20"/>
          <w:szCs w:val="20"/>
          <w:lang w:val="en-US"/>
        </w:rPr>
        <w:t>3.12 Stakeholders provide useful insights about</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matters that are important to them, including</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economic, environmental and social issues that</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also affect the ability of the organization to create</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value. These insights can assist the organization</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to:</w:t>
      </w:r>
    </w:p>
    <w:p w14:paraId="363BF027" w14:textId="77777777" w:rsidR="005E7D6A" w:rsidRPr="00D36126" w:rsidRDefault="005C3EDB" w:rsidP="00D36126">
      <w:pPr>
        <w:pStyle w:val="Paragrafoelenco"/>
        <w:numPr>
          <w:ilvl w:val="0"/>
          <w:numId w:val="25"/>
        </w:numPr>
        <w:tabs>
          <w:tab w:val="left" w:pos="851"/>
        </w:tabs>
        <w:autoSpaceDE w:val="0"/>
        <w:autoSpaceDN w:val="0"/>
        <w:adjustRightInd w:val="0"/>
        <w:spacing w:before="120" w:after="120" w:line="240" w:lineRule="auto"/>
        <w:ind w:left="851" w:right="282" w:hanging="284"/>
        <w:jc w:val="both"/>
        <w:rPr>
          <w:rFonts w:ascii="Segoe UI" w:hAnsi="Segoe UI" w:cs="Segoe UI"/>
          <w:color w:val="525252" w:themeColor="accent3" w:themeShade="80"/>
          <w:sz w:val="20"/>
          <w:szCs w:val="20"/>
        </w:rPr>
      </w:pPr>
      <w:r w:rsidRPr="00D36126">
        <w:rPr>
          <w:rFonts w:ascii="Segoe UI" w:hAnsi="Segoe UI" w:cs="Segoe UI"/>
          <w:color w:val="525252" w:themeColor="accent3" w:themeShade="80"/>
          <w:sz w:val="20"/>
          <w:szCs w:val="20"/>
        </w:rPr>
        <w:t>Understand how stakeholders perceive value</w:t>
      </w:r>
    </w:p>
    <w:p w14:paraId="332C506E" w14:textId="710496EB" w:rsidR="005C3EDB" w:rsidRPr="00D36126" w:rsidRDefault="005C3EDB" w:rsidP="00D36126">
      <w:pPr>
        <w:pStyle w:val="Paragrafoelenco"/>
        <w:numPr>
          <w:ilvl w:val="0"/>
          <w:numId w:val="25"/>
        </w:numPr>
        <w:tabs>
          <w:tab w:val="left" w:pos="851"/>
        </w:tabs>
        <w:autoSpaceDE w:val="0"/>
        <w:autoSpaceDN w:val="0"/>
        <w:adjustRightInd w:val="0"/>
        <w:spacing w:before="120" w:after="120" w:line="240" w:lineRule="auto"/>
        <w:ind w:left="851" w:right="282" w:hanging="284"/>
        <w:jc w:val="both"/>
        <w:rPr>
          <w:rFonts w:ascii="Segoe UI" w:hAnsi="Segoe UI" w:cs="Segoe UI"/>
          <w:color w:val="525252" w:themeColor="accent3" w:themeShade="80"/>
          <w:sz w:val="20"/>
          <w:szCs w:val="20"/>
          <w:lang w:val="en-US"/>
        </w:rPr>
      </w:pPr>
      <w:r w:rsidRPr="00D36126">
        <w:rPr>
          <w:rFonts w:ascii="Segoe UI" w:hAnsi="Segoe UI" w:cs="Segoe UI"/>
          <w:color w:val="525252" w:themeColor="accent3" w:themeShade="80"/>
          <w:sz w:val="20"/>
          <w:szCs w:val="20"/>
          <w:lang w:val="en-US"/>
        </w:rPr>
        <w:t>Identify trends that might not yet have come to</w:t>
      </w:r>
      <w:r w:rsidR="005E7D6A" w:rsidRPr="00D36126">
        <w:rPr>
          <w:rFonts w:ascii="Segoe UI" w:hAnsi="Segoe UI" w:cs="Segoe UI"/>
          <w:color w:val="525252" w:themeColor="accent3" w:themeShade="80"/>
          <w:sz w:val="20"/>
          <w:szCs w:val="20"/>
          <w:lang w:val="en-US"/>
        </w:rPr>
        <w:t xml:space="preserve"> </w:t>
      </w:r>
      <w:r w:rsidRPr="00D36126">
        <w:rPr>
          <w:rFonts w:ascii="Segoe UI" w:hAnsi="Segoe UI" w:cs="Segoe UI"/>
          <w:color w:val="525252" w:themeColor="accent3" w:themeShade="80"/>
          <w:sz w:val="20"/>
          <w:szCs w:val="20"/>
          <w:lang w:val="en-US"/>
        </w:rPr>
        <w:t>general attention, but which are rising in</w:t>
      </w:r>
      <w:r w:rsidR="005E7D6A" w:rsidRPr="00D36126">
        <w:rPr>
          <w:rFonts w:ascii="Segoe UI" w:hAnsi="Segoe UI" w:cs="Segoe UI"/>
          <w:color w:val="525252" w:themeColor="accent3" w:themeShade="80"/>
          <w:sz w:val="20"/>
          <w:szCs w:val="20"/>
          <w:lang w:val="en-US"/>
        </w:rPr>
        <w:t xml:space="preserve"> </w:t>
      </w:r>
      <w:r w:rsidRPr="00D36126">
        <w:rPr>
          <w:rFonts w:ascii="Segoe UI" w:hAnsi="Segoe UI" w:cs="Segoe UI"/>
          <w:color w:val="525252" w:themeColor="accent3" w:themeShade="80"/>
          <w:sz w:val="20"/>
          <w:szCs w:val="20"/>
          <w:lang w:val="en-US"/>
        </w:rPr>
        <w:t>significance</w:t>
      </w:r>
      <w:r w:rsidR="005E7D6A" w:rsidRPr="00D36126">
        <w:rPr>
          <w:rFonts w:ascii="Segoe UI" w:hAnsi="Segoe UI" w:cs="Segoe UI"/>
          <w:color w:val="525252" w:themeColor="accent3" w:themeShade="80"/>
          <w:sz w:val="20"/>
          <w:szCs w:val="20"/>
          <w:lang w:val="en-US"/>
        </w:rPr>
        <w:t xml:space="preserve"> [...]”.</w:t>
      </w:r>
    </w:p>
    <w:p w14:paraId="37DEF441" w14:textId="127D8CE8" w:rsidR="005E7D6A" w:rsidRPr="002E6836" w:rsidRDefault="005E7D6A" w:rsidP="002E6836">
      <w:pPr>
        <w:keepNext/>
        <w:keepLines/>
        <w:spacing w:before="120" w:after="120" w:line="240" w:lineRule="auto"/>
        <w:jc w:val="both"/>
        <w:rPr>
          <w:rFonts w:ascii="Segoe UI" w:hAnsi="Segoe UI" w:cs="Segoe UI"/>
        </w:rPr>
      </w:pPr>
      <w:r w:rsidRPr="002E6836">
        <w:rPr>
          <w:rFonts w:ascii="Segoe UI" w:hAnsi="Segoe UI" w:cs="Segoe UI"/>
        </w:rPr>
        <w:t>Nella versione italian</w:t>
      </w:r>
      <w:r w:rsidR="00C82249">
        <w:rPr>
          <w:rFonts w:ascii="Segoe UI" w:hAnsi="Segoe UI" w:cs="Segoe UI"/>
        </w:rPr>
        <w:t>a</w:t>
      </w:r>
      <w:r w:rsidRPr="002E6836">
        <w:rPr>
          <w:rFonts w:ascii="Segoe UI" w:hAnsi="Segoe UI" w:cs="Segoe UI"/>
        </w:rPr>
        <w:t xml:space="preserve"> tale proposizione è tradotta come segue:</w:t>
      </w:r>
    </w:p>
    <w:p w14:paraId="60E300A0" w14:textId="4673928D" w:rsidR="005C3EDB" w:rsidRPr="00D36126" w:rsidRDefault="00793CDE" w:rsidP="00D36126">
      <w:pPr>
        <w:keepNext/>
        <w:keepLines/>
        <w:spacing w:before="120" w:after="120" w:line="240" w:lineRule="auto"/>
        <w:ind w:left="284" w:right="282"/>
        <w:jc w:val="both"/>
        <w:rPr>
          <w:rFonts w:ascii="Segoe UI" w:hAnsi="Segoe UI" w:cs="Segoe UI"/>
          <w:color w:val="525252" w:themeColor="accent3" w:themeShade="80"/>
          <w:sz w:val="20"/>
          <w:szCs w:val="20"/>
          <w:lang w:val="en-US"/>
        </w:rPr>
      </w:pPr>
      <w:r w:rsidRPr="00B9065C">
        <w:rPr>
          <w:rFonts w:ascii="Segoe UI" w:hAnsi="Segoe UI" w:cs="Segoe UI"/>
          <w:color w:val="525252" w:themeColor="accent3" w:themeShade="80"/>
          <w:sz w:val="20"/>
          <w:szCs w:val="20"/>
        </w:rPr>
        <w:t>“</w:t>
      </w:r>
      <w:r w:rsidR="005C3EDB" w:rsidRPr="00B9065C">
        <w:rPr>
          <w:rFonts w:ascii="Segoe UI" w:hAnsi="Segoe UI" w:cs="Segoe UI"/>
          <w:color w:val="525252" w:themeColor="accent3" w:themeShade="80"/>
          <w:sz w:val="20"/>
          <w:szCs w:val="20"/>
        </w:rPr>
        <w:t>3.12 Gli stakeholder forniscono utili considerazioni sugli</w:t>
      </w:r>
      <w:r w:rsidR="005E7D6A" w:rsidRPr="00B9065C">
        <w:rPr>
          <w:rFonts w:ascii="Segoe UI" w:hAnsi="Segoe UI" w:cs="Segoe UI"/>
          <w:color w:val="525252" w:themeColor="accent3" w:themeShade="80"/>
          <w:sz w:val="20"/>
          <w:szCs w:val="20"/>
        </w:rPr>
        <w:t xml:space="preserve"> </w:t>
      </w:r>
      <w:r w:rsidR="005C3EDB" w:rsidRPr="00B9065C">
        <w:rPr>
          <w:rFonts w:ascii="Segoe UI" w:hAnsi="Segoe UI" w:cs="Segoe UI"/>
          <w:color w:val="525252" w:themeColor="accent3" w:themeShade="80"/>
          <w:sz w:val="20"/>
          <w:szCs w:val="20"/>
        </w:rPr>
        <w:t>aspetti che considerano importanti, tra questi i temi</w:t>
      </w:r>
      <w:r w:rsidR="005E7D6A" w:rsidRPr="00B9065C">
        <w:rPr>
          <w:rFonts w:ascii="Segoe UI" w:hAnsi="Segoe UI" w:cs="Segoe UI"/>
          <w:color w:val="525252" w:themeColor="accent3" w:themeShade="80"/>
          <w:sz w:val="20"/>
          <w:szCs w:val="20"/>
        </w:rPr>
        <w:t xml:space="preserve"> </w:t>
      </w:r>
      <w:r w:rsidR="005C3EDB" w:rsidRPr="00B9065C">
        <w:rPr>
          <w:rFonts w:ascii="Segoe UI" w:hAnsi="Segoe UI" w:cs="Segoe UI"/>
          <w:color w:val="525252" w:themeColor="accent3" w:themeShade="80"/>
          <w:sz w:val="20"/>
          <w:szCs w:val="20"/>
        </w:rPr>
        <w:t>economici, ambientali e sociali che influiscono anche</w:t>
      </w:r>
      <w:r w:rsidR="005E7D6A" w:rsidRPr="00B9065C">
        <w:rPr>
          <w:rFonts w:ascii="Segoe UI" w:hAnsi="Segoe UI" w:cs="Segoe UI"/>
          <w:color w:val="525252" w:themeColor="accent3" w:themeShade="80"/>
          <w:sz w:val="20"/>
          <w:szCs w:val="20"/>
        </w:rPr>
        <w:t xml:space="preserve"> </w:t>
      </w:r>
      <w:r w:rsidR="005C3EDB" w:rsidRPr="00B9065C">
        <w:rPr>
          <w:rFonts w:ascii="Segoe UI" w:hAnsi="Segoe UI" w:cs="Segoe UI"/>
          <w:color w:val="525252" w:themeColor="accent3" w:themeShade="80"/>
          <w:sz w:val="20"/>
          <w:szCs w:val="20"/>
        </w:rPr>
        <w:t>sulla capacità dell'organizzazione di creare valore.</w:t>
      </w:r>
      <w:r w:rsidR="005E7D6A" w:rsidRPr="00B9065C">
        <w:rPr>
          <w:rFonts w:ascii="Segoe UI" w:hAnsi="Segoe UI" w:cs="Segoe UI"/>
          <w:color w:val="525252" w:themeColor="accent3" w:themeShade="80"/>
          <w:sz w:val="20"/>
          <w:szCs w:val="20"/>
        </w:rPr>
        <w:t xml:space="preserve"> </w:t>
      </w:r>
      <w:r w:rsidR="005C3EDB" w:rsidRPr="00D36126">
        <w:rPr>
          <w:rFonts w:ascii="Segoe UI" w:hAnsi="Segoe UI" w:cs="Segoe UI"/>
          <w:color w:val="525252" w:themeColor="accent3" w:themeShade="80"/>
          <w:sz w:val="20"/>
          <w:szCs w:val="20"/>
          <w:lang w:val="en-US"/>
        </w:rPr>
        <w:t>Tali considerazioni possono aiutare l'organizzazione</w:t>
      </w:r>
      <w:r w:rsidR="005E7D6A"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a:</w:t>
      </w:r>
    </w:p>
    <w:p w14:paraId="286DBA61" w14:textId="71BCA771" w:rsidR="005E7D6A" w:rsidRPr="00B9065C" w:rsidRDefault="005C3EDB" w:rsidP="00D36126">
      <w:pPr>
        <w:pStyle w:val="Paragrafoelenco"/>
        <w:numPr>
          <w:ilvl w:val="0"/>
          <w:numId w:val="25"/>
        </w:numPr>
        <w:tabs>
          <w:tab w:val="left" w:pos="851"/>
        </w:tabs>
        <w:autoSpaceDE w:val="0"/>
        <w:autoSpaceDN w:val="0"/>
        <w:adjustRightInd w:val="0"/>
        <w:spacing w:before="120" w:after="120" w:line="240" w:lineRule="auto"/>
        <w:ind w:left="851" w:right="284" w:hanging="284"/>
        <w:jc w:val="both"/>
        <w:rPr>
          <w:rFonts w:ascii="Segoe UI" w:hAnsi="Segoe UI" w:cs="Segoe UI"/>
          <w:color w:val="525252" w:themeColor="accent3" w:themeShade="80"/>
          <w:sz w:val="20"/>
          <w:szCs w:val="20"/>
        </w:rPr>
      </w:pPr>
      <w:r w:rsidRPr="00B9065C">
        <w:rPr>
          <w:rFonts w:ascii="Segoe UI" w:hAnsi="Segoe UI" w:cs="Segoe UI"/>
          <w:color w:val="525252" w:themeColor="accent3" w:themeShade="80"/>
          <w:sz w:val="20"/>
          <w:szCs w:val="20"/>
        </w:rPr>
        <w:t>Comprendere il modo in cui gli stakeholder</w:t>
      </w:r>
      <w:r w:rsidR="005E7D6A" w:rsidRPr="00B9065C">
        <w:rPr>
          <w:rFonts w:ascii="Segoe UI" w:hAnsi="Segoe UI" w:cs="Segoe UI"/>
          <w:color w:val="525252" w:themeColor="accent3" w:themeShade="80"/>
          <w:sz w:val="20"/>
          <w:szCs w:val="20"/>
        </w:rPr>
        <w:t xml:space="preserve"> </w:t>
      </w:r>
      <w:r w:rsidRPr="00B9065C">
        <w:rPr>
          <w:rFonts w:ascii="Segoe UI" w:hAnsi="Segoe UI" w:cs="Segoe UI"/>
          <w:color w:val="525252" w:themeColor="accent3" w:themeShade="80"/>
          <w:sz w:val="20"/>
          <w:szCs w:val="20"/>
        </w:rPr>
        <w:t>percepiscono il valore</w:t>
      </w:r>
    </w:p>
    <w:p w14:paraId="2B0E1BA9" w14:textId="5BB0393B" w:rsidR="005C3EDB" w:rsidRPr="00B9065C" w:rsidRDefault="005C3EDB" w:rsidP="00D36126">
      <w:pPr>
        <w:pStyle w:val="Paragrafoelenco"/>
        <w:numPr>
          <w:ilvl w:val="0"/>
          <w:numId w:val="25"/>
        </w:numPr>
        <w:tabs>
          <w:tab w:val="left" w:pos="851"/>
        </w:tabs>
        <w:autoSpaceDE w:val="0"/>
        <w:autoSpaceDN w:val="0"/>
        <w:adjustRightInd w:val="0"/>
        <w:spacing w:before="120" w:after="120" w:line="240" w:lineRule="auto"/>
        <w:ind w:left="851" w:right="284" w:hanging="284"/>
        <w:jc w:val="both"/>
        <w:rPr>
          <w:rFonts w:ascii="Segoe UI" w:hAnsi="Segoe UI" w:cs="Segoe UI"/>
          <w:color w:val="525252" w:themeColor="accent3" w:themeShade="80"/>
          <w:sz w:val="20"/>
          <w:szCs w:val="20"/>
        </w:rPr>
      </w:pPr>
      <w:r w:rsidRPr="00B9065C">
        <w:rPr>
          <w:rFonts w:ascii="Segoe UI" w:hAnsi="Segoe UI" w:cs="Segoe UI"/>
          <w:color w:val="525252" w:themeColor="accent3" w:themeShade="80"/>
          <w:sz w:val="20"/>
          <w:szCs w:val="20"/>
        </w:rPr>
        <w:t>Identificare le tendenze che potrebbero non essere</w:t>
      </w:r>
      <w:r w:rsidR="005E7D6A" w:rsidRPr="00B9065C">
        <w:rPr>
          <w:rFonts w:ascii="Segoe UI" w:hAnsi="Segoe UI" w:cs="Segoe UI"/>
          <w:color w:val="525252" w:themeColor="accent3" w:themeShade="80"/>
          <w:sz w:val="20"/>
          <w:szCs w:val="20"/>
        </w:rPr>
        <w:t xml:space="preserve"> </w:t>
      </w:r>
      <w:r w:rsidRPr="00B9065C">
        <w:rPr>
          <w:rFonts w:ascii="Segoe UI" w:hAnsi="Segoe UI" w:cs="Segoe UI"/>
          <w:color w:val="525252" w:themeColor="accent3" w:themeShade="80"/>
          <w:sz w:val="20"/>
          <w:szCs w:val="20"/>
        </w:rPr>
        <w:t>ancora state portate all’attenzione generale ma che</w:t>
      </w:r>
      <w:r w:rsidR="005E7D6A" w:rsidRPr="00B9065C">
        <w:rPr>
          <w:rFonts w:ascii="Segoe UI" w:hAnsi="Segoe UI" w:cs="Segoe UI"/>
          <w:color w:val="525252" w:themeColor="accent3" w:themeShade="80"/>
          <w:sz w:val="20"/>
          <w:szCs w:val="20"/>
        </w:rPr>
        <w:t xml:space="preserve"> </w:t>
      </w:r>
      <w:r w:rsidRPr="00B9065C">
        <w:rPr>
          <w:rFonts w:ascii="Segoe UI" w:hAnsi="Segoe UI" w:cs="Segoe UI"/>
          <w:color w:val="525252" w:themeColor="accent3" w:themeShade="80"/>
          <w:sz w:val="20"/>
          <w:szCs w:val="20"/>
        </w:rPr>
        <w:t>stanno crescendo di importanza</w:t>
      </w:r>
      <w:r w:rsidR="005E7D6A" w:rsidRPr="00B9065C">
        <w:rPr>
          <w:rFonts w:ascii="Segoe UI" w:hAnsi="Segoe UI" w:cs="Segoe UI"/>
          <w:color w:val="525252" w:themeColor="accent3" w:themeShade="80"/>
          <w:sz w:val="20"/>
          <w:szCs w:val="20"/>
        </w:rPr>
        <w:t xml:space="preserve"> [...]”.</w:t>
      </w:r>
    </w:p>
    <w:p w14:paraId="7E6B74BD" w14:textId="3FCD17F0" w:rsidR="005C3EDB" w:rsidRDefault="00793CDE" w:rsidP="00A75F7E">
      <w:pPr>
        <w:keepNext/>
        <w:keepLines/>
        <w:spacing w:before="120" w:after="120" w:line="240" w:lineRule="auto"/>
        <w:jc w:val="both"/>
        <w:rPr>
          <w:rFonts w:ascii="Segoe UI" w:hAnsi="Segoe UI" w:cs="Segoe UI"/>
          <w:lang w:eastAsia="it-IT"/>
        </w:rPr>
      </w:pPr>
      <w:r w:rsidRPr="002E6836">
        <w:rPr>
          <w:rFonts w:ascii="Segoe UI" w:hAnsi="Segoe UI" w:cs="Segoe UI"/>
          <w:lang w:eastAsia="it-IT"/>
        </w:rPr>
        <w:t>Conclusione:</w:t>
      </w:r>
      <w:r w:rsidR="00A75F7E" w:rsidRPr="00A75F7E">
        <w:rPr>
          <w:rFonts w:ascii="Segoe UI" w:hAnsi="Segoe UI" w:cs="Segoe UI"/>
          <w:lang w:eastAsia="it-IT"/>
        </w:rPr>
        <w:t xml:space="preserve"> </w:t>
      </w:r>
      <w:r w:rsidR="00A75F7E" w:rsidRPr="002E6836">
        <w:rPr>
          <w:rFonts w:ascii="Segoe UI" w:hAnsi="Segoe UI" w:cs="Segoe UI"/>
          <w:lang w:eastAsia="it-IT"/>
        </w:rPr>
        <w:t>in questo caso</w:t>
      </w:r>
      <w:r w:rsidR="00A75F7E">
        <w:rPr>
          <w:rFonts w:ascii="Segoe UI" w:hAnsi="Segoe UI" w:cs="Segoe UI"/>
          <w:lang w:eastAsia="it-IT"/>
        </w:rPr>
        <w:t>, in cui</w:t>
      </w:r>
      <w:r w:rsidR="00A75F7E" w:rsidRPr="002E6836">
        <w:rPr>
          <w:rFonts w:ascii="Segoe UI" w:hAnsi="Segoe UI" w:cs="Segoe UI"/>
          <w:lang w:eastAsia="it-IT"/>
        </w:rPr>
        <w:t xml:space="preserve"> “</w:t>
      </w:r>
      <w:r w:rsidR="00A75F7E" w:rsidRPr="004121CF">
        <w:rPr>
          <w:rFonts w:ascii="Segoe UI" w:hAnsi="Segoe UI" w:cs="Segoe UI"/>
          <w:b/>
          <w:i/>
          <w:lang w:eastAsia="it-IT"/>
        </w:rPr>
        <w:t>significant</w:t>
      </w:r>
      <w:r w:rsidR="00A75F7E" w:rsidRPr="002E6836">
        <w:rPr>
          <w:rFonts w:ascii="Segoe UI" w:hAnsi="Segoe UI" w:cs="Segoe UI"/>
          <w:lang w:eastAsia="it-IT"/>
        </w:rPr>
        <w:t>” è tradotto “</w:t>
      </w:r>
      <w:r w:rsidR="00A75F7E" w:rsidRPr="004121CF">
        <w:rPr>
          <w:rFonts w:ascii="Segoe UI" w:hAnsi="Segoe UI" w:cs="Segoe UI"/>
          <w:b/>
          <w:lang w:eastAsia="it-IT"/>
        </w:rPr>
        <w:t>importante</w:t>
      </w:r>
      <w:r w:rsidR="00A75F7E" w:rsidRPr="002E6836">
        <w:rPr>
          <w:rFonts w:ascii="Segoe UI" w:hAnsi="Segoe UI" w:cs="Segoe UI"/>
          <w:lang w:eastAsia="it-IT"/>
        </w:rPr>
        <w:t>”</w:t>
      </w:r>
      <w:r w:rsidR="00A75F7E">
        <w:rPr>
          <w:rFonts w:ascii="Segoe UI" w:hAnsi="Segoe UI" w:cs="Segoe UI"/>
          <w:lang w:eastAsia="it-IT"/>
        </w:rPr>
        <w:t xml:space="preserve">, </w:t>
      </w:r>
      <w:r w:rsidRPr="002E6836">
        <w:rPr>
          <w:rFonts w:ascii="Segoe UI" w:hAnsi="Segoe UI" w:cs="Segoe UI"/>
          <w:lang w:eastAsia="it-IT"/>
        </w:rPr>
        <w:t>è del tutto evidente che il termine è utilizzato in modo assolutamente atecnico.</w:t>
      </w:r>
    </w:p>
    <w:p w14:paraId="55AB77E4" w14:textId="77777777" w:rsidR="00C63523" w:rsidRPr="002E6836" w:rsidRDefault="00C63523" w:rsidP="002E6836">
      <w:pPr>
        <w:spacing w:before="120" w:after="120" w:line="240" w:lineRule="auto"/>
        <w:jc w:val="both"/>
        <w:rPr>
          <w:rFonts w:ascii="Segoe UI" w:hAnsi="Segoe UI" w:cs="Segoe UI"/>
          <w:lang w:eastAsia="it-IT"/>
        </w:rPr>
      </w:pPr>
    </w:p>
    <w:p w14:paraId="34C93307" w14:textId="5E9308AF" w:rsidR="00A75F7E" w:rsidRPr="00515DA8" w:rsidRDefault="00A75F7E" w:rsidP="00A75F7E">
      <w:pPr>
        <w:keepNext/>
        <w:keepLines/>
        <w:spacing w:before="120" w:after="120" w:line="240" w:lineRule="auto"/>
        <w:jc w:val="both"/>
        <w:rPr>
          <w:rFonts w:ascii="Segoe UI" w:hAnsi="Segoe UI" w:cs="Segoe UI"/>
          <w:lang w:eastAsia="it-IT"/>
        </w:rPr>
      </w:pPr>
      <w:r w:rsidRPr="00515DA8">
        <w:rPr>
          <w:rFonts w:ascii="Segoe UI" w:hAnsi="Segoe UI" w:cs="Segoe UI"/>
          <w:lang w:eastAsia="it-IT"/>
        </w:rPr>
        <w:t>Traduzione</w:t>
      </w:r>
      <w:r w:rsidR="002A4D65" w:rsidRPr="00515DA8">
        <w:rPr>
          <w:rFonts w:ascii="Segoe UI" w:hAnsi="Segoe UI" w:cs="Segoe UI"/>
          <w:lang w:eastAsia="it-IT"/>
        </w:rPr>
        <w:t>:</w:t>
      </w:r>
      <w:r w:rsidRPr="00515DA8">
        <w:rPr>
          <w:rFonts w:ascii="Segoe UI" w:hAnsi="Segoe UI" w:cs="Segoe UI"/>
          <w:lang w:eastAsia="it-IT"/>
        </w:rPr>
        <w:t xml:space="preserve"> opzione 3 / </w:t>
      </w:r>
      <w:r w:rsidR="002A4D65" w:rsidRPr="00515DA8">
        <w:rPr>
          <w:rFonts w:ascii="Segoe UI" w:hAnsi="Segoe UI" w:cs="Segoe UI"/>
          <w:lang w:eastAsia="it-IT"/>
        </w:rPr>
        <w:t>A</w:t>
      </w:r>
      <w:r w:rsidRPr="00515DA8">
        <w:rPr>
          <w:rFonts w:ascii="Segoe UI" w:hAnsi="Segoe UI" w:cs="Segoe UI"/>
          <w:lang w:eastAsia="it-IT"/>
        </w:rPr>
        <w:t>ccezione</w:t>
      </w:r>
      <w:r w:rsidR="002A4D65" w:rsidRPr="00515DA8">
        <w:rPr>
          <w:rFonts w:ascii="Segoe UI" w:hAnsi="Segoe UI" w:cs="Segoe UI"/>
          <w:lang w:eastAsia="it-IT"/>
        </w:rPr>
        <w:t>: opzione</w:t>
      </w:r>
      <w:r w:rsidRPr="00515DA8">
        <w:rPr>
          <w:rFonts w:ascii="Segoe UI" w:hAnsi="Segoe UI" w:cs="Segoe UI"/>
          <w:lang w:eastAsia="it-IT"/>
        </w:rPr>
        <w:t xml:space="preserve"> </w:t>
      </w:r>
      <w:r w:rsidR="00B54DCC" w:rsidRPr="00515DA8">
        <w:rPr>
          <w:rFonts w:ascii="Segoe UI" w:hAnsi="Segoe UI" w:cs="Segoe UI"/>
          <w:lang w:eastAsia="it-IT"/>
        </w:rPr>
        <w:t>3</w:t>
      </w:r>
    </w:p>
    <w:p w14:paraId="76AE8814" w14:textId="44C09639" w:rsidR="00A75F7E" w:rsidRPr="00515DA8" w:rsidRDefault="00A75F7E" w:rsidP="00A75F7E">
      <w:pPr>
        <w:keepNext/>
        <w:keepLines/>
        <w:spacing w:before="120" w:after="120" w:line="240" w:lineRule="auto"/>
        <w:jc w:val="both"/>
        <w:rPr>
          <w:rFonts w:ascii="Segoe UI" w:hAnsi="Segoe UI" w:cs="Segoe UI"/>
          <w:lang w:eastAsia="it-IT"/>
        </w:rPr>
      </w:pPr>
      <w:r w:rsidRPr="00515DA8">
        <w:rPr>
          <w:rFonts w:ascii="Segoe UI" w:hAnsi="Segoe UI" w:cs="Segoe UI"/>
          <w:lang w:eastAsia="it-IT"/>
        </w:rPr>
        <w:t>Nel</w:t>
      </w:r>
      <w:r w:rsidR="00BE3069">
        <w:rPr>
          <w:rFonts w:ascii="Segoe UI" w:hAnsi="Segoe UI" w:cs="Segoe UI"/>
          <w:lang w:eastAsia="it-IT"/>
        </w:rPr>
        <w:t xml:space="preserve"> </w:t>
      </w:r>
      <w:r w:rsidRPr="00515DA8">
        <w:rPr>
          <w:rFonts w:ascii="Segoe UI" w:hAnsi="Segoe UI" w:cs="Segoe UI"/>
          <w:lang w:eastAsia="it-IT"/>
        </w:rPr>
        <w:t>capitolo “Content Elements</w:t>
      </w:r>
      <w:r w:rsidRPr="00515DA8">
        <w:rPr>
          <w:rFonts w:ascii="Segoe UI" w:hAnsi="Segoe UI" w:cs="Segoe UI"/>
        </w:rPr>
        <w:t xml:space="preserve">”, </w:t>
      </w:r>
      <w:r w:rsidRPr="00515DA8">
        <w:rPr>
          <w:rFonts w:ascii="Segoe UI" w:hAnsi="Segoe UI" w:cs="Segoe UI"/>
          <w:lang w:eastAsia="it-IT"/>
        </w:rPr>
        <w:t>sezione “External environment”</w:t>
      </w:r>
      <w:r w:rsidRPr="00515DA8">
        <w:rPr>
          <w:rFonts w:ascii="Segoe UI" w:hAnsi="Segoe UI" w:cs="Segoe UI"/>
        </w:rPr>
        <w:t>, del</w:t>
      </w:r>
      <w:r w:rsidRPr="00515DA8">
        <w:rPr>
          <w:rFonts w:ascii="Segoe UI" w:hAnsi="Segoe UI" w:cs="Segoe UI"/>
          <w:lang w:eastAsia="it-IT"/>
        </w:rPr>
        <w:t>l’</w:t>
      </w:r>
      <w:r w:rsidRPr="00515DA8">
        <w:rPr>
          <w:rFonts w:ascii="Segoe UI" w:hAnsi="Segoe UI" w:cs="Segoe UI"/>
          <w:i/>
          <w:lang w:eastAsia="it-IT"/>
        </w:rPr>
        <w:t>integrated report</w:t>
      </w:r>
      <w:r w:rsidRPr="00515DA8">
        <w:rPr>
          <w:rFonts w:ascii="Segoe UI" w:hAnsi="Segoe UI" w:cs="Segoe UI"/>
          <w:lang w:eastAsia="it-IT"/>
        </w:rPr>
        <w:t>, si legge:</w:t>
      </w:r>
    </w:p>
    <w:p w14:paraId="5808E56E" w14:textId="1601981A" w:rsidR="005C3EDB" w:rsidRPr="00D36126" w:rsidRDefault="00793CDE" w:rsidP="00D36126">
      <w:pPr>
        <w:spacing w:before="120" w:after="120" w:line="240" w:lineRule="auto"/>
        <w:ind w:left="284" w:right="282"/>
        <w:jc w:val="both"/>
        <w:rPr>
          <w:rFonts w:ascii="Segoe UI" w:hAnsi="Segoe UI" w:cs="Segoe UI"/>
          <w:color w:val="525252" w:themeColor="accent3" w:themeShade="80"/>
          <w:sz w:val="20"/>
          <w:szCs w:val="20"/>
          <w:lang w:val="en-US"/>
        </w:rPr>
      </w:pPr>
      <w:r w:rsidRPr="00D36126">
        <w:rPr>
          <w:rFonts w:ascii="Segoe UI" w:hAnsi="Segoe UI" w:cs="Segoe UI"/>
          <w:color w:val="525252" w:themeColor="accent3" w:themeShade="80"/>
          <w:sz w:val="20"/>
          <w:szCs w:val="20"/>
          <w:lang w:val="en-US"/>
        </w:rPr>
        <w:t>“</w:t>
      </w:r>
      <w:r w:rsidR="005C3EDB" w:rsidRPr="00D36126">
        <w:rPr>
          <w:rFonts w:ascii="Segoe UI" w:hAnsi="Segoe UI" w:cs="Segoe UI"/>
          <w:color w:val="525252" w:themeColor="accent3" w:themeShade="80"/>
          <w:sz w:val="20"/>
          <w:szCs w:val="20"/>
          <w:lang w:val="en-US"/>
        </w:rPr>
        <w:t>4.6 Significant factors affecting the external</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environment include aspects of the legal,</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commercial, social, environmental and political</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context that affect the organization’s ability to</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create value in the short, medium or long term.</w:t>
      </w:r>
      <w:r w:rsidRPr="00D36126">
        <w:rPr>
          <w:rFonts w:ascii="Segoe UI" w:hAnsi="Segoe UI" w:cs="Segoe UI"/>
          <w:color w:val="525252" w:themeColor="accent3" w:themeShade="80"/>
          <w:sz w:val="20"/>
          <w:szCs w:val="20"/>
          <w:lang w:val="en-US"/>
        </w:rPr>
        <w:t>”.</w:t>
      </w:r>
    </w:p>
    <w:p w14:paraId="640EB2BA" w14:textId="21FAB8EC" w:rsidR="005C3EDB" w:rsidRPr="002E6836" w:rsidRDefault="00793CDE" w:rsidP="002E6836">
      <w:pPr>
        <w:keepNext/>
        <w:keepLines/>
        <w:spacing w:before="120" w:after="120" w:line="240" w:lineRule="auto"/>
        <w:jc w:val="both"/>
        <w:rPr>
          <w:rFonts w:ascii="Segoe UI" w:hAnsi="Segoe UI" w:cs="Segoe UI"/>
          <w:lang w:eastAsia="it-IT"/>
        </w:rPr>
      </w:pPr>
      <w:r w:rsidRPr="002E6836">
        <w:rPr>
          <w:rFonts w:ascii="Segoe UI" w:hAnsi="Segoe UI" w:cs="Segoe UI"/>
        </w:rPr>
        <w:t>Nella versione in italiano tale proposizione è tradotta come segue:</w:t>
      </w:r>
    </w:p>
    <w:p w14:paraId="70AEC73B" w14:textId="3ED8F180" w:rsidR="005C3EDB" w:rsidRPr="00B9065C" w:rsidRDefault="00793CDE" w:rsidP="00D36126">
      <w:pPr>
        <w:spacing w:before="120" w:after="120" w:line="240" w:lineRule="auto"/>
        <w:ind w:left="284" w:right="282"/>
        <w:jc w:val="both"/>
        <w:rPr>
          <w:rFonts w:ascii="Segoe UI" w:hAnsi="Segoe UI" w:cs="Segoe UI"/>
          <w:color w:val="525252" w:themeColor="accent3" w:themeShade="80"/>
          <w:sz w:val="20"/>
          <w:szCs w:val="20"/>
        </w:rPr>
      </w:pPr>
      <w:r w:rsidRPr="00B9065C">
        <w:rPr>
          <w:rFonts w:ascii="Segoe UI" w:hAnsi="Segoe UI" w:cs="Segoe UI"/>
          <w:color w:val="525252" w:themeColor="accent3" w:themeShade="80"/>
          <w:sz w:val="20"/>
          <w:szCs w:val="20"/>
        </w:rPr>
        <w:t>“</w:t>
      </w:r>
      <w:r w:rsidR="005C3EDB" w:rsidRPr="00B9065C">
        <w:rPr>
          <w:rFonts w:ascii="Segoe UI" w:hAnsi="Segoe UI" w:cs="Segoe UI"/>
          <w:color w:val="525252" w:themeColor="accent3" w:themeShade="80"/>
          <w:sz w:val="20"/>
          <w:szCs w:val="20"/>
        </w:rPr>
        <w:t>4.6 I fattori principali che influiscono sull'ambiente esterno</w:t>
      </w:r>
      <w:r w:rsidRPr="00B9065C">
        <w:rPr>
          <w:rFonts w:ascii="Segoe UI" w:hAnsi="Segoe UI" w:cs="Segoe UI"/>
          <w:color w:val="525252" w:themeColor="accent3" w:themeShade="80"/>
          <w:sz w:val="20"/>
          <w:szCs w:val="20"/>
        </w:rPr>
        <w:t xml:space="preserve"> </w:t>
      </w:r>
      <w:r w:rsidR="005C3EDB" w:rsidRPr="00B9065C">
        <w:rPr>
          <w:rFonts w:ascii="Segoe UI" w:hAnsi="Segoe UI" w:cs="Segoe UI"/>
          <w:color w:val="525252" w:themeColor="accent3" w:themeShade="80"/>
          <w:sz w:val="20"/>
          <w:szCs w:val="20"/>
        </w:rPr>
        <w:t>includono aspetti del contesto legale, commerciale,</w:t>
      </w:r>
      <w:r w:rsidRPr="00B9065C">
        <w:rPr>
          <w:rFonts w:ascii="Segoe UI" w:hAnsi="Segoe UI" w:cs="Segoe UI"/>
          <w:color w:val="525252" w:themeColor="accent3" w:themeShade="80"/>
          <w:sz w:val="20"/>
          <w:szCs w:val="20"/>
        </w:rPr>
        <w:t xml:space="preserve"> </w:t>
      </w:r>
      <w:r w:rsidR="005C3EDB" w:rsidRPr="00B9065C">
        <w:rPr>
          <w:rFonts w:ascii="Segoe UI" w:hAnsi="Segoe UI" w:cs="Segoe UI"/>
          <w:color w:val="525252" w:themeColor="accent3" w:themeShade="80"/>
          <w:sz w:val="20"/>
          <w:szCs w:val="20"/>
        </w:rPr>
        <w:t>sociale, ambientale e politico che influenzano la</w:t>
      </w:r>
      <w:r w:rsidRPr="00B9065C">
        <w:rPr>
          <w:rFonts w:ascii="Segoe UI" w:hAnsi="Segoe UI" w:cs="Segoe UI"/>
          <w:color w:val="525252" w:themeColor="accent3" w:themeShade="80"/>
          <w:sz w:val="20"/>
          <w:szCs w:val="20"/>
        </w:rPr>
        <w:t xml:space="preserve"> </w:t>
      </w:r>
      <w:r w:rsidR="005C3EDB" w:rsidRPr="00B9065C">
        <w:rPr>
          <w:rFonts w:ascii="Segoe UI" w:hAnsi="Segoe UI" w:cs="Segoe UI"/>
          <w:color w:val="525252" w:themeColor="accent3" w:themeShade="80"/>
          <w:sz w:val="20"/>
          <w:szCs w:val="20"/>
        </w:rPr>
        <w:t>capacità di un'organizzazione di creare valore nel</w:t>
      </w:r>
      <w:r w:rsidRPr="00B9065C">
        <w:rPr>
          <w:rFonts w:ascii="Segoe UI" w:hAnsi="Segoe UI" w:cs="Segoe UI"/>
          <w:color w:val="525252" w:themeColor="accent3" w:themeShade="80"/>
          <w:sz w:val="20"/>
          <w:szCs w:val="20"/>
        </w:rPr>
        <w:t xml:space="preserve"> </w:t>
      </w:r>
      <w:r w:rsidR="005C3EDB" w:rsidRPr="00B9065C">
        <w:rPr>
          <w:rFonts w:ascii="Segoe UI" w:hAnsi="Segoe UI" w:cs="Segoe UI"/>
          <w:color w:val="525252" w:themeColor="accent3" w:themeShade="80"/>
          <w:sz w:val="20"/>
          <w:szCs w:val="20"/>
        </w:rPr>
        <w:t>breve, medio e lungo termine.</w:t>
      </w:r>
      <w:r w:rsidRPr="00B9065C">
        <w:rPr>
          <w:rFonts w:ascii="Segoe UI" w:hAnsi="Segoe UI" w:cs="Segoe UI"/>
          <w:color w:val="525252" w:themeColor="accent3" w:themeShade="80"/>
          <w:sz w:val="20"/>
          <w:szCs w:val="20"/>
        </w:rPr>
        <w:t>”.</w:t>
      </w:r>
    </w:p>
    <w:p w14:paraId="7433D296" w14:textId="47A22DA5" w:rsidR="005C3EDB" w:rsidRPr="002E6836" w:rsidRDefault="002612E7" w:rsidP="00D36126">
      <w:pPr>
        <w:autoSpaceDE w:val="0"/>
        <w:autoSpaceDN w:val="0"/>
        <w:adjustRightInd w:val="0"/>
        <w:spacing w:before="120" w:after="120" w:line="240" w:lineRule="auto"/>
        <w:jc w:val="both"/>
        <w:rPr>
          <w:rFonts w:ascii="Segoe UI" w:hAnsi="Segoe UI" w:cs="Segoe UI"/>
          <w:lang w:eastAsia="it-IT"/>
        </w:rPr>
      </w:pPr>
      <w:r w:rsidRPr="002E6836">
        <w:rPr>
          <w:rFonts w:ascii="Segoe UI" w:hAnsi="Segoe UI" w:cs="Segoe UI"/>
          <w:lang w:eastAsia="it-IT"/>
        </w:rPr>
        <w:t xml:space="preserve">Conclusione: in questo caso, </w:t>
      </w:r>
      <w:r w:rsidR="00A75F7E">
        <w:rPr>
          <w:rFonts w:ascii="Segoe UI" w:hAnsi="Segoe UI" w:cs="Segoe UI"/>
          <w:lang w:eastAsia="it-IT"/>
        </w:rPr>
        <w:t>in cui</w:t>
      </w:r>
      <w:r w:rsidR="00A75F7E" w:rsidRPr="002E6836">
        <w:rPr>
          <w:rFonts w:ascii="Segoe UI" w:hAnsi="Segoe UI" w:cs="Segoe UI"/>
          <w:lang w:eastAsia="it-IT"/>
        </w:rPr>
        <w:t xml:space="preserve"> “</w:t>
      </w:r>
      <w:r w:rsidR="00A75F7E" w:rsidRPr="004121CF">
        <w:rPr>
          <w:rFonts w:ascii="Segoe UI" w:hAnsi="Segoe UI" w:cs="Segoe UI"/>
          <w:b/>
          <w:i/>
          <w:lang w:eastAsia="it-IT"/>
        </w:rPr>
        <w:t>significant</w:t>
      </w:r>
      <w:r w:rsidR="00A75F7E" w:rsidRPr="002E6836">
        <w:rPr>
          <w:rFonts w:ascii="Segoe UI" w:hAnsi="Segoe UI" w:cs="Segoe UI"/>
          <w:lang w:eastAsia="it-IT"/>
        </w:rPr>
        <w:t>” è tradotto “</w:t>
      </w:r>
      <w:r w:rsidR="00A75F7E" w:rsidRPr="004121CF">
        <w:rPr>
          <w:rFonts w:ascii="Segoe UI" w:hAnsi="Segoe UI" w:cs="Segoe UI"/>
          <w:b/>
          <w:lang w:eastAsia="it-IT"/>
        </w:rPr>
        <w:t>principale</w:t>
      </w:r>
      <w:r w:rsidR="00A75F7E" w:rsidRPr="002E6836">
        <w:rPr>
          <w:rFonts w:ascii="Segoe UI" w:hAnsi="Segoe UI" w:cs="Segoe UI"/>
          <w:lang w:eastAsia="it-IT"/>
        </w:rPr>
        <w:t>”</w:t>
      </w:r>
      <w:r w:rsidR="00A75F7E">
        <w:rPr>
          <w:rFonts w:ascii="Segoe UI" w:hAnsi="Segoe UI" w:cs="Segoe UI"/>
          <w:lang w:eastAsia="it-IT"/>
        </w:rPr>
        <w:t xml:space="preserve">, </w:t>
      </w:r>
      <w:r w:rsidRPr="002E6836">
        <w:rPr>
          <w:rFonts w:ascii="Segoe UI" w:hAnsi="Segoe UI" w:cs="Segoe UI"/>
          <w:lang w:eastAsia="it-IT"/>
        </w:rPr>
        <w:t xml:space="preserve">al contrario dell’esempio precedente, </w:t>
      </w:r>
      <w:r w:rsidR="00C07BBB" w:rsidRPr="002E6836">
        <w:rPr>
          <w:rFonts w:ascii="Segoe UI" w:hAnsi="Segoe UI" w:cs="Segoe UI"/>
          <w:lang w:eastAsia="it-IT"/>
        </w:rPr>
        <w:t>sebbene non ci si riferisca alle informazioni bensì ai fattori che influiscono sull’ambiente esterno, come si vede il termine è adottato nell’ambito di un processo teso a determinare la “materia</w:t>
      </w:r>
      <w:r w:rsidR="00087EAA" w:rsidRPr="002E6836">
        <w:rPr>
          <w:rFonts w:ascii="Segoe UI" w:hAnsi="Segoe UI" w:cs="Segoe UI"/>
          <w:lang w:eastAsia="it-IT"/>
        </w:rPr>
        <w:t>l</w:t>
      </w:r>
      <w:r w:rsidR="00C07BBB" w:rsidRPr="002E6836">
        <w:rPr>
          <w:rFonts w:ascii="Segoe UI" w:hAnsi="Segoe UI" w:cs="Segoe UI"/>
          <w:lang w:eastAsia="it-IT"/>
        </w:rPr>
        <w:t>ità” delle circostanze che, come vedremo, secondo l’esplicita defin</w:t>
      </w:r>
      <w:r w:rsidR="00087EAA" w:rsidRPr="002E6836">
        <w:rPr>
          <w:rFonts w:ascii="Segoe UI" w:hAnsi="Segoe UI" w:cs="Segoe UI"/>
          <w:lang w:eastAsia="it-IT"/>
        </w:rPr>
        <w:t>i</w:t>
      </w:r>
      <w:r w:rsidR="00C07BBB" w:rsidRPr="002E6836">
        <w:rPr>
          <w:rFonts w:ascii="Segoe UI" w:hAnsi="Segoe UI" w:cs="Segoe UI"/>
          <w:lang w:eastAsia="it-IT"/>
        </w:rPr>
        <w:t>zio</w:t>
      </w:r>
      <w:r w:rsidR="00087EAA" w:rsidRPr="002E6836">
        <w:rPr>
          <w:rFonts w:ascii="Segoe UI" w:hAnsi="Segoe UI" w:cs="Segoe UI"/>
          <w:lang w:eastAsia="it-IT"/>
        </w:rPr>
        <w:t>n</w:t>
      </w:r>
      <w:r w:rsidR="00C07BBB" w:rsidRPr="002E6836">
        <w:rPr>
          <w:rFonts w:ascii="Segoe UI" w:hAnsi="Segoe UI" w:cs="Segoe UI"/>
          <w:lang w:eastAsia="it-IT"/>
        </w:rPr>
        <w:t>e dell’IIRC, è proprio connessa alla cap</w:t>
      </w:r>
      <w:r w:rsidR="00087EAA" w:rsidRPr="002E6836">
        <w:rPr>
          <w:rFonts w:ascii="Segoe UI" w:hAnsi="Segoe UI" w:cs="Segoe UI"/>
          <w:lang w:eastAsia="it-IT"/>
        </w:rPr>
        <w:t>a</w:t>
      </w:r>
      <w:r w:rsidR="00C07BBB" w:rsidRPr="002E6836">
        <w:rPr>
          <w:rFonts w:ascii="Segoe UI" w:hAnsi="Segoe UI" w:cs="Segoe UI"/>
          <w:lang w:eastAsia="it-IT"/>
        </w:rPr>
        <w:t>c</w:t>
      </w:r>
      <w:r w:rsidR="00087EAA" w:rsidRPr="002E6836">
        <w:rPr>
          <w:rFonts w:ascii="Segoe UI" w:hAnsi="Segoe UI" w:cs="Segoe UI"/>
          <w:lang w:eastAsia="it-IT"/>
        </w:rPr>
        <w:t>i</w:t>
      </w:r>
      <w:r w:rsidR="00C07BBB" w:rsidRPr="002E6836">
        <w:rPr>
          <w:rFonts w:ascii="Segoe UI" w:hAnsi="Segoe UI" w:cs="Segoe UI"/>
          <w:lang w:eastAsia="it-IT"/>
        </w:rPr>
        <w:t>tà dell’org</w:t>
      </w:r>
      <w:r w:rsidR="00087EAA" w:rsidRPr="002E6836">
        <w:rPr>
          <w:rFonts w:ascii="Segoe UI" w:hAnsi="Segoe UI" w:cs="Segoe UI"/>
          <w:lang w:eastAsia="it-IT"/>
        </w:rPr>
        <w:t>a</w:t>
      </w:r>
      <w:r w:rsidR="00C07BBB" w:rsidRPr="002E6836">
        <w:rPr>
          <w:rFonts w:ascii="Segoe UI" w:hAnsi="Segoe UI" w:cs="Segoe UI"/>
          <w:lang w:eastAsia="it-IT"/>
        </w:rPr>
        <w:t>nizza</w:t>
      </w:r>
      <w:r w:rsidR="00087EAA" w:rsidRPr="002E6836">
        <w:rPr>
          <w:rFonts w:ascii="Segoe UI" w:hAnsi="Segoe UI" w:cs="Segoe UI"/>
          <w:lang w:eastAsia="it-IT"/>
        </w:rPr>
        <w:t>z</w:t>
      </w:r>
      <w:r w:rsidR="00C07BBB" w:rsidRPr="002E6836">
        <w:rPr>
          <w:rFonts w:ascii="Segoe UI" w:hAnsi="Segoe UI" w:cs="Segoe UI"/>
          <w:lang w:eastAsia="it-IT"/>
        </w:rPr>
        <w:t>ione di creare valore nel breve, medio e lungo termine.</w:t>
      </w:r>
    </w:p>
    <w:p w14:paraId="0C219BB2" w14:textId="77777777" w:rsidR="00221C1F" w:rsidRDefault="00221C1F" w:rsidP="002E6836">
      <w:pPr>
        <w:spacing w:before="120" w:after="120" w:line="240" w:lineRule="auto"/>
        <w:jc w:val="both"/>
        <w:rPr>
          <w:rFonts w:ascii="Segoe UI" w:hAnsi="Segoe UI" w:cs="Segoe UI"/>
          <w:lang w:eastAsia="it-IT"/>
        </w:rPr>
      </w:pPr>
    </w:p>
    <w:p w14:paraId="4FDA65CE" w14:textId="5039815A" w:rsidR="00B54DCC" w:rsidRDefault="00B54DCC" w:rsidP="00B54DCC">
      <w:pPr>
        <w:keepNext/>
        <w:keepLines/>
        <w:spacing w:before="120" w:after="120" w:line="240" w:lineRule="auto"/>
        <w:jc w:val="both"/>
        <w:rPr>
          <w:rFonts w:ascii="Segoe UI" w:hAnsi="Segoe UI" w:cs="Segoe UI"/>
          <w:lang w:eastAsia="it-IT"/>
        </w:rPr>
      </w:pPr>
      <w:r>
        <w:rPr>
          <w:rFonts w:ascii="Segoe UI" w:hAnsi="Segoe UI" w:cs="Segoe UI"/>
          <w:lang w:eastAsia="it-IT"/>
        </w:rPr>
        <w:t>Traduzione</w:t>
      </w:r>
      <w:r w:rsidR="002A4D65">
        <w:rPr>
          <w:rFonts w:ascii="Segoe UI" w:hAnsi="Segoe UI" w:cs="Segoe UI"/>
          <w:lang w:eastAsia="it-IT"/>
        </w:rPr>
        <w:t>:</w:t>
      </w:r>
      <w:r>
        <w:rPr>
          <w:rFonts w:ascii="Segoe UI" w:hAnsi="Segoe UI" w:cs="Segoe UI"/>
          <w:lang w:eastAsia="it-IT"/>
        </w:rPr>
        <w:t xml:space="preserve"> opzione 4 / </w:t>
      </w:r>
      <w:r w:rsidR="002A4D65">
        <w:rPr>
          <w:rFonts w:ascii="Segoe UI" w:hAnsi="Segoe UI" w:cs="Segoe UI"/>
          <w:lang w:eastAsia="it-IT"/>
        </w:rPr>
        <w:t>A</w:t>
      </w:r>
      <w:r>
        <w:rPr>
          <w:rFonts w:ascii="Segoe UI" w:hAnsi="Segoe UI" w:cs="Segoe UI"/>
          <w:lang w:eastAsia="it-IT"/>
        </w:rPr>
        <w:t>ccezione</w:t>
      </w:r>
      <w:r w:rsidR="002A4D65">
        <w:rPr>
          <w:rFonts w:ascii="Segoe UI" w:hAnsi="Segoe UI" w:cs="Segoe UI"/>
          <w:lang w:eastAsia="it-IT"/>
        </w:rPr>
        <w:t xml:space="preserve">: opzione </w:t>
      </w:r>
      <w:r w:rsidR="0080248C">
        <w:rPr>
          <w:rFonts w:ascii="Segoe UI" w:hAnsi="Segoe UI" w:cs="Segoe UI"/>
          <w:lang w:eastAsia="it-IT"/>
        </w:rPr>
        <w:t>ambigua</w:t>
      </w:r>
    </w:p>
    <w:p w14:paraId="2125BA60" w14:textId="4C1ADD86" w:rsidR="00B54DCC" w:rsidRPr="00B54DCC" w:rsidRDefault="008A1C4E" w:rsidP="00B54DCC">
      <w:pPr>
        <w:keepNext/>
        <w:keepLines/>
        <w:spacing w:before="120" w:after="120" w:line="240" w:lineRule="auto"/>
        <w:jc w:val="both"/>
        <w:rPr>
          <w:rFonts w:ascii="Segoe UI" w:hAnsi="Segoe UI" w:cs="Segoe UI"/>
          <w:lang w:eastAsia="it-IT"/>
        </w:rPr>
      </w:pPr>
      <w:r w:rsidRPr="002E6836">
        <w:rPr>
          <w:rFonts w:ascii="Segoe UI" w:hAnsi="Segoe UI" w:cs="Segoe UI"/>
          <w:lang w:eastAsia="it-IT"/>
        </w:rPr>
        <w:t xml:space="preserve">Infine, </w:t>
      </w:r>
      <w:r w:rsidR="00B54DCC">
        <w:rPr>
          <w:rFonts w:ascii="Segoe UI" w:hAnsi="Segoe UI" w:cs="Segoe UI"/>
          <w:lang w:eastAsia="it-IT"/>
        </w:rPr>
        <w:t>sempre n</w:t>
      </w:r>
      <w:r w:rsidR="00B54DCC" w:rsidRPr="00B54DCC">
        <w:rPr>
          <w:rFonts w:ascii="Segoe UI" w:hAnsi="Segoe UI" w:cs="Segoe UI"/>
          <w:lang w:eastAsia="it-IT"/>
        </w:rPr>
        <w:t>el capitolo “Content Elements</w:t>
      </w:r>
      <w:r w:rsidR="00B54DCC" w:rsidRPr="00B54DCC">
        <w:rPr>
          <w:rFonts w:ascii="Segoe UI" w:hAnsi="Segoe UI" w:cs="Segoe UI"/>
        </w:rPr>
        <w:t xml:space="preserve">”, </w:t>
      </w:r>
      <w:r w:rsidR="00B54DCC" w:rsidRPr="00B54DCC">
        <w:rPr>
          <w:rFonts w:ascii="Segoe UI" w:hAnsi="Segoe UI" w:cs="Segoe UI"/>
          <w:lang w:eastAsia="it-IT"/>
        </w:rPr>
        <w:t>sezione “Disclosures about the capitals””, dell’</w:t>
      </w:r>
      <w:r w:rsidR="00B54DCC" w:rsidRPr="00B54DCC">
        <w:rPr>
          <w:rFonts w:ascii="Segoe UI" w:hAnsi="Segoe UI" w:cs="Segoe UI"/>
          <w:i/>
          <w:lang w:eastAsia="it-IT"/>
        </w:rPr>
        <w:t>integrated report</w:t>
      </w:r>
      <w:r w:rsidR="00B54DCC" w:rsidRPr="00B54DCC">
        <w:rPr>
          <w:rFonts w:ascii="Segoe UI" w:hAnsi="Segoe UI" w:cs="Segoe UI"/>
          <w:lang w:eastAsia="it-IT"/>
        </w:rPr>
        <w:t xml:space="preserve">, </w:t>
      </w:r>
      <w:r w:rsidR="00B54DCC" w:rsidRPr="002E6836">
        <w:rPr>
          <w:rFonts w:ascii="Segoe UI" w:hAnsi="Segoe UI" w:cs="Segoe UI"/>
          <w:lang w:eastAsia="it-IT"/>
        </w:rPr>
        <w:t>si p</w:t>
      </w:r>
      <w:r w:rsidR="005B6A01">
        <w:rPr>
          <w:rFonts w:ascii="Segoe UI" w:hAnsi="Segoe UI" w:cs="Segoe UI"/>
          <w:lang w:eastAsia="it-IT"/>
        </w:rPr>
        <w:t>u</w:t>
      </w:r>
      <w:r w:rsidR="00B54DCC" w:rsidRPr="002E6836">
        <w:rPr>
          <w:rFonts w:ascii="Segoe UI" w:hAnsi="Segoe UI" w:cs="Segoe UI"/>
          <w:lang w:eastAsia="it-IT"/>
        </w:rPr>
        <w:t>ò notare come purtroppo, nonostante la massima attenzione possibile e la competenza dei redattori, in ogni contesto, anche il più tecnico, è possibile incorrere in approssimazioni tali da inibire la chiarezza dell’esposizione, riducendo di conseguenza la possibilità di una corretta comprensione del testo:</w:t>
      </w:r>
    </w:p>
    <w:p w14:paraId="3678E807" w14:textId="4E03ADC2" w:rsidR="005C3EDB" w:rsidRPr="00D36126" w:rsidRDefault="008A1C4E" w:rsidP="00D36126">
      <w:pPr>
        <w:spacing w:before="120" w:after="120" w:line="240" w:lineRule="auto"/>
        <w:ind w:left="284" w:right="282"/>
        <w:jc w:val="both"/>
        <w:rPr>
          <w:rFonts w:ascii="Segoe UI" w:hAnsi="Segoe UI" w:cs="Segoe UI"/>
          <w:color w:val="525252" w:themeColor="accent3" w:themeShade="80"/>
          <w:sz w:val="20"/>
          <w:szCs w:val="20"/>
          <w:lang w:val="en-US"/>
        </w:rPr>
      </w:pPr>
      <w:r w:rsidRPr="00D36126">
        <w:rPr>
          <w:rFonts w:ascii="Segoe UI" w:hAnsi="Segoe UI" w:cs="Segoe UI"/>
          <w:color w:val="525252" w:themeColor="accent3" w:themeShade="80"/>
          <w:sz w:val="20"/>
          <w:szCs w:val="20"/>
          <w:lang w:val="en-US"/>
        </w:rPr>
        <w:t>“</w:t>
      </w:r>
      <w:r w:rsidR="005C3EDB" w:rsidRPr="00D36126">
        <w:rPr>
          <w:rFonts w:ascii="Segoe UI" w:hAnsi="Segoe UI" w:cs="Segoe UI"/>
          <w:color w:val="525252" w:themeColor="accent3" w:themeShade="80"/>
          <w:sz w:val="20"/>
          <w:szCs w:val="20"/>
          <w:lang w:val="en-US"/>
        </w:rPr>
        <w:t>4.55 When it is not practicable or meaningful to</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quantify significant movements in the capitals,</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qualitative disclosures are made to explain</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changes in the availability, quality or</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affordability of capitals as business inputs and</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how the organization increases, decreases or</w:t>
      </w:r>
      <w:r w:rsidRPr="00D36126">
        <w:rPr>
          <w:rFonts w:ascii="Segoe UI" w:hAnsi="Segoe UI" w:cs="Segoe UI"/>
          <w:color w:val="525252" w:themeColor="accent3" w:themeShade="80"/>
          <w:sz w:val="20"/>
          <w:szCs w:val="20"/>
          <w:lang w:val="en-US"/>
        </w:rPr>
        <w:t xml:space="preserve"> </w:t>
      </w:r>
      <w:r w:rsidR="005C3EDB" w:rsidRPr="00D36126">
        <w:rPr>
          <w:rFonts w:ascii="Segoe UI" w:hAnsi="Segoe UI" w:cs="Segoe UI"/>
          <w:color w:val="525252" w:themeColor="accent3" w:themeShade="80"/>
          <w:sz w:val="20"/>
          <w:szCs w:val="20"/>
          <w:lang w:val="en-US"/>
        </w:rPr>
        <w:t>transforms them.</w:t>
      </w:r>
      <w:r w:rsidRPr="00D36126">
        <w:rPr>
          <w:rFonts w:ascii="Segoe UI" w:hAnsi="Segoe UI" w:cs="Segoe UI"/>
          <w:color w:val="525252" w:themeColor="accent3" w:themeShade="80"/>
          <w:sz w:val="20"/>
          <w:szCs w:val="20"/>
          <w:lang w:val="en-US"/>
        </w:rPr>
        <w:t>”.</w:t>
      </w:r>
    </w:p>
    <w:p w14:paraId="6B652561" w14:textId="3A53FA08" w:rsidR="008A1C4E" w:rsidRPr="002E6836" w:rsidRDefault="008A1C4E" w:rsidP="002E6836">
      <w:pPr>
        <w:keepNext/>
        <w:keepLines/>
        <w:spacing w:before="120" w:after="120" w:line="240" w:lineRule="auto"/>
        <w:jc w:val="both"/>
        <w:rPr>
          <w:rFonts w:ascii="Segoe UI" w:hAnsi="Segoe UI" w:cs="Segoe UI"/>
          <w:lang w:eastAsia="it-IT"/>
        </w:rPr>
      </w:pPr>
      <w:r w:rsidRPr="002E6836">
        <w:rPr>
          <w:rFonts w:ascii="Segoe UI" w:hAnsi="Segoe UI" w:cs="Segoe UI"/>
        </w:rPr>
        <w:t>Nella versione italian</w:t>
      </w:r>
      <w:r w:rsidR="00EE55F4">
        <w:rPr>
          <w:rFonts w:ascii="Segoe UI" w:hAnsi="Segoe UI" w:cs="Segoe UI"/>
        </w:rPr>
        <w:t>a</w:t>
      </w:r>
      <w:r w:rsidRPr="002E6836">
        <w:rPr>
          <w:rFonts w:ascii="Segoe UI" w:hAnsi="Segoe UI" w:cs="Segoe UI"/>
        </w:rPr>
        <w:t xml:space="preserve"> tale proposizione è tradotta come segue:</w:t>
      </w:r>
    </w:p>
    <w:p w14:paraId="53E41497" w14:textId="175F6391" w:rsidR="005C3EDB" w:rsidRPr="00B9065C" w:rsidRDefault="008A1C4E" w:rsidP="00D36126">
      <w:pPr>
        <w:spacing w:before="120" w:after="120" w:line="240" w:lineRule="auto"/>
        <w:ind w:left="284" w:right="282"/>
        <w:jc w:val="both"/>
        <w:rPr>
          <w:rFonts w:ascii="Segoe UI" w:hAnsi="Segoe UI" w:cs="Segoe UI"/>
          <w:color w:val="525252" w:themeColor="accent3" w:themeShade="80"/>
          <w:sz w:val="20"/>
          <w:szCs w:val="20"/>
        </w:rPr>
      </w:pPr>
      <w:r w:rsidRPr="00B9065C">
        <w:rPr>
          <w:rFonts w:ascii="Segoe UI" w:hAnsi="Segoe UI" w:cs="Segoe UI"/>
          <w:color w:val="525252" w:themeColor="accent3" w:themeShade="80"/>
          <w:sz w:val="20"/>
          <w:szCs w:val="20"/>
        </w:rPr>
        <w:t>“</w:t>
      </w:r>
      <w:r w:rsidR="00CA62C0" w:rsidRPr="00B9065C">
        <w:rPr>
          <w:rFonts w:ascii="Segoe UI" w:hAnsi="Segoe UI" w:cs="Segoe UI"/>
          <w:color w:val="525252" w:themeColor="accent3" w:themeShade="80"/>
          <w:sz w:val="20"/>
          <w:szCs w:val="20"/>
        </w:rPr>
        <w:t>4.55 Nel caso in cui la misurazione quantitativa delle</w:t>
      </w:r>
      <w:r w:rsidRPr="00B9065C">
        <w:rPr>
          <w:rFonts w:ascii="Segoe UI" w:hAnsi="Segoe UI" w:cs="Segoe UI"/>
          <w:color w:val="525252" w:themeColor="accent3" w:themeShade="80"/>
          <w:sz w:val="20"/>
          <w:szCs w:val="20"/>
        </w:rPr>
        <w:t xml:space="preserve"> </w:t>
      </w:r>
      <w:r w:rsidR="00CA62C0" w:rsidRPr="00B9065C">
        <w:rPr>
          <w:rFonts w:ascii="Segoe UI" w:hAnsi="Segoe UI" w:cs="Segoe UI"/>
          <w:color w:val="525252" w:themeColor="accent3" w:themeShade="80"/>
          <w:sz w:val="20"/>
          <w:szCs w:val="20"/>
        </w:rPr>
        <w:t>variazioni materiali dei capitali risulti impraticabile o</w:t>
      </w:r>
      <w:r w:rsidRPr="00B9065C">
        <w:rPr>
          <w:rFonts w:ascii="Segoe UI" w:hAnsi="Segoe UI" w:cs="Segoe UI"/>
          <w:color w:val="525252" w:themeColor="accent3" w:themeShade="80"/>
          <w:sz w:val="20"/>
          <w:szCs w:val="20"/>
        </w:rPr>
        <w:t xml:space="preserve"> </w:t>
      </w:r>
      <w:r w:rsidR="00CA62C0" w:rsidRPr="00B9065C">
        <w:rPr>
          <w:rFonts w:ascii="Segoe UI" w:hAnsi="Segoe UI" w:cs="Segoe UI"/>
          <w:color w:val="525252" w:themeColor="accent3" w:themeShade="80"/>
          <w:sz w:val="20"/>
          <w:szCs w:val="20"/>
        </w:rPr>
        <w:t>irrilevante, occorre fornire informazioni qualitative che</w:t>
      </w:r>
      <w:r w:rsidRPr="00B9065C">
        <w:rPr>
          <w:rFonts w:ascii="Segoe UI" w:hAnsi="Segoe UI" w:cs="Segoe UI"/>
          <w:color w:val="525252" w:themeColor="accent3" w:themeShade="80"/>
          <w:sz w:val="20"/>
          <w:szCs w:val="20"/>
        </w:rPr>
        <w:t xml:space="preserve"> </w:t>
      </w:r>
      <w:r w:rsidR="00CA62C0" w:rsidRPr="00B9065C">
        <w:rPr>
          <w:rFonts w:ascii="Segoe UI" w:hAnsi="Segoe UI" w:cs="Segoe UI"/>
          <w:color w:val="525252" w:themeColor="accent3" w:themeShade="80"/>
          <w:sz w:val="20"/>
          <w:szCs w:val="20"/>
        </w:rPr>
        <w:t>illustrino le variazioni nei livelli di disponibilità, qualità</w:t>
      </w:r>
      <w:r w:rsidRPr="00B9065C">
        <w:rPr>
          <w:rFonts w:ascii="Segoe UI" w:hAnsi="Segoe UI" w:cs="Segoe UI"/>
          <w:color w:val="525252" w:themeColor="accent3" w:themeShade="80"/>
          <w:sz w:val="20"/>
          <w:szCs w:val="20"/>
        </w:rPr>
        <w:t xml:space="preserve"> </w:t>
      </w:r>
      <w:r w:rsidR="00CA62C0" w:rsidRPr="00B9065C">
        <w:rPr>
          <w:rFonts w:ascii="Segoe UI" w:hAnsi="Segoe UI" w:cs="Segoe UI"/>
          <w:color w:val="525252" w:themeColor="accent3" w:themeShade="80"/>
          <w:sz w:val="20"/>
          <w:szCs w:val="20"/>
        </w:rPr>
        <w:t>o accessibilità dei capitali come input aziendali e il</w:t>
      </w:r>
      <w:r w:rsidRPr="00B9065C">
        <w:rPr>
          <w:rFonts w:ascii="Segoe UI" w:hAnsi="Segoe UI" w:cs="Segoe UI"/>
          <w:color w:val="525252" w:themeColor="accent3" w:themeShade="80"/>
          <w:sz w:val="20"/>
          <w:szCs w:val="20"/>
        </w:rPr>
        <w:t xml:space="preserve"> </w:t>
      </w:r>
      <w:r w:rsidR="00CA62C0" w:rsidRPr="00B9065C">
        <w:rPr>
          <w:rFonts w:ascii="Segoe UI" w:hAnsi="Segoe UI" w:cs="Segoe UI"/>
          <w:color w:val="525252" w:themeColor="accent3" w:themeShade="80"/>
          <w:sz w:val="20"/>
          <w:szCs w:val="20"/>
        </w:rPr>
        <w:t>modo in cui vengono incrementati, ridotti o trasformati</w:t>
      </w:r>
      <w:r w:rsidRPr="00B9065C">
        <w:rPr>
          <w:rFonts w:ascii="Segoe UI" w:hAnsi="Segoe UI" w:cs="Segoe UI"/>
          <w:color w:val="525252" w:themeColor="accent3" w:themeShade="80"/>
          <w:sz w:val="20"/>
          <w:szCs w:val="20"/>
        </w:rPr>
        <w:t xml:space="preserve"> </w:t>
      </w:r>
      <w:r w:rsidR="00CA62C0" w:rsidRPr="00B9065C">
        <w:rPr>
          <w:rFonts w:ascii="Segoe UI" w:hAnsi="Segoe UI" w:cs="Segoe UI"/>
          <w:color w:val="525252" w:themeColor="accent3" w:themeShade="80"/>
          <w:sz w:val="20"/>
          <w:szCs w:val="20"/>
        </w:rPr>
        <w:t>dall'organizzazione.</w:t>
      </w:r>
      <w:r w:rsidRPr="00B9065C">
        <w:rPr>
          <w:rFonts w:ascii="Segoe UI" w:hAnsi="Segoe UI" w:cs="Segoe UI"/>
          <w:color w:val="525252" w:themeColor="accent3" w:themeShade="80"/>
          <w:sz w:val="20"/>
          <w:szCs w:val="20"/>
        </w:rPr>
        <w:t>”.</w:t>
      </w:r>
    </w:p>
    <w:p w14:paraId="6DFA3A9F" w14:textId="5F707FFB" w:rsidR="005C3EDB" w:rsidRPr="002E6836" w:rsidRDefault="008A1C4E" w:rsidP="002E6836">
      <w:pPr>
        <w:spacing w:before="120" w:after="120" w:line="240" w:lineRule="auto"/>
        <w:jc w:val="both"/>
        <w:rPr>
          <w:rFonts w:ascii="Segoe UI" w:hAnsi="Segoe UI" w:cs="Segoe UI"/>
          <w:lang w:eastAsia="it-IT"/>
        </w:rPr>
      </w:pPr>
      <w:r w:rsidRPr="002E6836">
        <w:rPr>
          <w:rFonts w:ascii="Segoe UI" w:hAnsi="Segoe UI" w:cs="Segoe UI"/>
          <w:lang w:eastAsia="it-IT"/>
        </w:rPr>
        <w:t>Conclusione:</w:t>
      </w:r>
      <w:r w:rsidR="00B54DCC">
        <w:rPr>
          <w:rFonts w:ascii="Segoe UI" w:hAnsi="Segoe UI" w:cs="Segoe UI"/>
          <w:lang w:eastAsia="it-IT"/>
        </w:rPr>
        <w:t xml:space="preserve"> </w:t>
      </w:r>
      <w:r w:rsidRPr="002E6836">
        <w:rPr>
          <w:rFonts w:ascii="Segoe UI" w:hAnsi="Segoe UI" w:cs="Segoe UI"/>
          <w:lang w:eastAsia="it-IT"/>
        </w:rPr>
        <w:t>in questo caso, “</w:t>
      </w:r>
      <w:r w:rsidRPr="004121CF">
        <w:rPr>
          <w:rFonts w:ascii="Segoe UI" w:hAnsi="Segoe UI" w:cs="Segoe UI"/>
          <w:b/>
          <w:i/>
          <w:lang w:eastAsia="it-IT"/>
        </w:rPr>
        <w:t>significant</w:t>
      </w:r>
      <w:r w:rsidRPr="002E6836">
        <w:rPr>
          <w:rFonts w:ascii="Segoe UI" w:hAnsi="Segoe UI" w:cs="Segoe UI"/>
          <w:lang w:eastAsia="it-IT"/>
        </w:rPr>
        <w:t>” è stato tradotto “</w:t>
      </w:r>
      <w:r w:rsidRPr="004121CF">
        <w:rPr>
          <w:rFonts w:ascii="Segoe UI" w:hAnsi="Segoe UI" w:cs="Segoe UI"/>
          <w:b/>
          <w:lang w:eastAsia="it-IT"/>
        </w:rPr>
        <w:t>materiale</w:t>
      </w:r>
      <w:r w:rsidRPr="002E6836">
        <w:rPr>
          <w:rFonts w:ascii="Segoe UI" w:hAnsi="Segoe UI" w:cs="Segoe UI"/>
          <w:lang w:eastAsia="it-IT"/>
        </w:rPr>
        <w:t xml:space="preserve">”; il punto è che, da un lato, nella proposizione </w:t>
      </w:r>
      <w:r w:rsidR="00087EAA" w:rsidRPr="002E6836">
        <w:rPr>
          <w:rFonts w:ascii="Segoe UI" w:hAnsi="Segoe UI" w:cs="Segoe UI"/>
          <w:lang w:eastAsia="it-IT"/>
        </w:rPr>
        <w:t xml:space="preserve">in </w:t>
      </w:r>
      <w:r w:rsidRPr="002E6836">
        <w:rPr>
          <w:rFonts w:ascii="Segoe UI" w:hAnsi="Segoe UI" w:cs="Segoe UI"/>
          <w:lang w:eastAsia="it-IT"/>
        </w:rPr>
        <w:t>inglese</w:t>
      </w:r>
      <w:r w:rsidR="00087EAA" w:rsidRPr="002E6836">
        <w:rPr>
          <w:rFonts w:ascii="Segoe UI" w:hAnsi="Segoe UI" w:cs="Segoe UI"/>
          <w:lang w:eastAsia="it-IT"/>
        </w:rPr>
        <w:t>,</w:t>
      </w:r>
      <w:r w:rsidRPr="002E6836">
        <w:rPr>
          <w:rFonts w:ascii="Segoe UI" w:hAnsi="Segoe UI" w:cs="Segoe UI"/>
          <w:lang w:eastAsia="it-IT"/>
        </w:rPr>
        <w:t xml:space="preserve"> non sembra si intenda</w:t>
      </w:r>
      <w:r w:rsidR="00087EAA" w:rsidRPr="002E6836">
        <w:rPr>
          <w:rFonts w:ascii="Segoe UI" w:hAnsi="Segoe UI" w:cs="Segoe UI"/>
          <w:lang w:eastAsia="it-IT"/>
        </w:rPr>
        <w:t xml:space="preserve"> richiamare i</w:t>
      </w:r>
      <w:r w:rsidRPr="002E6836">
        <w:rPr>
          <w:rFonts w:ascii="Segoe UI" w:hAnsi="Segoe UI" w:cs="Segoe UI"/>
          <w:lang w:eastAsia="it-IT"/>
        </w:rPr>
        <w:t xml:space="preserve">l concetto di </w:t>
      </w:r>
      <w:r w:rsidR="00087EAA" w:rsidRPr="002E6836">
        <w:rPr>
          <w:rFonts w:ascii="Segoe UI" w:hAnsi="Segoe UI" w:cs="Segoe UI"/>
          <w:lang w:eastAsia="it-IT"/>
        </w:rPr>
        <w:t>“</w:t>
      </w:r>
      <w:r w:rsidRPr="002E6836">
        <w:rPr>
          <w:rFonts w:ascii="Segoe UI" w:hAnsi="Segoe UI" w:cs="Segoe UI"/>
          <w:lang w:eastAsia="it-IT"/>
        </w:rPr>
        <w:t>material</w:t>
      </w:r>
      <w:r w:rsidR="00087EAA" w:rsidRPr="002E6836">
        <w:rPr>
          <w:rFonts w:ascii="Segoe UI" w:hAnsi="Segoe UI" w:cs="Segoe UI"/>
          <w:lang w:eastAsia="it-IT"/>
        </w:rPr>
        <w:t xml:space="preserve">ità” </w:t>
      </w:r>
      <w:r w:rsidRPr="002E6836">
        <w:rPr>
          <w:rFonts w:ascii="Segoe UI" w:hAnsi="Segoe UI" w:cs="Segoe UI"/>
          <w:lang w:eastAsia="it-IT"/>
        </w:rPr>
        <w:t>così come invece è specificamente definito nell’ambito dell’intero</w:t>
      </w:r>
      <w:r w:rsidR="00087EAA" w:rsidRPr="002E6836">
        <w:rPr>
          <w:rFonts w:ascii="Segoe UI" w:hAnsi="Segoe UI" w:cs="Segoe UI"/>
          <w:lang w:eastAsia="it-IT"/>
        </w:rPr>
        <w:t xml:space="preserve"> IR</w:t>
      </w:r>
      <w:r w:rsidRPr="002E6836">
        <w:rPr>
          <w:rFonts w:ascii="Segoe UI" w:hAnsi="Segoe UI" w:cs="Segoe UI"/>
          <w:lang w:eastAsia="it-IT"/>
        </w:rPr>
        <w:t xml:space="preserve"> Framework, dall’altro, laddove si </w:t>
      </w:r>
      <w:r w:rsidR="00087EAA" w:rsidRPr="002E6836">
        <w:rPr>
          <w:rFonts w:ascii="Segoe UI" w:hAnsi="Segoe UI" w:cs="Segoe UI"/>
          <w:lang w:eastAsia="it-IT"/>
        </w:rPr>
        <w:t xml:space="preserve">visioni </w:t>
      </w:r>
      <w:r w:rsidRPr="002E6836">
        <w:rPr>
          <w:rFonts w:ascii="Segoe UI" w:hAnsi="Segoe UI" w:cs="Segoe UI"/>
          <w:lang w:eastAsia="it-IT"/>
        </w:rPr>
        <w:t xml:space="preserve">solo la versione in italiano, non </w:t>
      </w:r>
      <w:r w:rsidR="00087EAA" w:rsidRPr="002E6836">
        <w:rPr>
          <w:rFonts w:ascii="Segoe UI" w:hAnsi="Segoe UI" w:cs="Segoe UI"/>
          <w:lang w:eastAsia="it-IT"/>
        </w:rPr>
        <w:t xml:space="preserve">parrebbe neanche </w:t>
      </w:r>
      <w:r w:rsidRPr="002E6836">
        <w:rPr>
          <w:rFonts w:ascii="Segoe UI" w:hAnsi="Segoe UI" w:cs="Segoe UI"/>
          <w:lang w:eastAsia="it-IT"/>
        </w:rPr>
        <w:t xml:space="preserve">tanto peregrino </w:t>
      </w:r>
      <w:r w:rsidR="000E6F5D" w:rsidRPr="002E6836">
        <w:rPr>
          <w:rFonts w:ascii="Segoe UI" w:hAnsi="Segoe UI" w:cs="Segoe UI"/>
          <w:lang w:eastAsia="it-IT"/>
        </w:rPr>
        <w:t xml:space="preserve">intendere la locuzione “variazioni materiali” come </w:t>
      </w:r>
      <w:r w:rsidR="00087EAA" w:rsidRPr="002E6836">
        <w:rPr>
          <w:rFonts w:ascii="Segoe UI" w:hAnsi="Segoe UI" w:cs="Segoe UI"/>
          <w:lang w:eastAsia="it-IT"/>
        </w:rPr>
        <w:t>distinte (se non in opposizione) a “</w:t>
      </w:r>
      <w:r w:rsidR="000E6F5D" w:rsidRPr="002E6836">
        <w:rPr>
          <w:rFonts w:ascii="Segoe UI" w:hAnsi="Segoe UI" w:cs="Segoe UI"/>
          <w:lang w:eastAsia="it-IT"/>
        </w:rPr>
        <w:t>variazioni non materiali</w:t>
      </w:r>
      <w:r w:rsidR="00087EAA" w:rsidRPr="002E6836">
        <w:rPr>
          <w:rFonts w:ascii="Segoe UI" w:hAnsi="Segoe UI" w:cs="Segoe UI"/>
          <w:lang w:eastAsia="it-IT"/>
        </w:rPr>
        <w:t>”,</w:t>
      </w:r>
      <w:r w:rsidR="000E6F5D" w:rsidRPr="002E6836">
        <w:rPr>
          <w:rFonts w:ascii="Segoe UI" w:hAnsi="Segoe UI" w:cs="Segoe UI"/>
          <w:lang w:eastAsia="it-IT"/>
        </w:rPr>
        <w:t xml:space="preserve"> fraintendendo completamente il signif</w:t>
      </w:r>
      <w:r w:rsidR="00087EAA" w:rsidRPr="002E6836">
        <w:rPr>
          <w:rFonts w:ascii="Segoe UI" w:hAnsi="Segoe UI" w:cs="Segoe UI"/>
          <w:lang w:eastAsia="it-IT"/>
        </w:rPr>
        <w:t>i</w:t>
      </w:r>
      <w:r w:rsidR="000E6F5D" w:rsidRPr="002E6836">
        <w:rPr>
          <w:rFonts w:ascii="Segoe UI" w:hAnsi="Segoe UI" w:cs="Segoe UI"/>
          <w:lang w:eastAsia="it-IT"/>
        </w:rPr>
        <w:t>cato intrinseco del redattore originario</w:t>
      </w:r>
      <w:r w:rsidR="00087EAA" w:rsidRPr="002E6836">
        <w:rPr>
          <w:rFonts w:ascii="Segoe UI" w:hAnsi="Segoe UI" w:cs="Segoe UI"/>
          <w:lang w:eastAsia="it-IT"/>
        </w:rPr>
        <w:t>.</w:t>
      </w:r>
    </w:p>
    <w:p w14:paraId="7BD5C4DF" w14:textId="585A5738" w:rsidR="008A1C4E" w:rsidRDefault="008A1C4E" w:rsidP="002E6836">
      <w:pPr>
        <w:spacing w:before="120" w:after="120" w:line="240" w:lineRule="auto"/>
        <w:jc w:val="both"/>
        <w:rPr>
          <w:rFonts w:ascii="Segoe UI" w:hAnsi="Segoe UI" w:cs="Segoe UI"/>
          <w:lang w:eastAsia="it-IT"/>
        </w:rPr>
      </w:pPr>
    </w:p>
    <w:p w14:paraId="73784B5C" w14:textId="77777777" w:rsidR="00564B61" w:rsidRDefault="00564B61" w:rsidP="002E6836">
      <w:pPr>
        <w:spacing w:before="120" w:after="120" w:line="240" w:lineRule="auto"/>
        <w:jc w:val="both"/>
        <w:rPr>
          <w:rFonts w:ascii="Segoe UI" w:hAnsi="Segoe UI" w:cs="Segoe UI"/>
          <w:lang w:eastAsia="it-IT"/>
        </w:rPr>
      </w:pPr>
    </w:p>
    <w:p w14:paraId="4D9C43CC" w14:textId="4156617B" w:rsidR="0080248C" w:rsidRPr="00564B61" w:rsidRDefault="00564B61" w:rsidP="00564B61">
      <w:pPr>
        <w:keepNext/>
        <w:keepLines/>
        <w:tabs>
          <w:tab w:val="left" w:pos="284"/>
        </w:tabs>
        <w:spacing w:before="120" w:after="120" w:line="240" w:lineRule="auto"/>
        <w:jc w:val="both"/>
        <w:rPr>
          <w:rFonts w:ascii="Segoe UI" w:hAnsi="Segoe UI" w:cs="Segoe UI"/>
          <w:noProof/>
          <w:szCs w:val="20"/>
          <w:lang w:eastAsia="it-IT"/>
        </w:rPr>
      </w:pPr>
      <w:r>
        <w:rPr>
          <w:rFonts w:ascii="Segoe UI" w:hAnsi="Segoe UI" w:cs="Segoe UI"/>
          <w:noProof/>
          <w:szCs w:val="20"/>
          <w:lang w:eastAsia="it-IT"/>
        </w:rPr>
        <w:t>B.</w:t>
      </w:r>
      <w:r>
        <w:rPr>
          <w:rFonts w:ascii="Segoe UI" w:hAnsi="Segoe UI" w:cs="Segoe UI"/>
          <w:noProof/>
          <w:szCs w:val="20"/>
          <w:lang w:eastAsia="it-IT"/>
        </w:rPr>
        <w:tab/>
      </w:r>
      <w:r w:rsidR="0080248C" w:rsidRPr="007F359D">
        <w:rPr>
          <w:rFonts w:ascii="Segoe UI" w:hAnsi="Segoe UI" w:cs="Segoe UI"/>
          <w:i/>
          <w:noProof/>
          <w:szCs w:val="20"/>
          <w:lang w:eastAsia="it-IT"/>
        </w:rPr>
        <w:t>Relevant</w:t>
      </w:r>
      <w:r w:rsidR="0080248C" w:rsidRPr="00564B61">
        <w:rPr>
          <w:rFonts w:ascii="Segoe UI" w:hAnsi="Segoe UI" w:cs="Segoe UI"/>
          <w:noProof/>
          <w:szCs w:val="20"/>
          <w:lang w:eastAsia="it-IT"/>
        </w:rPr>
        <w:t xml:space="preserve"> </w:t>
      </w:r>
      <w:r w:rsidR="000D1550">
        <w:rPr>
          <w:rFonts w:ascii="Segoe UI" w:hAnsi="Segoe UI" w:cs="Segoe UI"/>
          <w:noProof/>
          <w:szCs w:val="20"/>
          <w:lang w:eastAsia="it-IT"/>
        </w:rPr>
        <w:t>e</w:t>
      </w:r>
      <w:r w:rsidR="0080248C" w:rsidRPr="00564B61">
        <w:rPr>
          <w:rFonts w:ascii="Segoe UI" w:hAnsi="Segoe UI" w:cs="Segoe UI"/>
          <w:noProof/>
          <w:szCs w:val="20"/>
          <w:lang w:eastAsia="it-IT"/>
        </w:rPr>
        <w:t xml:space="preserve"> </w:t>
      </w:r>
      <w:r w:rsidRPr="007F359D">
        <w:rPr>
          <w:rFonts w:ascii="Segoe UI" w:hAnsi="Segoe UI" w:cs="Segoe UI"/>
          <w:i/>
          <w:noProof/>
          <w:szCs w:val="20"/>
          <w:lang w:eastAsia="it-IT"/>
        </w:rPr>
        <w:t>M</w:t>
      </w:r>
      <w:r w:rsidR="0080248C" w:rsidRPr="007F359D">
        <w:rPr>
          <w:rFonts w:ascii="Segoe UI" w:hAnsi="Segoe UI" w:cs="Segoe UI"/>
          <w:i/>
          <w:noProof/>
          <w:szCs w:val="20"/>
          <w:lang w:eastAsia="it-IT"/>
        </w:rPr>
        <w:t>aterial</w:t>
      </w:r>
    </w:p>
    <w:p w14:paraId="4E47EFD2" w14:textId="77777777" w:rsidR="0080248C" w:rsidRDefault="0080248C" w:rsidP="0080248C">
      <w:pPr>
        <w:keepNext/>
        <w:keepLines/>
        <w:spacing w:before="120" w:after="120" w:line="240" w:lineRule="auto"/>
        <w:jc w:val="both"/>
        <w:rPr>
          <w:rFonts w:ascii="Segoe UI" w:hAnsi="Segoe UI" w:cs="Segoe UI"/>
          <w:lang w:eastAsia="it-IT"/>
        </w:rPr>
      </w:pPr>
    </w:p>
    <w:p w14:paraId="28CCF629" w14:textId="2E2640F6" w:rsidR="00F33B30" w:rsidRPr="002E6836" w:rsidRDefault="00F33B30" w:rsidP="0080248C">
      <w:pPr>
        <w:keepNext/>
        <w:keepLines/>
        <w:spacing w:before="120" w:after="120" w:line="240" w:lineRule="auto"/>
        <w:jc w:val="both"/>
        <w:rPr>
          <w:rFonts w:ascii="Segoe UI" w:hAnsi="Segoe UI" w:cs="Segoe UI"/>
          <w:lang w:eastAsia="it-IT"/>
        </w:rPr>
      </w:pPr>
      <w:r>
        <w:rPr>
          <w:rFonts w:ascii="Segoe UI" w:hAnsi="Segoe UI" w:cs="Segoe UI"/>
          <w:lang w:eastAsia="it-IT"/>
        </w:rPr>
        <w:t>Traduzione</w:t>
      </w:r>
      <w:r w:rsidR="002A4D65">
        <w:rPr>
          <w:rFonts w:ascii="Segoe UI" w:hAnsi="Segoe UI" w:cs="Segoe UI"/>
          <w:lang w:eastAsia="it-IT"/>
        </w:rPr>
        <w:t xml:space="preserve">: </w:t>
      </w:r>
      <w:r>
        <w:rPr>
          <w:rFonts w:ascii="Segoe UI" w:hAnsi="Segoe UI" w:cs="Segoe UI"/>
          <w:lang w:eastAsia="it-IT"/>
        </w:rPr>
        <w:t>opzion</w:t>
      </w:r>
      <w:r w:rsidR="002A4D65">
        <w:rPr>
          <w:rFonts w:ascii="Segoe UI" w:hAnsi="Segoe UI" w:cs="Segoe UI"/>
          <w:lang w:eastAsia="it-IT"/>
        </w:rPr>
        <w:t xml:space="preserve">i </w:t>
      </w:r>
      <w:r>
        <w:rPr>
          <w:rFonts w:ascii="Segoe UI" w:hAnsi="Segoe UI" w:cs="Segoe UI"/>
          <w:lang w:eastAsia="it-IT"/>
        </w:rPr>
        <w:t>1</w:t>
      </w:r>
      <w:r w:rsidR="002A4D65">
        <w:rPr>
          <w:rFonts w:ascii="Segoe UI" w:hAnsi="Segoe UI" w:cs="Segoe UI"/>
          <w:lang w:eastAsia="it-IT"/>
        </w:rPr>
        <w:t xml:space="preserve"> </w:t>
      </w:r>
      <w:r>
        <w:rPr>
          <w:rFonts w:ascii="Segoe UI" w:hAnsi="Segoe UI" w:cs="Segoe UI"/>
          <w:lang w:eastAsia="it-IT"/>
        </w:rPr>
        <w:t>/</w:t>
      </w:r>
      <w:r w:rsidR="002A4D65">
        <w:rPr>
          <w:rFonts w:ascii="Segoe UI" w:hAnsi="Segoe UI" w:cs="Segoe UI"/>
          <w:lang w:eastAsia="it-IT"/>
        </w:rPr>
        <w:t xml:space="preserve"> </w:t>
      </w:r>
      <w:r>
        <w:rPr>
          <w:rFonts w:ascii="Segoe UI" w:hAnsi="Segoe UI" w:cs="Segoe UI"/>
          <w:lang w:eastAsia="it-IT"/>
        </w:rPr>
        <w:t xml:space="preserve">1 / </w:t>
      </w:r>
      <w:r w:rsidR="002A4D65">
        <w:rPr>
          <w:rFonts w:ascii="Segoe UI" w:hAnsi="Segoe UI" w:cs="Segoe UI"/>
          <w:lang w:eastAsia="it-IT"/>
        </w:rPr>
        <w:t>A</w:t>
      </w:r>
      <w:r>
        <w:rPr>
          <w:rFonts w:ascii="Segoe UI" w:hAnsi="Segoe UI" w:cs="Segoe UI"/>
          <w:lang w:eastAsia="it-IT"/>
        </w:rPr>
        <w:t>ccezione</w:t>
      </w:r>
      <w:r w:rsidR="002A4D65">
        <w:rPr>
          <w:rFonts w:ascii="Segoe UI" w:hAnsi="Segoe UI" w:cs="Segoe UI"/>
          <w:lang w:eastAsia="it-IT"/>
        </w:rPr>
        <w:t xml:space="preserve">: opzioni </w:t>
      </w:r>
      <w:r>
        <w:rPr>
          <w:rFonts w:ascii="Segoe UI" w:hAnsi="Segoe UI" w:cs="Segoe UI"/>
          <w:lang w:eastAsia="it-IT"/>
        </w:rPr>
        <w:t>1</w:t>
      </w:r>
      <w:r w:rsidR="002A4D65">
        <w:rPr>
          <w:rFonts w:ascii="Segoe UI" w:hAnsi="Segoe UI" w:cs="Segoe UI"/>
          <w:lang w:eastAsia="it-IT"/>
        </w:rPr>
        <w:t xml:space="preserve"> </w:t>
      </w:r>
      <w:r>
        <w:rPr>
          <w:rFonts w:ascii="Segoe UI" w:hAnsi="Segoe UI" w:cs="Segoe UI"/>
          <w:lang w:eastAsia="it-IT"/>
        </w:rPr>
        <w:t>/</w:t>
      </w:r>
      <w:r w:rsidR="002A4D65">
        <w:rPr>
          <w:rFonts w:ascii="Segoe UI" w:hAnsi="Segoe UI" w:cs="Segoe UI"/>
          <w:lang w:eastAsia="it-IT"/>
        </w:rPr>
        <w:t xml:space="preserve"> </w:t>
      </w:r>
      <w:r>
        <w:rPr>
          <w:rFonts w:ascii="Segoe UI" w:hAnsi="Segoe UI" w:cs="Segoe UI"/>
          <w:lang w:eastAsia="it-IT"/>
        </w:rPr>
        <w:t>1</w:t>
      </w:r>
    </w:p>
    <w:p w14:paraId="47086F0E" w14:textId="77777777" w:rsidR="00F33B30" w:rsidRDefault="00D53FEB" w:rsidP="002E6836">
      <w:pPr>
        <w:spacing w:before="120" w:after="120" w:line="240" w:lineRule="auto"/>
        <w:jc w:val="both"/>
        <w:rPr>
          <w:rFonts w:ascii="Segoe UI" w:hAnsi="Segoe UI" w:cs="Segoe UI"/>
          <w:lang w:eastAsia="it-IT"/>
        </w:rPr>
      </w:pPr>
      <w:r w:rsidRPr="002E6836">
        <w:rPr>
          <w:rFonts w:ascii="Segoe UI" w:hAnsi="Segoe UI" w:cs="Segoe UI"/>
          <w:lang w:eastAsia="it-IT"/>
        </w:rPr>
        <w:t xml:space="preserve">Con riguardo alla coppia di termini </w:t>
      </w:r>
      <w:r w:rsidR="005746FA" w:rsidRPr="002E6836">
        <w:rPr>
          <w:rFonts w:ascii="Segoe UI" w:hAnsi="Segoe UI" w:cs="Segoe UI"/>
          <w:lang w:eastAsia="it-IT"/>
        </w:rPr>
        <w:t>“</w:t>
      </w:r>
      <w:r w:rsidRPr="002E6836">
        <w:rPr>
          <w:rFonts w:ascii="Segoe UI" w:hAnsi="Segoe UI" w:cs="Segoe UI"/>
          <w:i/>
          <w:lang w:eastAsia="it-IT"/>
        </w:rPr>
        <w:t>relevant</w:t>
      </w:r>
      <w:r w:rsidR="005746FA" w:rsidRPr="002E6836">
        <w:rPr>
          <w:rFonts w:ascii="Segoe UI" w:hAnsi="Segoe UI" w:cs="Segoe UI"/>
          <w:lang w:eastAsia="it-IT"/>
        </w:rPr>
        <w:t>”</w:t>
      </w:r>
      <w:r w:rsidRPr="002E6836">
        <w:rPr>
          <w:rFonts w:ascii="Segoe UI" w:hAnsi="Segoe UI" w:cs="Segoe UI"/>
          <w:lang w:eastAsia="it-IT"/>
        </w:rPr>
        <w:t xml:space="preserve"> e </w:t>
      </w:r>
      <w:r w:rsidR="005746FA" w:rsidRPr="002E6836">
        <w:rPr>
          <w:rFonts w:ascii="Segoe UI" w:hAnsi="Segoe UI" w:cs="Segoe UI"/>
          <w:lang w:eastAsia="it-IT"/>
        </w:rPr>
        <w:t>“</w:t>
      </w:r>
      <w:r w:rsidRPr="002E6836">
        <w:rPr>
          <w:rFonts w:ascii="Segoe UI" w:hAnsi="Segoe UI" w:cs="Segoe UI"/>
          <w:i/>
          <w:lang w:eastAsia="it-IT"/>
        </w:rPr>
        <w:t>material</w:t>
      </w:r>
      <w:r w:rsidR="005746FA" w:rsidRPr="002E6836">
        <w:rPr>
          <w:rFonts w:ascii="Segoe UI" w:hAnsi="Segoe UI" w:cs="Segoe UI"/>
          <w:lang w:eastAsia="it-IT"/>
        </w:rPr>
        <w:t>”</w:t>
      </w:r>
      <w:r w:rsidRPr="002E6836">
        <w:rPr>
          <w:rFonts w:ascii="Segoe UI" w:hAnsi="Segoe UI" w:cs="Segoe UI"/>
          <w:lang w:eastAsia="it-IT"/>
        </w:rPr>
        <w:t>, come accennato, l</w:t>
      </w:r>
      <w:r w:rsidR="005746FA" w:rsidRPr="002E6836">
        <w:rPr>
          <w:rFonts w:ascii="Segoe UI" w:hAnsi="Segoe UI" w:cs="Segoe UI"/>
          <w:lang w:eastAsia="it-IT"/>
        </w:rPr>
        <w:t>’IR</w:t>
      </w:r>
      <w:r w:rsidRPr="002E6836">
        <w:rPr>
          <w:rFonts w:ascii="Segoe UI" w:hAnsi="Segoe UI" w:cs="Segoe UI"/>
          <w:lang w:eastAsia="it-IT"/>
        </w:rPr>
        <w:t xml:space="preserve"> Framework </w:t>
      </w:r>
      <w:r w:rsidR="005746FA" w:rsidRPr="002E6836">
        <w:rPr>
          <w:rFonts w:ascii="Segoe UI" w:hAnsi="Segoe UI" w:cs="Segoe UI"/>
          <w:lang w:eastAsia="it-IT"/>
        </w:rPr>
        <w:t>conserva il più delle volte (ad eccezione di rari casi) una sua fondamentale coerenza terminologica con riferimento al significato dei medesimi</w:t>
      </w:r>
      <w:r w:rsidR="00F33B30">
        <w:rPr>
          <w:rFonts w:ascii="Segoe UI" w:hAnsi="Segoe UI" w:cs="Segoe UI"/>
          <w:lang w:eastAsia="it-IT"/>
        </w:rPr>
        <w:t xml:space="preserve"> nonché nella relativa </w:t>
      </w:r>
      <w:r w:rsidR="005746FA" w:rsidRPr="002E6836">
        <w:rPr>
          <w:rFonts w:ascii="Segoe UI" w:hAnsi="Segoe UI" w:cs="Segoe UI"/>
          <w:lang w:eastAsia="it-IT"/>
        </w:rPr>
        <w:t>tr</w:t>
      </w:r>
      <w:r w:rsidR="00D63185" w:rsidRPr="002E6836">
        <w:rPr>
          <w:rFonts w:ascii="Segoe UI" w:hAnsi="Segoe UI" w:cs="Segoe UI"/>
          <w:lang w:eastAsia="it-IT"/>
        </w:rPr>
        <w:t>a</w:t>
      </w:r>
      <w:r w:rsidR="005746FA" w:rsidRPr="002E6836">
        <w:rPr>
          <w:rFonts w:ascii="Segoe UI" w:hAnsi="Segoe UI" w:cs="Segoe UI"/>
          <w:lang w:eastAsia="it-IT"/>
        </w:rPr>
        <w:t>duzione in italiano</w:t>
      </w:r>
      <w:r w:rsidR="00F33B30">
        <w:rPr>
          <w:rFonts w:ascii="Segoe UI" w:hAnsi="Segoe UI" w:cs="Segoe UI"/>
          <w:lang w:eastAsia="it-IT"/>
        </w:rPr>
        <w:t>.</w:t>
      </w:r>
    </w:p>
    <w:p w14:paraId="79ABF4CA" w14:textId="725CF4A2" w:rsidR="00F33B30" w:rsidRDefault="00F33B30" w:rsidP="0080248C">
      <w:pPr>
        <w:keepNext/>
        <w:keepLines/>
        <w:spacing w:before="120" w:after="120" w:line="240" w:lineRule="auto"/>
        <w:jc w:val="both"/>
        <w:rPr>
          <w:rFonts w:ascii="Segoe UI" w:hAnsi="Segoe UI" w:cs="Segoe UI"/>
          <w:lang w:eastAsia="it-IT"/>
        </w:rPr>
      </w:pPr>
      <w:r w:rsidRPr="002E6836">
        <w:rPr>
          <w:rFonts w:ascii="Segoe UI" w:hAnsi="Segoe UI" w:cs="Segoe UI"/>
          <w:lang w:eastAsia="it-IT"/>
        </w:rPr>
        <w:t xml:space="preserve">Senza volerci dilungare oltremodo su questioni che saranno comunque affrontate di qui a poco in dettaglio, si osservi </w:t>
      </w:r>
      <w:r>
        <w:rPr>
          <w:rFonts w:ascii="Segoe UI" w:hAnsi="Segoe UI" w:cs="Segoe UI"/>
          <w:lang w:eastAsia="it-IT"/>
        </w:rPr>
        <w:t xml:space="preserve">infatti </w:t>
      </w:r>
      <w:r w:rsidRPr="002E6836">
        <w:rPr>
          <w:rFonts w:ascii="Segoe UI" w:hAnsi="Segoe UI" w:cs="Segoe UI"/>
          <w:lang w:eastAsia="it-IT"/>
        </w:rPr>
        <w:t>che nella prospettiva dell’</w:t>
      </w:r>
      <w:r w:rsidRPr="002E6836">
        <w:rPr>
          <w:rFonts w:ascii="Segoe UI" w:hAnsi="Segoe UI" w:cs="Segoe UI"/>
          <w:i/>
          <w:lang w:eastAsia="it-IT"/>
        </w:rPr>
        <w:t xml:space="preserve">integrated reporting </w:t>
      </w:r>
      <w:r w:rsidRPr="002E6836">
        <w:rPr>
          <w:rFonts w:ascii="Segoe UI" w:hAnsi="Segoe UI" w:cs="Segoe UI"/>
          <w:lang w:eastAsia="it-IT"/>
        </w:rPr>
        <w:t>(secondo l’approccio dell’IIRC), al di là di alcune licenze e traduzioni cui poteva forse essere rivolta una maggiore attenzione, ciò che conta con riguardo ai due termini e comprenderne il significato, che nel</w:t>
      </w:r>
      <w:r w:rsidR="00BD473D">
        <w:rPr>
          <w:rFonts w:ascii="Segoe UI" w:hAnsi="Segoe UI" w:cs="Segoe UI"/>
          <w:lang w:eastAsia="it-IT"/>
        </w:rPr>
        <w:t>l’IR</w:t>
      </w:r>
      <w:r w:rsidRPr="002E6836">
        <w:rPr>
          <w:rFonts w:ascii="Segoe UI" w:hAnsi="Segoe UI" w:cs="Segoe UI"/>
          <w:lang w:eastAsia="it-IT"/>
        </w:rPr>
        <w:t xml:space="preserve"> Framework è generato da un rapporto tra i due concetti sottostanti come di seguito definito (attenzione: al momento non si vuole sostenere che tale rapporto sia massimamente convincente sotto il profilo d</w:t>
      </w:r>
      <w:r w:rsidR="00BD473D">
        <w:rPr>
          <w:rFonts w:ascii="Segoe UI" w:hAnsi="Segoe UI" w:cs="Segoe UI"/>
          <w:lang w:eastAsia="it-IT"/>
        </w:rPr>
        <w:t>ell’</w:t>
      </w:r>
      <w:r w:rsidRPr="002E6836">
        <w:rPr>
          <w:rFonts w:ascii="Segoe UI" w:hAnsi="Segoe UI" w:cs="Segoe UI"/>
          <w:lang w:eastAsia="it-IT"/>
        </w:rPr>
        <w:t>applicazione operativa ma solo che se ne possa facilmente ravvisare la natura nell’ambito delle definizioni del</w:t>
      </w:r>
      <w:r w:rsidR="00BD473D">
        <w:rPr>
          <w:rFonts w:ascii="Segoe UI" w:hAnsi="Segoe UI" w:cs="Segoe UI"/>
          <w:lang w:eastAsia="it-IT"/>
        </w:rPr>
        <w:t>l’IR</w:t>
      </w:r>
      <w:r w:rsidRPr="002E6836">
        <w:rPr>
          <w:rFonts w:ascii="Segoe UI" w:hAnsi="Segoe UI" w:cs="Segoe UI"/>
          <w:lang w:eastAsia="it-IT"/>
        </w:rPr>
        <w:t xml:space="preserve"> </w:t>
      </w:r>
      <w:r w:rsidR="00922E05" w:rsidRPr="00922E05">
        <w:rPr>
          <w:rFonts w:ascii="Segoe UI" w:hAnsi="Segoe UI" w:cs="Segoe UI"/>
          <w:lang w:eastAsia="it-IT"/>
        </w:rPr>
        <w:t>Framework</w:t>
      </w:r>
      <w:r w:rsidRPr="002E6836">
        <w:rPr>
          <w:rFonts w:ascii="Segoe UI" w:hAnsi="Segoe UI" w:cs="Segoe UI"/>
          <w:lang w:eastAsia="it-IT"/>
        </w:rPr>
        <w:t>)</w:t>
      </w:r>
      <w:r>
        <w:rPr>
          <w:rFonts w:ascii="Segoe UI" w:hAnsi="Segoe UI" w:cs="Segoe UI"/>
          <w:lang w:eastAsia="it-IT"/>
        </w:rPr>
        <w:t>:</w:t>
      </w:r>
    </w:p>
    <w:p w14:paraId="09E50646" w14:textId="5AC35C08" w:rsidR="004210ED" w:rsidRPr="00EC0949" w:rsidRDefault="004210ED" w:rsidP="00EC0949">
      <w:pPr>
        <w:keepNext/>
        <w:keepLines/>
        <w:spacing w:before="120" w:after="120" w:line="240" w:lineRule="auto"/>
        <w:ind w:left="284" w:right="282"/>
        <w:jc w:val="both"/>
        <w:rPr>
          <w:rFonts w:ascii="Segoe UI" w:hAnsi="Segoe UI" w:cs="Segoe UI"/>
          <w:color w:val="525252" w:themeColor="accent3" w:themeShade="80"/>
          <w:sz w:val="20"/>
          <w:szCs w:val="20"/>
          <w:lang w:val="en-US" w:eastAsia="it-IT"/>
        </w:rPr>
      </w:pPr>
      <w:r w:rsidRPr="00EC0949">
        <w:rPr>
          <w:rFonts w:ascii="Segoe UI" w:hAnsi="Segoe UI" w:cs="Segoe UI"/>
          <w:color w:val="525252" w:themeColor="accent3" w:themeShade="80"/>
          <w:sz w:val="20"/>
          <w:szCs w:val="20"/>
          <w:lang w:val="en-US" w:eastAsia="it-IT"/>
        </w:rPr>
        <w:t>“3D Materiality</w:t>
      </w:r>
    </w:p>
    <w:p w14:paraId="2C307CCC" w14:textId="12315EB5" w:rsidR="005746FA" w:rsidRPr="00EC0949" w:rsidRDefault="004121CF" w:rsidP="00EC0949">
      <w:pPr>
        <w:autoSpaceDE w:val="0"/>
        <w:autoSpaceDN w:val="0"/>
        <w:adjustRightInd w:val="0"/>
        <w:spacing w:before="120" w:after="120" w:line="240" w:lineRule="auto"/>
        <w:ind w:left="284" w:right="282"/>
        <w:jc w:val="both"/>
        <w:rPr>
          <w:rFonts w:ascii="Segoe UI" w:hAnsi="Segoe UI" w:cs="Segoe UI"/>
          <w:bCs/>
          <w:iCs/>
          <w:color w:val="525252" w:themeColor="accent3" w:themeShade="80"/>
          <w:sz w:val="20"/>
          <w:szCs w:val="20"/>
          <w:lang w:val="en-US" w:eastAsia="it-IT"/>
        </w:rPr>
      </w:pPr>
      <w:r w:rsidRPr="00EC0949">
        <w:rPr>
          <w:rFonts w:ascii="Segoe UI" w:hAnsi="Segoe UI" w:cs="Segoe UI"/>
          <w:bCs/>
          <w:iCs/>
          <w:color w:val="525252" w:themeColor="accent3" w:themeShade="80"/>
          <w:sz w:val="20"/>
          <w:szCs w:val="20"/>
          <w:lang w:val="en-US" w:eastAsia="it-IT"/>
        </w:rPr>
        <w:t xml:space="preserve">3.17 </w:t>
      </w:r>
      <w:r w:rsidR="004210ED" w:rsidRPr="00EC0949">
        <w:rPr>
          <w:rFonts w:ascii="Segoe UI" w:hAnsi="Segoe UI" w:cs="Segoe UI"/>
          <w:bCs/>
          <w:iCs/>
          <w:color w:val="525252" w:themeColor="accent3" w:themeShade="80"/>
          <w:sz w:val="20"/>
          <w:szCs w:val="20"/>
          <w:lang w:val="en-US" w:eastAsia="it-IT"/>
        </w:rPr>
        <w:t>An integrated report should disclose information about matters that substantively affect the organization’s ability to create value over the short, medium and long term.</w:t>
      </w:r>
    </w:p>
    <w:p w14:paraId="6FE7B156" w14:textId="77777777" w:rsidR="004210ED" w:rsidRPr="00EC0949" w:rsidRDefault="004210ED" w:rsidP="00EC0949">
      <w:pPr>
        <w:keepNext/>
        <w:keepLines/>
        <w:spacing w:before="120" w:after="120" w:line="240" w:lineRule="auto"/>
        <w:ind w:left="284" w:right="282"/>
        <w:jc w:val="both"/>
        <w:rPr>
          <w:rFonts w:ascii="Segoe UI" w:hAnsi="Segoe UI" w:cs="Segoe UI"/>
          <w:color w:val="525252" w:themeColor="accent3" w:themeShade="80"/>
          <w:sz w:val="20"/>
          <w:szCs w:val="20"/>
          <w:lang w:val="en-US" w:eastAsia="it-IT"/>
        </w:rPr>
      </w:pPr>
      <w:r w:rsidRPr="00EC0949">
        <w:rPr>
          <w:rFonts w:ascii="Segoe UI" w:hAnsi="Segoe UI" w:cs="Segoe UI"/>
          <w:color w:val="525252" w:themeColor="accent3" w:themeShade="80"/>
          <w:sz w:val="20"/>
          <w:szCs w:val="20"/>
          <w:lang w:val="en-US" w:eastAsia="it-IT"/>
        </w:rPr>
        <w:t>The materiality determination process</w:t>
      </w:r>
    </w:p>
    <w:p w14:paraId="5D39970C" w14:textId="08CC47C5" w:rsidR="004210ED" w:rsidRPr="00EC0949" w:rsidRDefault="004210ED" w:rsidP="00EC0949">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EC0949">
        <w:rPr>
          <w:rFonts w:ascii="Segoe UI" w:hAnsi="Segoe UI" w:cs="Segoe UI"/>
          <w:color w:val="525252" w:themeColor="accent3" w:themeShade="80"/>
          <w:sz w:val="20"/>
          <w:szCs w:val="20"/>
          <w:lang w:val="en-US" w:eastAsia="it-IT"/>
        </w:rPr>
        <w:t>3.18 The materiality determination process for the</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purpose of preparing and presenting an</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integrated report involves:</w:t>
      </w:r>
    </w:p>
    <w:p w14:paraId="1EF081F5" w14:textId="6A7250CF" w:rsidR="004210ED" w:rsidRPr="00EC0949" w:rsidRDefault="004210ED" w:rsidP="004426A2">
      <w:pPr>
        <w:pStyle w:val="Paragrafoelenco"/>
        <w:numPr>
          <w:ilvl w:val="0"/>
          <w:numId w:val="25"/>
        </w:numPr>
        <w:tabs>
          <w:tab w:val="left" w:pos="851"/>
        </w:tabs>
        <w:autoSpaceDE w:val="0"/>
        <w:autoSpaceDN w:val="0"/>
        <w:adjustRightInd w:val="0"/>
        <w:spacing w:before="120" w:after="120" w:line="240" w:lineRule="auto"/>
        <w:ind w:left="851" w:right="284" w:hanging="284"/>
        <w:jc w:val="both"/>
        <w:rPr>
          <w:rFonts w:ascii="Segoe UI" w:hAnsi="Segoe UI" w:cs="Segoe UI"/>
          <w:color w:val="525252" w:themeColor="accent3" w:themeShade="80"/>
          <w:sz w:val="20"/>
          <w:szCs w:val="20"/>
          <w:lang w:val="en-US"/>
        </w:rPr>
      </w:pPr>
      <w:r w:rsidRPr="00EC0949">
        <w:rPr>
          <w:rFonts w:ascii="Segoe UI" w:hAnsi="Segoe UI" w:cs="Segoe UI"/>
          <w:color w:val="525252" w:themeColor="accent3" w:themeShade="80"/>
          <w:sz w:val="20"/>
          <w:szCs w:val="20"/>
          <w:lang w:val="en-US"/>
        </w:rPr>
        <w:t>Identifying relevant matters based on their</w:t>
      </w:r>
      <w:r w:rsidR="00F425C4" w:rsidRPr="00EC0949">
        <w:rPr>
          <w:rFonts w:ascii="Segoe UI" w:hAnsi="Segoe UI" w:cs="Segoe UI"/>
          <w:color w:val="525252" w:themeColor="accent3" w:themeShade="80"/>
          <w:sz w:val="20"/>
          <w:szCs w:val="20"/>
          <w:lang w:val="en-US"/>
        </w:rPr>
        <w:t xml:space="preserve"> </w:t>
      </w:r>
      <w:r w:rsidRPr="00EC0949">
        <w:rPr>
          <w:rFonts w:ascii="Segoe UI" w:hAnsi="Segoe UI" w:cs="Segoe UI"/>
          <w:color w:val="525252" w:themeColor="accent3" w:themeShade="80"/>
          <w:sz w:val="20"/>
          <w:szCs w:val="20"/>
          <w:lang w:val="en-US"/>
        </w:rPr>
        <w:t>ability to affect value creation as discussed in</w:t>
      </w:r>
      <w:r w:rsidR="00F425C4" w:rsidRPr="00EC0949">
        <w:rPr>
          <w:rFonts w:ascii="Segoe UI" w:hAnsi="Segoe UI" w:cs="Segoe UI"/>
          <w:color w:val="525252" w:themeColor="accent3" w:themeShade="80"/>
          <w:sz w:val="20"/>
          <w:szCs w:val="20"/>
          <w:lang w:val="en-US"/>
        </w:rPr>
        <w:t xml:space="preserve"> </w:t>
      </w:r>
      <w:r w:rsidRPr="00EC0949">
        <w:rPr>
          <w:rFonts w:ascii="Segoe UI" w:hAnsi="Segoe UI" w:cs="Segoe UI"/>
          <w:color w:val="525252" w:themeColor="accent3" w:themeShade="80"/>
          <w:sz w:val="20"/>
          <w:szCs w:val="20"/>
          <w:lang w:val="en-US"/>
        </w:rPr>
        <w:t>Section 2B (see paragraphs 3.21–3.23)</w:t>
      </w:r>
    </w:p>
    <w:p w14:paraId="401C5177" w14:textId="25A88A17" w:rsidR="004210ED" w:rsidRPr="00EC0949" w:rsidRDefault="004210ED" w:rsidP="00EC0949">
      <w:pPr>
        <w:pStyle w:val="Paragrafoelenco"/>
        <w:numPr>
          <w:ilvl w:val="0"/>
          <w:numId w:val="25"/>
        </w:numPr>
        <w:tabs>
          <w:tab w:val="left" w:pos="851"/>
        </w:tabs>
        <w:autoSpaceDE w:val="0"/>
        <w:autoSpaceDN w:val="0"/>
        <w:adjustRightInd w:val="0"/>
        <w:spacing w:before="120" w:after="120" w:line="240" w:lineRule="auto"/>
        <w:ind w:left="851" w:right="284" w:hanging="284"/>
        <w:jc w:val="both"/>
        <w:rPr>
          <w:rFonts w:ascii="Segoe UI" w:hAnsi="Segoe UI" w:cs="Segoe UI"/>
          <w:color w:val="525252" w:themeColor="accent3" w:themeShade="80"/>
          <w:sz w:val="20"/>
          <w:szCs w:val="20"/>
          <w:lang w:val="en-US"/>
        </w:rPr>
      </w:pPr>
      <w:r w:rsidRPr="00EC0949">
        <w:rPr>
          <w:rFonts w:ascii="Segoe UI" w:hAnsi="Segoe UI" w:cs="Segoe UI"/>
          <w:color w:val="525252" w:themeColor="accent3" w:themeShade="80"/>
          <w:sz w:val="20"/>
          <w:szCs w:val="20"/>
          <w:lang w:val="en-US"/>
        </w:rPr>
        <w:t>Evaluating the importance of relevant matters</w:t>
      </w:r>
      <w:r w:rsidR="00F425C4" w:rsidRPr="00EC0949">
        <w:rPr>
          <w:rFonts w:ascii="Segoe UI" w:hAnsi="Segoe UI" w:cs="Segoe UI"/>
          <w:color w:val="525252" w:themeColor="accent3" w:themeShade="80"/>
          <w:sz w:val="20"/>
          <w:szCs w:val="20"/>
          <w:lang w:val="en-US"/>
        </w:rPr>
        <w:t xml:space="preserve"> </w:t>
      </w:r>
      <w:r w:rsidRPr="00EC0949">
        <w:rPr>
          <w:rFonts w:ascii="Segoe UI" w:hAnsi="Segoe UI" w:cs="Segoe UI"/>
          <w:color w:val="525252" w:themeColor="accent3" w:themeShade="80"/>
          <w:sz w:val="20"/>
          <w:szCs w:val="20"/>
          <w:lang w:val="en-US"/>
        </w:rPr>
        <w:t>in terms of their known or potential effect on</w:t>
      </w:r>
      <w:r w:rsidR="00F425C4" w:rsidRPr="00EC0949">
        <w:rPr>
          <w:rFonts w:ascii="Segoe UI" w:hAnsi="Segoe UI" w:cs="Segoe UI"/>
          <w:color w:val="525252" w:themeColor="accent3" w:themeShade="80"/>
          <w:sz w:val="20"/>
          <w:szCs w:val="20"/>
          <w:lang w:val="en-US"/>
        </w:rPr>
        <w:t xml:space="preserve"> </w:t>
      </w:r>
      <w:r w:rsidRPr="00EC0949">
        <w:rPr>
          <w:rFonts w:ascii="Segoe UI" w:hAnsi="Segoe UI" w:cs="Segoe UI"/>
          <w:color w:val="525252" w:themeColor="accent3" w:themeShade="80"/>
          <w:sz w:val="20"/>
          <w:szCs w:val="20"/>
          <w:lang w:val="en-US"/>
        </w:rPr>
        <w:t>value creation (see paragraphs 3.24–3.27)</w:t>
      </w:r>
    </w:p>
    <w:p w14:paraId="2D0D14AF" w14:textId="195CD99E" w:rsidR="004210ED" w:rsidRPr="00EC0949" w:rsidRDefault="004210ED" w:rsidP="00EC0949">
      <w:pPr>
        <w:pStyle w:val="Paragrafoelenco"/>
        <w:numPr>
          <w:ilvl w:val="0"/>
          <w:numId w:val="25"/>
        </w:numPr>
        <w:tabs>
          <w:tab w:val="left" w:pos="851"/>
        </w:tabs>
        <w:autoSpaceDE w:val="0"/>
        <w:autoSpaceDN w:val="0"/>
        <w:adjustRightInd w:val="0"/>
        <w:spacing w:before="120" w:after="120" w:line="240" w:lineRule="auto"/>
        <w:ind w:left="851" w:right="284" w:hanging="284"/>
        <w:jc w:val="both"/>
        <w:rPr>
          <w:rFonts w:ascii="Segoe UI" w:hAnsi="Segoe UI" w:cs="Segoe UI"/>
          <w:color w:val="525252" w:themeColor="accent3" w:themeShade="80"/>
          <w:sz w:val="20"/>
          <w:szCs w:val="20"/>
          <w:lang w:val="en-US"/>
        </w:rPr>
      </w:pPr>
      <w:r w:rsidRPr="00EC0949">
        <w:rPr>
          <w:rFonts w:ascii="Segoe UI" w:hAnsi="Segoe UI" w:cs="Segoe UI"/>
          <w:color w:val="525252" w:themeColor="accent3" w:themeShade="80"/>
          <w:sz w:val="20"/>
          <w:szCs w:val="20"/>
          <w:lang w:val="en-US"/>
        </w:rPr>
        <w:t>Prioritizing the matters based on their relative</w:t>
      </w:r>
      <w:r w:rsidR="00F425C4" w:rsidRPr="00EC0949">
        <w:rPr>
          <w:rFonts w:ascii="Segoe UI" w:hAnsi="Segoe UI" w:cs="Segoe UI"/>
          <w:color w:val="525252" w:themeColor="accent3" w:themeShade="80"/>
          <w:sz w:val="20"/>
          <w:szCs w:val="20"/>
          <w:lang w:val="en-US"/>
        </w:rPr>
        <w:t xml:space="preserve"> </w:t>
      </w:r>
      <w:r w:rsidRPr="00EC0949">
        <w:rPr>
          <w:rFonts w:ascii="Segoe UI" w:hAnsi="Segoe UI" w:cs="Segoe UI"/>
          <w:color w:val="525252" w:themeColor="accent3" w:themeShade="80"/>
          <w:sz w:val="20"/>
          <w:szCs w:val="20"/>
          <w:lang w:val="en-US"/>
        </w:rPr>
        <w:t>importance (see paragraph 3.28)</w:t>
      </w:r>
    </w:p>
    <w:p w14:paraId="34077EC6" w14:textId="243402D7" w:rsidR="004210ED" w:rsidRPr="00EC0949" w:rsidRDefault="004210ED" w:rsidP="00EC0949">
      <w:pPr>
        <w:pStyle w:val="Paragrafoelenco"/>
        <w:numPr>
          <w:ilvl w:val="0"/>
          <w:numId w:val="25"/>
        </w:numPr>
        <w:tabs>
          <w:tab w:val="left" w:pos="851"/>
        </w:tabs>
        <w:autoSpaceDE w:val="0"/>
        <w:autoSpaceDN w:val="0"/>
        <w:adjustRightInd w:val="0"/>
        <w:spacing w:before="120" w:after="120" w:line="240" w:lineRule="auto"/>
        <w:ind w:left="851" w:right="284" w:hanging="284"/>
        <w:jc w:val="both"/>
        <w:rPr>
          <w:rFonts w:ascii="Segoe UI" w:hAnsi="Segoe UI" w:cs="Segoe UI"/>
          <w:color w:val="525252" w:themeColor="accent3" w:themeShade="80"/>
          <w:sz w:val="20"/>
          <w:szCs w:val="20"/>
          <w:lang w:val="en-US"/>
        </w:rPr>
      </w:pPr>
      <w:r w:rsidRPr="00EC0949">
        <w:rPr>
          <w:rFonts w:ascii="Segoe UI" w:hAnsi="Segoe UI" w:cs="Segoe UI"/>
          <w:color w:val="525252" w:themeColor="accent3" w:themeShade="80"/>
          <w:sz w:val="20"/>
          <w:szCs w:val="20"/>
          <w:lang w:val="en-US"/>
        </w:rPr>
        <w:t>Determining the information to disclose about</w:t>
      </w:r>
      <w:r w:rsidR="00F425C4" w:rsidRPr="00EC0949">
        <w:rPr>
          <w:rFonts w:ascii="Segoe UI" w:hAnsi="Segoe UI" w:cs="Segoe UI"/>
          <w:color w:val="525252" w:themeColor="accent3" w:themeShade="80"/>
          <w:sz w:val="20"/>
          <w:szCs w:val="20"/>
          <w:lang w:val="en-US"/>
        </w:rPr>
        <w:t xml:space="preserve"> </w:t>
      </w:r>
      <w:r w:rsidRPr="00EC0949">
        <w:rPr>
          <w:rFonts w:ascii="Segoe UI" w:hAnsi="Segoe UI" w:cs="Segoe UI"/>
          <w:color w:val="525252" w:themeColor="accent3" w:themeShade="80"/>
          <w:sz w:val="20"/>
          <w:szCs w:val="20"/>
          <w:lang w:val="en-US"/>
        </w:rPr>
        <w:t>material matters (see paragraph 3.29).</w:t>
      </w:r>
    </w:p>
    <w:p w14:paraId="61C964A1" w14:textId="73B11BF2" w:rsidR="004210ED" w:rsidRPr="00EC0949" w:rsidRDefault="004210ED" w:rsidP="00EC0949">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EC0949">
        <w:rPr>
          <w:rFonts w:ascii="Segoe UI" w:hAnsi="Segoe UI" w:cs="Segoe UI"/>
          <w:color w:val="525252" w:themeColor="accent3" w:themeShade="80"/>
          <w:sz w:val="20"/>
          <w:szCs w:val="20"/>
          <w:lang w:val="en-US" w:eastAsia="it-IT"/>
        </w:rPr>
        <w:t>3.19 This process applies to both positive and negative</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matters, including risks and opportunities and</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favourable and unfavourable performance or</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prospects. It also applies to both financial and</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other information. Such matters may have direct</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implications for the organization itself or may</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affect the capitals owned by or available to</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others.</w:t>
      </w:r>
    </w:p>
    <w:p w14:paraId="68D2BB9B" w14:textId="0F6A1573" w:rsidR="004210ED" w:rsidRPr="00EC0949" w:rsidRDefault="004210ED" w:rsidP="00EC0949">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EC0949">
        <w:rPr>
          <w:rFonts w:ascii="Segoe UI" w:hAnsi="Segoe UI" w:cs="Segoe UI"/>
          <w:color w:val="525252" w:themeColor="accent3" w:themeShade="80"/>
          <w:sz w:val="20"/>
          <w:szCs w:val="20"/>
          <w:lang w:val="en-US" w:eastAsia="it-IT"/>
        </w:rPr>
        <w:t>3.20 To be most effective, the materiality determination</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process is integrated into the organization’s</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management processes and includes regular</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engagement with providers of financial capital</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and others to ensure the integrated report meets</w:t>
      </w:r>
      <w:r w:rsidR="00F425C4" w:rsidRPr="00EC0949">
        <w:rPr>
          <w:rFonts w:ascii="Segoe UI" w:hAnsi="Segoe UI" w:cs="Segoe UI"/>
          <w:color w:val="525252" w:themeColor="accent3" w:themeShade="80"/>
          <w:sz w:val="20"/>
          <w:szCs w:val="20"/>
          <w:lang w:val="en-US" w:eastAsia="it-IT"/>
        </w:rPr>
        <w:t xml:space="preserve"> </w:t>
      </w:r>
      <w:r w:rsidRPr="00EC0949">
        <w:rPr>
          <w:rFonts w:ascii="Segoe UI" w:hAnsi="Segoe UI" w:cs="Segoe UI"/>
          <w:color w:val="525252" w:themeColor="accent3" w:themeShade="80"/>
          <w:sz w:val="20"/>
          <w:szCs w:val="20"/>
          <w:lang w:val="en-US" w:eastAsia="it-IT"/>
        </w:rPr>
        <w:t>its primary purpose as noted in paragraph 1.7.</w:t>
      </w:r>
    </w:p>
    <w:p w14:paraId="3E493FF6" w14:textId="77777777" w:rsidR="00F425C4" w:rsidRPr="00EC0949" w:rsidRDefault="00F425C4" w:rsidP="00EC0949">
      <w:pPr>
        <w:keepNext/>
        <w:keepLines/>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EC0949">
        <w:rPr>
          <w:rFonts w:ascii="Segoe UI" w:hAnsi="Segoe UI" w:cs="Segoe UI"/>
          <w:color w:val="525252" w:themeColor="accent3" w:themeShade="80"/>
          <w:sz w:val="20"/>
          <w:szCs w:val="20"/>
          <w:lang w:val="en-US" w:eastAsia="it-IT"/>
        </w:rPr>
        <w:t>Identifying relevant matters</w:t>
      </w:r>
    </w:p>
    <w:p w14:paraId="586C1794" w14:textId="06D80F96" w:rsidR="004210ED" w:rsidRPr="00EC0949" w:rsidRDefault="00F425C4" w:rsidP="00EC0949">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EC0949">
        <w:rPr>
          <w:rFonts w:ascii="Segoe UI" w:hAnsi="Segoe UI" w:cs="Segoe UI"/>
          <w:color w:val="525252" w:themeColor="accent3" w:themeShade="80"/>
          <w:sz w:val="20"/>
          <w:szCs w:val="20"/>
          <w:lang w:val="en-US" w:eastAsia="it-IT"/>
        </w:rPr>
        <w:t>3.21 Relevant matters are those that have, or may have, an effect on the organization’s ability to create value. This is determined by considering their effect on the organization’s strategy, governance, performance or prospects.</w:t>
      </w:r>
    </w:p>
    <w:p w14:paraId="3A0AA342" w14:textId="60332807" w:rsidR="004210ED" w:rsidRPr="00EC0949" w:rsidRDefault="00F425C4" w:rsidP="00EC0949">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EC0949">
        <w:rPr>
          <w:rFonts w:ascii="Segoe UI" w:hAnsi="Segoe UI" w:cs="Segoe UI"/>
          <w:color w:val="525252" w:themeColor="accent3" w:themeShade="80"/>
          <w:sz w:val="20"/>
          <w:szCs w:val="20"/>
          <w:lang w:val="en-US" w:eastAsia="it-IT"/>
        </w:rPr>
        <w:t>[…]</w:t>
      </w:r>
    </w:p>
    <w:p w14:paraId="3C10E65E" w14:textId="77777777" w:rsidR="00F425C4" w:rsidRPr="00EC0949" w:rsidRDefault="00F425C4" w:rsidP="00EC0949">
      <w:pPr>
        <w:keepNext/>
        <w:keepLines/>
        <w:spacing w:before="120" w:after="120" w:line="240" w:lineRule="auto"/>
        <w:ind w:left="284" w:right="282"/>
        <w:jc w:val="both"/>
        <w:rPr>
          <w:rFonts w:ascii="Segoe UI" w:hAnsi="Segoe UI" w:cs="Segoe UI"/>
          <w:color w:val="525252" w:themeColor="accent3" w:themeShade="80"/>
          <w:sz w:val="20"/>
          <w:szCs w:val="20"/>
          <w:lang w:val="en-US" w:eastAsia="it-IT"/>
        </w:rPr>
      </w:pPr>
      <w:r w:rsidRPr="00EC0949">
        <w:rPr>
          <w:rFonts w:ascii="Segoe UI" w:hAnsi="Segoe UI" w:cs="Segoe UI"/>
          <w:color w:val="525252" w:themeColor="accent3" w:themeShade="80"/>
          <w:sz w:val="20"/>
          <w:szCs w:val="20"/>
          <w:lang w:val="en-US" w:eastAsia="it-IT"/>
        </w:rPr>
        <w:t>Evaluating importance</w:t>
      </w:r>
    </w:p>
    <w:p w14:paraId="0501C187" w14:textId="03943B77" w:rsidR="00F425C4" w:rsidRPr="00EC0949" w:rsidRDefault="00F425C4" w:rsidP="00EC0949">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val="en-US" w:eastAsia="it-IT"/>
        </w:rPr>
      </w:pPr>
      <w:r w:rsidRPr="00EC0949">
        <w:rPr>
          <w:rFonts w:ascii="Segoe UI" w:hAnsi="Segoe UI" w:cs="Segoe UI"/>
          <w:color w:val="525252" w:themeColor="accent3" w:themeShade="80"/>
          <w:sz w:val="20"/>
          <w:szCs w:val="20"/>
          <w:lang w:val="en-US" w:eastAsia="it-IT"/>
        </w:rPr>
        <w:t>3.24 Not all relevant matters will be considered material. To be included in an integrated report, a matter also needs to be sufficiently important in terms of its known or potential effect on value creation. This involves evaluating the magnitude of the matter’s effect and, if it is uncertain whether the matter will occur, its likelihood of occurrence.”.</w:t>
      </w:r>
    </w:p>
    <w:p w14:paraId="35C29C9D" w14:textId="7BF7D42C" w:rsidR="00F425C4" w:rsidRPr="002E6836" w:rsidRDefault="006F0E53" w:rsidP="002E6836">
      <w:pPr>
        <w:autoSpaceDE w:val="0"/>
        <w:autoSpaceDN w:val="0"/>
        <w:adjustRightInd w:val="0"/>
        <w:spacing w:before="120" w:after="120" w:line="240" w:lineRule="auto"/>
        <w:jc w:val="both"/>
        <w:rPr>
          <w:rFonts w:ascii="Segoe UI" w:hAnsi="Segoe UI" w:cs="Segoe UI"/>
          <w:lang w:eastAsia="it-IT"/>
        </w:rPr>
      </w:pPr>
      <w:r>
        <w:rPr>
          <w:rFonts w:ascii="Segoe UI" w:hAnsi="Segoe UI" w:cs="Segoe UI"/>
          <w:lang w:eastAsia="it-IT"/>
        </w:rPr>
        <w:t xml:space="preserve">Di seguito, quindi, </w:t>
      </w:r>
      <w:r w:rsidR="002E1C4C" w:rsidRPr="002E6836">
        <w:rPr>
          <w:rFonts w:ascii="Segoe UI" w:hAnsi="Segoe UI" w:cs="Segoe UI"/>
          <w:lang w:eastAsia="it-IT"/>
        </w:rPr>
        <w:t>la traduzione in italiano di tale fondamentale rapporto</w:t>
      </w:r>
      <w:r w:rsidR="00BD473D">
        <w:rPr>
          <w:rFonts w:ascii="Segoe UI" w:hAnsi="Segoe UI" w:cs="Segoe UI"/>
          <w:lang w:eastAsia="it-IT"/>
        </w:rPr>
        <w:t>,</w:t>
      </w:r>
      <w:r w:rsidR="002E1C4C" w:rsidRPr="002E6836">
        <w:rPr>
          <w:rFonts w:ascii="Segoe UI" w:hAnsi="Segoe UI" w:cs="Segoe UI"/>
          <w:lang w:eastAsia="it-IT"/>
        </w:rPr>
        <w:t xml:space="preserve"> espresso nella determinazione della mate</w:t>
      </w:r>
      <w:r w:rsidR="002E6836">
        <w:rPr>
          <w:rFonts w:ascii="Segoe UI" w:hAnsi="Segoe UI" w:cs="Segoe UI"/>
          <w:lang w:eastAsia="it-IT"/>
        </w:rPr>
        <w:t>r</w:t>
      </w:r>
      <w:r w:rsidR="002E1C4C" w:rsidRPr="002E6836">
        <w:rPr>
          <w:rFonts w:ascii="Segoe UI" w:hAnsi="Segoe UI" w:cs="Segoe UI"/>
          <w:lang w:eastAsia="it-IT"/>
        </w:rPr>
        <w:t>ialità nella prospettiva dell’IR Framework 1.0:</w:t>
      </w:r>
    </w:p>
    <w:p w14:paraId="31B8EA97" w14:textId="16D4028A" w:rsidR="00F425C4" w:rsidRPr="00EC0949" w:rsidRDefault="002E1C4C" w:rsidP="00EC0949">
      <w:pPr>
        <w:keepNext/>
        <w:keepLines/>
        <w:spacing w:before="120" w:after="120" w:line="240" w:lineRule="auto"/>
        <w:ind w:left="284" w:right="282"/>
        <w:jc w:val="both"/>
        <w:rPr>
          <w:rFonts w:ascii="Segoe UI" w:hAnsi="Segoe UI" w:cs="Segoe UI"/>
          <w:color w:val="525252" w:themeColor="accent3" w:themeShade="80"/>
          <w:sz w:val="20"/>
          <w:szCs w:val="20"/>
          <w:lang w:eastAsia="it-IT"/>
        </w:rPr>
      </w:pPr>
      <w:r w:rsidRPr="00EC0949">
        <w:rPr>
          <w:rFonts w:ascii="Segoe UI" w:hAnsi="Segoe UI" w:cs="Segoe UI"/>
          <w:color w:val="525252" w:themeColor="accent3" w:themeShade="80"/>
          <w:sz w:val="20"/>
          <w:szCs w:val="20"/>
          <w:lang w:eastAsia="it-IT"/>
        </w:rPr>
        <w:t>“</w:t>
      </w:r>
      <w:r w:rsidR="00F425C4" w:rsidRPr="00EC0949">
        <w:rPr>
          <w:rFonts w:ascii="Segoe UI" w:hAnsi="Segoe UI" w:cs="Segoe UI"/>
          <w:color w:val="525252" w:themeColor="accent3" w:themeShade="80"/>
          <w:sz w:val="20"/>
          <w:szCs w:val="20"/>
          <w:lang w:eastAsia="it-IT"/>
        </w:rPr>
        <w:t>3D Materialità</w:t>
      </w:r>
    </w:p>
    <w:p w14:paraId="0F4E6FB5" w14:textId="580FDDC4" w:rsidR="00F425C4" w:rsidRPr="00EC0949" w:rsidRDefault="00F425C4" w:rsidP="00EC0949">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EC0949">
        <w:rPr>
          <w:rFonts w:ascii="Segoe UI" w:hAnsi="Segoe UI" w:cs="Segoe UI"/>
          <w:color w:val="525252" w:themeColor="accent3" w:themeShade="80"/>
          <w:sz w:val="20"/>
          <w:szCs w:val="20"/>
          <w:lang w:eastAsia="it-IT"/>
        </w:rPr>
        <w:t>3.17 Un report integrato deve fornire informazioni sugli</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aspetti che influiscono in modo significativo sulla</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capacità dell'organizzazione di creare valore nel</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breve, medio e lungo termine.</w:t>
      </w:r>
    </w:p>
    <w:p w14:paraId="4F202734" w14:textId="77777777" w:rsidR="00F425C4" w:rsidRPr="00EC0949" w:rsidRDefault="00F425C4" w:rsidP="004426A2">
      <w:pPr>
        <w:keepNext/>
        <w:keepLines/>
        <w:spacing w:before="120" w:after="120" w:line="240" w:lineRule="auto"/>
        <w:ind w:left="284" w:right="284"/>
        <w:jc w:val="both"/>
        <w:rPr>
          <w:rFonts w:ascii="Segoe UI" w:hAnsi="Segoe UI" w:cs="Segoe UI"/>
          <w:color w:val="525252" w:themeColor="accent3" w:themeShade="80"/>
          <w:sz w:val="20"/>
          <w:szCs w:val="20"/>
          <w:lang w:eastAsia="it-IT"/>
        </w:rPr>
      </w:pPr>
      <w:r w:rsidRPr="00EC0949">
        <w:rPr>
          <w:rFonts w:ascii="Segoe UI" w:hAnsi="Segoe UI" w:cs="Segoe UI"/>
          <w:color w:val="525252" w:themeColor="accent3" w:themeShade="80"/>
          <w:sz w:val="20"/>
          <w:szCs w:val="20"/>
          <w:lang w:eastAsia="it-IT"/>
        </w:rPr>
        <w:t>Il processo di determinazione della materialità</w:t>
      </w:r>
    </w:p>
    <w:p w14:paraId="7A9DBCF6" w14:textId="72770F6E" w:rsidR="00F425C4" w:rsidRPr="00EC0949" w:rsidRDefault="00F425C4" w:rsidP="006F1D1C">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EC0949">
        <w:rPr>
          <w:rFonts w:ascii="Segoe UI" w:hAnsi="Segoe UI" w:cs="Segoe UI"/>
          <w:color w:val="525252" w:themeColor="accent3" w:themeShade="80"/>
          <w:sz w:val="20"/>
          <w:szCs w:val="20"/>
          <w:lang w:eastAsia="it-IT"/>
        </w:rPr>
        <w:t>3.18 Per determinare la materialità ai fini della redazione e</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presentazione di un report integrato è necessario:</w:t>
      </w:r>
    </w:p>
    <w:p w14:paraId="00A369BC" w14:textId="79F1CA53" w:rsidR="00F425C4" w:rsidRPr="00EC0949" w:rsidRDefault="00F425C4" w:rsidP="005C4782">
      <w:pPr>
        <w:pStyle w:val="Paragrafoelenco"/>
        <w:numPr>
          <w:ilvl w:val="0"/>
          <w:numId w:val="25"/>
        </w:numPr>
        <w:tabs>
          <w:tab w:val="left" w:pos="851"/>
        </w:tabs>
        <w:autoSpaceDE w:val="0"/>
        <w:autoSpaceDN w:val="0"/>
        <w:adjustRightInd w:val="0"/>
        <w:spacing w:before="120" w:after="120" w:line="240" w:lineRule="auto"/>
        <w:ind w:left="851" w:right="284" w:hanging="284"/>
        <w:jc w:val="both"/>
        <w:rPr>
          <w:rFonts w:ascii="Segoe UI" w:hAnsi="Segoe UI" w:cs="Segoe UI"/>
          <w:color w:val="525252" w:themeColor="accent3" w:themeShade="80"/>
          <w:sz w:val="20"/>
          <w:szCs w:val="20"/>
        </w:rPr>
      </w:pPr>
      <w:r w:rsidRPr="00EC0949">
        <w:rPr>
          <w:rFonts w:ascii="Segoe UI" w:hAnsi="Segoe UI" w:cs="Segoe UI"/>
          <w:color w:val="525252" w:themeColor="accent3" w:themeShade="80"/>
          <w:sz w:val="20"/>
          <w:szCs w:val="20"/>
        </w:rPr>
        <w:t>Identificare gli aspetti rilevanti in base alla loro</w:t>
      </w:r>
      <w:r w:rsidR="002E1C4C" w:rsidRPr="00EC0949">
        <w:rPr>
          <w:rFonts w:ascii="Segoe UI" w:hAnsi="Segoe UI" w:cs="Segoe UI"/>
          <w:color w:val="525252" w:themeColor="accent3" w:themeShade="80"/>
          <w:sz w:val="20"/>
          <w:szCs w:val="20"/>
        </w:rPr>
        <w:t xml:space="preserve"> </w:t>
      </w:r>
      <w:r w:rsidRPr="00EC0949">
        <w:rPr>
          <w:rFonts w:ascii="Segoe UI" w:hAnsi="Segoe UI" w:cs="Segoe UI"/>
          <w:color w:val="525252" w:themeColor="accent3" w:themeShade="80"/>
          <w:sz w:val="20"/>
          <w:szCs w:val="20"/>
        </w:rPr>
        <w:t>capacità di influire sulla creazione di valore, come</w:t>
      </w:r>
      <w:r w:rsidR="002E1C4C" w:rsidRPr="00EC0949">
        <w:rPr>
          <w:rFonts w:ascii="Segoe UI" w:hAnsi="Segoe UI" w:cs="Segoe UI"/>
          <w:color w:val="525252" w:themeColor="accent3" w:themeShade="80"/>
          <w:sz w:val="20"/>
          <w:szCs w:val="20"/>
        </w:rPr>
        <w:t xml:space="preserve"> </w:t>
      </w:r>
      <w:r w:rsidRPr="00EC0949">
        <w:rPr>
          <w:rFonts w:ascii="Segoe UI" w:hAnsi="Segoe UI" w:cs="Segoe UI"/>
          <w:color w:val="525252" w:themeColor="accent3" w:themeShade="80"/>
          <w:sz w:val="20"/>
          <w:szCs w:val="20"/>
        </w:rPr>
        <w:t>illustrato nella Sezione 2B (vedere paragrafi</w:t>
      </w:r>
      <w:r w:rsidR="002E1C4C" w:rsidRPr="00EC0949">
        <w:rPr>
          <w:rFonts w:ascii="Segoe UI" w:hAnsi="Segoe UI" w:cs="Segoe UI"/>
          <w:color w:val="525252" w:themeColor="accent3" w:themeShade="80"/>
          <w:sz w:val="20"/>
          <w:szCs w:val="20"/>
        </w:rPr>
        <w:t xml:space="preserve"> </w:t>
      </w:r>
      <w:r w:rsidRPr="00EC0949">
        <w:rPr>
          <w:rFonts w:ascii="Segoe UI" w:hAnsi="Segoe UI" w:cs="Segoe UI"/>
          <w:color w:val="525252" w:themeColor="accent3" w:themeShade="80"/>
          <w:sz w:val="20"/>
          <w:szCs w:val="20"/>
        </w:rPr>
        <w:t>3.21–3.23)</w:t>
      </w:r>
    </w:p>
    <w:p w14:paraId="7718587F" w14:textId="64A7D606" w:rsidR="00F425C4" w:rsidRPr="00EC0949" w:rsidRDefault="00F425C4" w:rsidP="005C4782">
      <w:pPr>
        <w:pStyle w:val="Paragrafoelenco"/>
        <w:numPr>
          <w:ilvl w:val="0"/>
          <w:numId w:val="25"/>
        </w:numPr>
        <w:tabs>
          <w:tab w:val="left" w:pos="851"/>
        </w:tabs>
        <w:autoSpaceDE w:val="0"/>
        <w:autoSpaceDN w:val="0"/>
        <w:adjustRightInd w:val="0"/>
        <w:spacing w:before="120" w:after="120" w:line="240" w:lineRule="auto"/>
        <w:ind w:left="851" w:right="284" w:hanging="284"/>
        <w:jc w:val="both"/>
        <w:rPr>
          <w:rFonts w:ascii="Segoe UI" w:hAnsi="Segoe UI" w:cs="Segoe UI"/>
          <w:color w:val="525252" w:themeColor="accent3" w:themeShade="80"/>
          <w:sz w:val="20"/>
          <w:szCs w:val="20"/>
        </w:rPr>
      </w:pPr>
      <w:r w:rsidRPr="00EC0949">
        <w:rPr>
          <w:rFonts w:ascii="Segoe UI" w:hAnsi="Segoe UI" w:cs="Segoe UI"/>
          <w:color w:val="525252" w:themeColor="accent3" w:themeShade="80"/>
          <w:sz w:val="20"/>
          <w:szCs w:val="20"/>
        </w:rPr>
        <w:t>Valutare l'importanza degli aspetti rilevanti in</w:t>
      </w:r>
      <w:r w:rsidR="002E1C4C" w:rsidRPr="00EC0949">
        <w:rPr>
          <w:rFonts w:ascii="Segoe UI" w:hAnsi="Segoe UI" w:cs="Segoe UI"/>
          <w:color w:val="525252" w:themeColor="accent3" w:themeShade="80"/>
          <w:sz w:val="20"/>
          <w:szCs w:val="20"/>
        </w:rPr>
        <w:t xml:space="preserve"> </w:t>
      </w:r>
      <w:r w:rsidRPr="00EC0949">
        <w:rPr>
          <w:rFonts w:ascii="Segoe UI" w:hAnsi="Segoe UI" w:cs="Segoe UI"/>
          <w:color w:val="525252" w:themeColor="accent3" w:themeShade="80"/>
          <w:sz w:val="20"/>
          <w:szCs w:val="20"/>
        </w:rPr>
        <w:t>relazione ai relativi effetti noti o potenziali sulla</w:t>
      </w:r>
      <w:r w:rsidR="002E1C4C" w:rsidRPr="00EC0949">
        <w:rPr>
          <w:rFonts w:ascii="Segoe UI" w:hAnsi="Segoe UI" w:cs="Segoe UI"/>
          <w:color w:val="525252" w:themeColor="accent3" w:themeShade="80"/>
          <w:sz w:val="20"/>
          <w:szCs w:val="20"/>
        </w:rPr>
        <w:t xml:space="preserve"> </w:t>
      </w:r>
      <w:r w:rsidRPr="00EC0949">
        <w:rPr>
          <w:rFonts w:ascii="Segoe UI" w:hAnsi="Segoe UI" w:cs="Segoe UI"/>
          <w:color w:val="525252" w:themeColor="accent3" w:themeShade="80"/>
          <w:sz w:val="20"/>
          <w:szCs w:val="20"/>
        </w:rPr>
        <w:t>creazione di valore (vedere paragrafi 3.24–3.27)</w:t>
      </w:r>
    </w:p>
    <w:p w14:paraId="5B595BEF" w14:textId="6489D069" w:rsidR="00F425C4" w:rsidRPr="00EC0949" w:rsidRDefault="00F425C4" w:rsidP="005C4782">
      <w:pPr>
        <w:pStyle w:val="Paragrafoelenco"/>
        <w:numPr>
          <w:ilvl w:val="0"/>
          <w:numId w:val="25"/>
        </w:numPr>
        <w:tabs>
          <w:tab w:val="left" w:pos="851"/>
        </w:tabs>
        <w:autoSpaceDE w:val="0"/>
        <w:autoSpaceDN w:val="0"/>
        <w:adjustRightInd w:val="0"/>
        <w:spacing w:before="120" w:after="120" w:line="240" w:lineRule="auto"/>
        <w:ind w:left="851" w:right="284" w:hanging="284"/>
        <w:jc w:val="both"/>
        <w:rPr>
          <w:rFonts w:ascii="Segoe UI" w:hAnsi="Segoe UI" w:cs="Segoe UI"/>
          <w:color w:val="525252" w:themeColor="accent3" w:themeShade="80"/>
          <w:sz w:val="20"/>
          <w:szCs w:val="20"/>
        </w:rPr>
      </w:pPr>
      <w:r w:rsidRPr="00EC0949">
        <w:rPr>
          <w:rFonts w:ascii="Segoe UI" w:hAnsi="Segoe UI" w:cs="Segoe UI"/>
          <w:color w:val="525252" w:themeColor="accent3" w:themeShade="80"/>
          <w:sz w:val="20"/>
          <w:szCs w:val="20"/>
        </w:rPr>
        <w:t>Attribuire a tali aspetti una priorità basata sulla</w:t>
      </w:r>
      <w:r w:rsidR="002E1C4C" w:rsidRPr="00EC0949">
        <w:rPr>
          <w:rFonts w:ascii="Segoe UI" w:hAnsi="Segoe UI" w:cs="Segoe UI"/>
          <w:color w:val="525252" w:themeColor="accent3" w:themeShade="80"/>
          <w:sz w:val="20"/>
          <w:szCs w:val="20"/>
        </w:rPr>
        <w:t xml:space="preserve"> </w:t>
      </w:r>
      <w:r w:rsidRPr="00EC0949">
        <w:rPr>
          <w:rFonts w:ascii="Segoe UI" w:hAnsi="Segoe UI" w:cs="Segoe UI"/>
          <w:color w:val="525252" w:themeColor="accent3" w:themeShade="80"/>
          <w:sz w:val="20"/>
          <w:szCs w:val="20"/>
        </w:rPr>
        <w:t>loro importanza (vedere paragrafo 3.28)</w:t>
      </w:r>
    </w:p>
    <w:p w14:paraId="4DDA243C" w14:textId="3D9D0577" w:rsidR="00F425C4" w:rsidRPr="00EC0949" w:rsidRDefault="00F425C4" w:rsidP="005C4782">
      <w:pPr>
        <w:pStyle w:val="Paragrafoelenco"/>
        <w:numPr>
          <w:ilvl w:val="0"/>
          <w:numId w:val="25"/>
        </w:numPr>
        <w:tabs>
          <w:tab w:val="left" w:pos="851"/>
        </w:tabs>
        <w:autoSpaceDE w:val="0"/>
        <w:autoSpaceDN w:val="0"/>
        <w:adjustRightInd w:val="0"/>
        <w:spacing w:before="120" w:after="120" w:line="240" w:lineRule="auto"/>
        <w:ind w:left="851" w:right="284" w:hanging="284"/>
        <w:jc w:val="both"/>
        <w:rPr>
          <w:rFonts w:ascii="Segoe UI" w:hAnsi="Segoe UI" w:cs="Segoe UI"/>
          <w:color w:val="525252" w:themeColor="accent3" w:themeShade="80"/>
          <w:sz w:val="20"/>
          <w:szCs w:val="20"/>
        </w:rPr>
      </w:pPr>
      <w:r w:rsidRPr="00EC0949">
        <w:rPr>
          <w:rFonts w:ascii="Segoe UI" w:hAnsi="Segoe UI" w:cs="Segoe UI"/>
          <w:color w:val="525252" w:themeColor="accent3" w:themeShade="80"/>
          <w:sz w:val="20"/>
          <w:szCs w:val="20"/>
        </w:rPr>
        <w:t>Determinare le informazioni da fornire in merito</w:t>
      </w:r>
      <w:r w:rsidR="002E1C4C" w:rsidRPr="00EC0949">
        <w:rPr>
          <w:rFonts w:ascii="Segoe UI" w:hAnsi="Segoe UI" w:cs="Segoe UI"/>
          <w:color w:val="525252" w:themeColor="accent3" w:themeShade="80"/>
          <w:sz w:val="20"/>
          <w:szCs w:val="20"/>
        </w:rPr>
        <w:t xml:space="preserve"> </w:t>
      </w:r>
      <w:r w:rsidRPr="00EC0949">
        <w:rPr>
          <w:rFonts w:ascii="Segoe UI" w:hAnsi="Segoe UI" w:cs="Segoe UI"/>
          <w:color w:val="525252" w:themeColor="accent3" w:themeShade="80"/>
          <w:sz w:val="20"/>
          <w:szCs w:val="20"/>
        </w:rPr>
        <w:t>agli aspetti materiali (vedere paragrafo 3.29).</w:t>
      </w:r>
    </w:p>
    <w:p w14:paraId="61A4EB84" w14:textId="1555DCD0" w:rsidR="00F425C4" w:rsidRPr="00EC0949" w:rsidRDefault="00F425C4" w:rsidP="006F1D1C">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EC0949">
        <w:rPr>
          <w:rFonts w:ascii="Segoe UI" w:hAnsi="Segoe UI" w:cs="Segoe UI"/>
          <w:color w:val="525252" w:themeColor="accent3" w:themeShade="80"/>
          <w:sz w:val="20"/>
          <w:szCs w:val="20"/>
          <w:lang w:eastAsia="it-IT"/>
        </w:rPr>
        <w:t>3.19 Questo processo si applica sia agli aspetti positivi che</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a quelli negativi, inclusi i rischi e le opportunità nonché</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le performance e le prospettive per il futuro, siano esse</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favorevoli o sfavorevoli. Si applica anche alle</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informazioni finanziarie e a quelle non finanziarie.</w:t>
      </w:r>
    </w:p>
    <w:p w14:paraId="63380C52" w14:textId="2DA3A0A0" w:rsidR="00F425C4" w:rsidRPr="00EC0949" w:rsidRDefault="00F425C4" w:rsidP="006F1D1C">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EC0949">
        <w:rPr>
          <w:rFonts w:ascii="Segoe UI" w:hAnsi="Segoe UI" w:cs="Segoe UI"/>
          <w:color w:val="525252" w:themeColor="accent3" w:themeShade="80"/>
          <w:sz w:val="20"/>
          <w:szCs w:val="20"/>
          <w:lang w:eastAsia="it-IT"/>
        </w:rPr>
        <w:t>Tali aspetti possono produrre conseguenze dirette per</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l'organizzazione stessa o possono influire sui capitali</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appartenenti o disponibili ad altri.</w:t>
      </w:r>
    </w:p>
    <w:p w14:paraId="0E3B8622" w14:textId="4874793E" w:rsidR="00F425C4" w:rsidRPr="00EC0949" w:rsidRDefault="00F425C4" w:rsidP="006F1D1C">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EC0949">
        <w:rPr>
          <w:rFonts w:ascii="Segoe UI" w:hAnsi="Segoe UI" w:cs="Segoe UI"/>
          <w:color w:val="525252" w:themeColor="accent3" w:themeShade="80"/>
          <w:sz w:val="20"/>
          <w:szCs w:val="20"/>
          <w:lang w:eastAsia="it-IT"/>
        </w:rPr>
        <w:t>3.20 Per essere realmente efficace, il processo di</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determinazione della materialità deve essere integrato</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nei processi di gestione dell'organizzazione e</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includere un coinvolgimento regolare dei fornitori di</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capitale e di altri, al fine di assicurare che il report</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integrato raggiunga il suo obiettivo principale, come</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illustrato nel paragrafo 1.7.</w:t>
      </w:r>
    </w:p>
    <w:p w14:paraId="1C9591CF" w14:textId="77777777" w:rsidR="00F425C4" w:rsidRPr="00EC0949" w:rsidRDefault="00F425C4" w:rsidP="006F1D1C">
      <w:pPr>
        <w:keepNext/>
        <w:keepLines/>
        <w:spacing w:before="120" w:after="120" w:line="240" w:lineRule="auto"/>
        <w:ind w:left="284" w:right="282"/>
        <w:jc w:val="both"/>
        <w:rPr>
          <w:rFonts w:ascii="Segoe UI" w:hAnsi="Segoe UI" w:cs="Segoe UI"/>
          <w:color w:val="525252" w:themeColor="accent3" w:themeShade="80"/>
          <w:sz w:val="20"/>
          <w:szCs w:val="20"/>
          <w:lang w:eastAsia="it-IT"/>
        </w:rPr>
      </w:pPr>
      <w:r w:rsidRPr="00EC0949">
        <w:rPr>
          <w:rFonts w:ascii="Segoe UI" w:hAnsi="Segoe UI" w:cs="Segoe UI"/>
          <w:color w:val="525252" w:themeColor="accent3" w:themeShade="80"/>
          <w:sz w:val="20"/>
          <w:szCs w:val="20"/>
          <w:lang w:eastAsia="it-IT"/>
        </w:rPr>
        <w:t>Identificazione degli aspetti rilevanti</w:t>
      </w:r>
    </w:p>
    <w:p w14:paraId="68FEE9D6" w14:textId="443F64B3" w:rsidR="00F425C4" w:rsidRPr="00EC0949" w:rsidRDefault="00F425C4" w:rsidP="006F1D1C">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EC0949">
        <w:rPr>
          <w:rFonts w:ascii="Segoe UI" w:hAnsi="Segoe UI" w:cs="Segoe UI"/>
          <w:color w:val="525252" w:themeColor="accent3" w:themeShade="80"/>
          <w:sz w:val="20"/>
          <w:szCs w:val="20"/>
          <w:lang w:eastAsia="it-IT"/>
        </w:rPr>
        <w:t>3.21 Gli aspetti rilevanti sono quelli che hanno influenzato o</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potrebbero influenzare la capacità</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dell’organizzazione di creare valore. Per identificarli è</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necessario considerare il loro impatto sulla strategia,</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sulla governance, sulla performance e sulle prospettive</w:t>
      </w:r>
      <w:r w:rsidR="002E1C4C" w:rsidRPr="00EC0949">
        <w:rPr>
          <w:rFonts w:ascii="Segoe UI" w:hAnsi="Segoe UI" w:cs="Segoe UI"/>
          <w:color w:val="525252" w:themeColor="accent3" w:themeShade="80"/>
          <w:sz w:val="20"/>
          <w:szCs w:val="20"/>
          <w:lang w:eastAsia="it-IT"/>
        </w:rPr>
        <w:t xml:space="preserve"> </w:t>
      </w:r>
      <w:r w:rsidRPr="00EC0949">
        <w:rPr>
          <w:rFonts w:ascii="Segoe UI" w:hAnsi="Segoe UI" w:cs="Segoe UI"/>
          <w:color w:val="525252" w:themeColor="accent3" w:themeShade="80"/>
          <w:sz w:val="20"/>
          <w:szCs w:val="20"/>
          <w:lang w:eastAsia="it-IT"/>
        </w:rPr>
        <w:t>per il futuro dell'organizzazione.</w:t>
      </w:r>
    </w:p>
    <w:p w14:paraId="2C8B88A3" w14:textId="3139B3F3" w:rsidR="00F425C4" w:rsidRPr="00EC0949" w:rsidRDefault="00F425C4" w:rsidP="006F1D1C">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EC0949">
        <w:rPr>
          <w:rFonts w:ascii="Segoe UI" w:hAnsi="Segoe UI" w:cs="Segoe UI"/>
          <w:color w:val="525252" w:themeColor="accent3" w:themeShade="80"/>
          <w:sz w:val="20"/>
          <w:szCs w:val="20"/>
          <w:lang w:eastAsia="it-IT"/>
        </w:rPr>
        <w:t>[…]</w:t>
      </w:r>
    </w:p>
    <w:p w14:paraId="12764E65" w14:textId="77777777" w:rsidR="00F425C4" w:rsidRPr="00EC0949" w:rsidRDefault="00F425C4" w:rsidP="006F1D1C">
      <w:pPr>
        <w:keepNext/>
        <w:keepLines/>
        <w:spacing w:before="120" w:after="120" w:line="240" w:lineRule="auto"/>
        <w:ind w:left="284" w:right="282"/>
        <w:jc w:val="both"/>
        <w:rPr>
          <w:rFonts w:ascii="Segoe UI" w:hAnsi="Segoe UI" w:cs="Segoe UI"/>
          <w:color w:val="525252" w:themeColor="accent3" w:themeShade="80"/>
          <w:sz w:val="20"/>
          <w:szCs w:val="20"/>
          <w:lang w:eastAsia="it-IT"/>
        </w:rPr>
      </w:pPr>
      <w:r w:rsidRPr="00EC0949">
        <w:rPr>
          <w:rFonts w:ascii="Segoe UI" w:hAnsi="Segoe UI" w:cs="Segoe UI"/>
          <w:color w:val="525252" w:themeColor="accent3" w:themeShade="80"/>
          <w:sz w:val="20"/>
          <w:szCs w:val="20"/>
          <w:lang w:eastAsia="it-IT"/>
        </w:rPr>
        <w:t>Valutare l'importanza</w:t>
      </w:r>
    </w:p>
    <w:p w14:paraId="4A948B2B" w14:textId="74F9672B" w:rsidR="00F425C4" w:rsidRPr="00EC0949" w:rsidRDefault="00F425C4" w:rsidP="006F1D1C">
      <w:pPr>
        <w:autoSpaceDE w:val="0"/>
        <w:autoSpaceDN w:val="0"/>
        <w:adjustRightInd w:val="0"/>
        <w:spacing w:before="120" w:after="120" w:line="240" w:lineRule="auto"/>
        <w:ind w:left="284" w:right="282"/>
        <w:jc w:val="both"/>
        <w:rPr>
          <w:rFonts w:ascii="Segoe UI" w:hAnsi="Segoe UI" w:cs="Segoe UI"/>
          <w:color w:val="525252" w:themeColor="accent3" w:themeShade="80"/>
          <w:sz w:val="20"/>
          <w:szCs w:val="20"/>
          <w:lang w:eastAsia="it-IT"/>
        </w:rPr>
      </w:pPr>
      <w:r w:rsidRPr="00EC0949">
        <w:rPr>
          <w:rFonts w:ascii="Segoe UI" w:hAnsi="Segoe UI" w:cs="Segoe UI"/>
          <w:color w:val="525252" w:themeColor="accent3" w:themeShade="80"/>
          <w:sz w:val="20"/>
          <w:szCs w:val="20"/>
          <w:lang w:eastAsia="it-IT"/>
        </w:rPr>
        <w:t>3.24 Non tutte le questioni rilevanti possono essere considerate materiali. Per essere incluso in un report integrato, un aspetto deve essere anche sufficientemente importante in relazione agli effetti noti o potenziali sulla creazione di valore. È pertanto necessario valutare la portata dell'impatto dell’aspetto e, se non si è certi che tale aspetto si manifesterà, la</w:t>
      </w:r>
      <w:r w:rsidR="00CC50B6" w:rsidRPr="00EC0949">
        <w:rPr>
          <w:rFonts w:ascii="Segoe UI" w:hAnsi="Segoe UI" w:cs="Segoe UI"/>
          <w:color w:val="525252" w:themeColor="accent3" w:themeShade="80"/>
          <w:sz w:val="20"/>
          <w:szCs w:val="20"/>
          <w:lang w:eastAsia="it-IT"/>
        </w:rPr>
        <w:t xml:space="preserve"> probabilità che si manifesti”.</w:t>
      </w:r>
    </w:p>
    <w:p w14:paraId="7179E8A7" w14:textId="77777777" w:rsidR="00345B56" w:rsidRDefault="00F33B30" w:rsidP="0080248C">
      <w:pPr>
        <w:spacing w:before="120" w:after="120" w:line="240" w:lineRule="auto"/>
        <w:jc w:val="both"/>
        <w:rPr>
          <w:rFonts w:ascii="Segoe UI" w:hAnsi="Segoe UI" w:cs="Segoe UI"/>
          <w:lang w:eastAsia="it-IT"/>
        </w:rPr>
      </w:pPr>
      <w:r>
        <w:rPr>
          <w:rFonts w:ascii="Segoe UI" w:hAnsi="Segoe UI" w:cs="Segoe UI"/>
          <w:lang w:eastAsia="it-IT"/>
        </w:rPr>
        <w:t xml:space="preserve">Conclusione: </w:t>
      </w:r>
      <w:r w:rsidR="001A2A66">
        <w:rPr>
          <w:rFonts w:ascii="Segoe UI" w:hAnsi="Segoe UI" w:cs="Segoe UI"/>
          <w:lang w:eastAsia="it-IT"/>
        </w:rPr>
        <w:t xml:space="preserve">la traduzione italiana dei due termini è generalmente univoca e la loro interpretazione fedele ai concetti originari: </w:t>
      </w:r>
      <w:r w:rsidRPr="002E6836">
        <w:rPr>
          <w:rFonts w:ascii="Segoe UI" w:hAnsi="Segoe UI" w:cs="Segoe UI"/>
          <w:lang w:eastAsia="it-IT"/>
        </w:rPr>
        <w:t>“</w:t>
      </w:r>
      <w:r w:rsidRPr="00F33B30">
        <w:rPr>
          <w:rFonts w:ascii="Segoe UI" w:hAnsi="Segoe UI" w:cs="Segoe UI"/>
          <w:b/>
          <w:i/>
          <w:lang w:eastAsia="it-IT"/>
        </w:rPr>
        <w:t>relevant</w:t>
      </w:r>
      <w:r w:rsidRPr="002E6836">
        <w:rPr>
          <w:rFonts w:ascii="Segoe UI" w:hAnsi="Segoe UI" w:cs="Segoe UI"/>
          <w:lang w:eastAsia="it-IT"/>
        </w:rPr>
        <w:t xml:space="preserve">” </w:t>
      </w:r>
      <w:r>
        <w:rPr>
          <w:rFonts w:ascii="Segoe UI" w:hAnsi="Segoe UI" w:cs="Segoe UI"/>
          <w:lang w:eastAsia="it-IT"/>
        </w:rPr>
        <w:t xml:space="preserve">è quasi sempre </w:t>
      </w:r>
      <w:r w:rsidRPr="002E6836">
        <w:rPr>
          <w:rFonts w:ascii="Segoe UI" w:hAnsi="Segoe UI" w:cs="Segoe UI"/>
          <w:lang w:eastAsia="it-IT"/>
        </w:rPr>
        <w:t>tradotto “</w:t>
      </w:r>
      <w:r w:rsidRPr="00F33B30">
        <w:rPr>
          <w:rFonts w:ascii="Segoe UI" w:hAnsi="Segoe UI" w:cs="Segoe UI"/>
          <w:b/>
          <w:lang w:eastAsia="it-IT"/>
        </w:rPr>
        <w:t>rilevante</w:t>
      </w:r>
      <w:r w:rsidRPr="002E6836">
        <w:rPr>
          <w:rFonts w:ascii="Segoe UI" w:hAnsi="Segoe UI" w:cs="Segoe UI"/>
          <w:lang w:eastAsia="it-IT"/>
        </w:rPr>
        <w:t>”; il termine “</w:t>
      </w:r>
      <w:r w:rsidRPr="00F33B30">
        <w:rPr>
          <w:rFonts w:ascii="Segoe UI" w:hAnsi="Segoe UI" w:cs="Segoe UI"/>
          <w:b/>
          <w:i/>
          <w:lang w:eastAsia="it-IT"/>
        </w:rPr>
        <w:t>material</w:t>
      </w:r>
      <w:r w:rsidRPr="002E6836">
        <w:rPr>
          <w:rFonts w:ascii="Segoe UI" w:hAnsi="Segoe UI" w:cs="Segoe UI"/>
          <w:lang w:eastAsia="it-IT"/>
        </w:rPr>
        <w:t>”, viceversa, anche in questo contesto</w:t>
      </w:r>
      <w:r w:rsidR="001A2A66">
        <w:rPr>
          <w:rFonts w:ascii="Segoe UI" w:hAnsi="Segoe UI" w:cs="Segoe UI"/>
          <w:lang w:eastAsia="it-IT"/>
        </w:rPr>
        <w:t>,</w:t>
      </w:r>
      <w:r w:rsidRPr="002E6836">
        <w:rPr>
          <w:rFonts w:ascii="Segoe UI" w:hAnsi="Segoe UI" w:cs="Segoe UI"/>
          <w:lang w:eastAsia="it-IT"/>
        </w:rPr>
        <w:t xml:space="preserve"> è stato talvolta tradotto con un certo grado di libertà, ma il significato sostanziale emerge con chiarezza dal paragrafo dedicato all</w:t>
      </w:r>
      <w:r w:rsidR="001A2A66">
        <w:rPr>
          <w:rFonts w:ascii="Segoe UI" w:hAnsi="Segoe UI" w:cs="Segoe UI"/>
          <w:lang w:eastAsia="it-IT"/>
        </w:rPr>
        <w:t>’</w:t>
      </w:r>
      <w:r w:rsidRPr="002E6836">
        <w:rPr>
          <w:rFonts w:ascii="Segoe UI" w:hAnsi="Segoe UI" w:cs="Segoe UI"/>
          <w:lang w:eastAsia="it-IT"/>
        </w:rPr>
        <w:t>esplicitazione del concetto di “</w:t>
      </w:r>
      <w:r w:rsidRPr="00F33B30">
        <w:rPr>
          <w:rFonts w:ascii="Segoe UI" w:hAnsi="Segoe UI" w:cs="Segoe UI"/>
          <w:b/>
          <w:lang w:eastAsia="it-IT"/>
        </w:rPr>
        <w:t>materialità</w:t>
      </w:r>
      <w:r w:rsidRPr="002E6836">
        <w:rPr>
          <w:rFonts w:ascii="Segoe UI" w:hAnsi="Segoe UI" w:cs="Segoe UI"/>
          <w:lang w:eastAsia="it-IT"/>
        </w:rPr>
        <w:t xml:space="preserve">” nell’ambito del quale </w:t>
      </w:r>
      <w:r w:rsidR="001A2A66">
        <w:rPr>
          <w:rFonts w:ascii="Segoe UI" w:hAnsi="Segoe UI" w:cs="Segoe UI"/>
          <w:lang w:eastAsia="it-IT"/>
        </w:rPr>
        <w:t xml:space="preserve">ben </w:t>
      </w:r>
      <w:r w:rsidRPr="002E6836">
        <w:rPr>
          <w:rFonts w:ascii="Segoe UI" w:hAnsi="Segoe UI" w:cs="Segoe UI"/>
          <w:lang w:eastAsia="it-IT"/>
        </w:rPr>
        <w:t xml:space="preserve">si comprende </w:t>
      </w:r>
      <w:r>
        <w:rPr>
          <w:rFonts w:ascii="Segoe UI" w:hAnsi="Segoe UI" w:cs="Segoe UI"/>
          <w:lang w:eastAsia="it-IT"/>
        </w:rPr>
        <w:t xml:space="preserve">che non ogni </w:t>
      </w:r>
      <w:r w:rsidRPr="002E6836">
        <w:rPr>
          <w:rFonts w:ascii="Segoe UI" w:hAnsi="Segoe UI" w:cs="Segoe UI"/>
          <w:lang w:eastAsia="it-IT"/>
        </w:rPr>
        <w:t>“</w:t>
      </w:r>
      <w:r w:rsidRPr="002E6836">
        <w:rPr>
          <w:rFonts w:ascii="Segoe UI" w:hAnsi="Segoe UI" w:cs="Segoe UI"/>
          <w:i/>
          <w:lang w:eastAsia="it-IT"/>
        </w:rPr>
        <w:t>relevant matter</w:t>
      </w:r>
      <w:r w:rsidRPr="002E6836">
        <w:rPr>
          <w:rFonts w:ascii="Segoe UI" w:hAnsi="Segoe UI" w:cs="Segoe UI"/>
          <w:lang w:eastAsia="it-IT"/>
        </w:rPr>
        <w:t xml:space="preserve">” </w:t>
      </w:r>
      <w:r w:rsidR="001A2A66">
        <w:rPr>
          <w:rFonts w:ascii="Segoe UI" w:hAnsi="Segoe UI" w:cs="Segoe UI"/>
          <w:lang w:eastAsia="it-IT"/>
        </w:rPr>
        <w:t>debba essere</w:t>
      </w:r>
      <w:r>
        <w:rPr>
          <w:rFonts w:ascii="Segoe UI" w:hAnsi="Segoe UI" w:cs="Segoe UI"/>
          <w:lang w:eastAsia="it-IT"/>
        </w:rPr>
        <w:t xml:space="preserve"> considerato</w:t>
      </w:r>
      <w:r w:rsidRPr="002E6836">
        <w:rPr>
          <w:rFonts w:ascii="Segoe UI" w:hAnsi="Segoe UI" w:cs="Segoe UI"/>
          <w:lang w:eastAsia="it-IT"/>
        </w:rPr>
        <w:t xml:space="preserve"> </w:t>
      </w:r>
      <w:r>
        <w:rPr>
          <w:rFonts w:ascii="Segoe UI" w:hAnsi="Segoe UI" w:cs="Segoe UI"/>
          <w:lang w:eastAsia="it-IT"/>
        </w:rPr>
        <w:t xml:space="preserve">un </w:t>
      </w:r>
      <w:r w:rsidRPr="002E6836">
        <w:rPr>
          <w:rFonts w:ascii="Segoe UI" w:hAnsi="Segoe UI" w:cs="Segoe UI"/>
          <w:lang w:eastAsia="it-IT"/>
        </w:rPr>
        <w:t>“</w:t>
      </w:r>
      <w:r w:rsidRPr="002E6836">
        <w:rPr>
          <w:rFonts w:ascii="Segoe UI" w:hAnsi="Segoe UI" w:cs="Segoe UI"/>
          <w:i/>
          <w:lang w:eastAsia="it-IT"/>
        </w:rPr>
        <w:t xml:space="preserve">material </w:t>
      </w:r>
      <w:r>
        <w:rPr>
          <w:rFonts w:ascii="Segoe UI" w:hAnsi="Segoe UI" w:cs="Segoe UI"/>
          <w:i/>
          <w:lang w:eastAsia="it-IT"/>
        </w:rPr>
        <w:t>matter</w:t>
      </w:r>
      <w:r w:rsidRPr="002E6836">
        <w:rPr>
          <w:rFonts w:ascii="Segoe UI" w:hAnsi="Segoe UI" w:cs="Segoe UI"/>
          <w:lang w:eastAsia="it-IT"/>
        </w:rPr>
        <w:t>”</w:t>
      </w:r>
      <w:r w:rsidR="001A2A66">
        <w:rPr>
          <w:rFonts w:ascii="Segoe UI" w:hAnsi="Segoe UI" w:cs="Segoe UI"/>
          <w:lang w:eastAsia="it-IT"/>
        </w:rPr>
        <w:t xml:space="preserve"> e da cui ci si muove per definire e chiarire la distanza tra i due concetti</w:t>
      </w:r>
      <w:r w:rsidRPr="002E6836">
        <w:rPr>
          <w:rFonts w:ascii="Segoe UI" w:hAnsi="Segoe UI" w:cs="Segoe UI"/>
          <w:lang w:eastAsia="it-IT"/>
        </w:rPr>
        <w:t>.</w:t>
      </w:r>
    </w:p>
    <w:p w14:paraId="6CDF535D" w14:textId="77777777" w:rsidR="00345B56" w:rsidRDefault="00345B56" w:rsidP="0080248C">
      <w:pPr>
        <w:spacing w:before="120" w:after="120" w:line="240" w:lineRule="auto"/>
        <w:jc w:val="both"/>
        <w:rPr>
          <w:rFonts w:ascii="Segoe UI" w:hAnsi="Segoe UI" w:cs="Segoe UI"/>
          <w:lang w:eastAsia="it-IT"/>
        </w:rPr>
        <w:sectPr w:rsidR="00345B56" w:rsidSect="0002489A">
          <w:pgSz w:w="11906" w:h="16838" w:code="9"/>
          <w:pgMar w:top="1985" w:right="1134" w:bottom="1134" w:left="1134" w:header="709" w:footer="709" w:gutter="0"/>
          <w:cols w:space="708"/>
          <w:docGrid w:linePitch="360"/>
        </w:sectPr>
      </w:pPr>
    </w:p>
    <w:p w14:paraId="55D7640C" w14:textId="6E54A02F" w:rsidR="00A3284F" w:rsidRPr="00847C52" w:rsidRDefault="00847C52" w:rsidP="00726D04">
      <w:pPr>
        <w:keepNext/>
        <w:keepLines/>
        <w:tabs>
          <w:tab w:val="left" w:pos="567"/>
        </w:tabs>
        <w:spacing w:before="1080" w:after="1080" w:line="240" w:lineRule="auto"/>
        <w:ind w:left="567" w:hanging="567"/>
        <w:outlineLvl w:val="0"/>
        <w:rPr>
          <w:rFonts w:ascii="Segoe UI" w:eastAsiaTheme="minorHAnsi" w:hAnsi="Segoe UI" w:cs="Segoe UI"/>
          <w:sz w:val="32"/>
          <w:szCs w:val="32"/>
        </w:rPr>
      </w:pPr>
      <w:bookmarkStart w:id="17" w:name="_Toc507973950"/>
      <w:r>
        <w:rPr>
          <w:rFonts w:ascii="Segoe UI" w:eastAsiaTheme="minorHAnsi" w:hAnsi="Segoe UI" w:cs="Segoe UI"/>
          <w:sz w:val="32"/>
          <w:szCs w:val="32"/>
        </w:rPr>
        <w:t>4</w:t>
      </w:r>
      <w:r w:rsidR="00930536" w:rsidRPr="00847C52">
        <w:rPr>
          <w:rFonts w:ascii="Segoe UI" w:eastAsiaTheme="minorHAnsi" w:hAnsi="Segoe UI" w:cs="Segoe UI"/>
          <w:sz w:val="32"/>
          <w:szCs w:val="32"/>
        </w:rPr>
        <w:tab/>
      </w:r>
      <w:r w:rsidR="00FE7783" w:rsidRPr="00847C52">
        <w:rPr>
          <w:rFonts w:ascii="Segoe UI" w:eastAsiaTheme="minorHAnsi" w:hAnsi="Segoe UI" w:cs="Segoe UI"/>
          <w:sz w:val="32"/>
          <w:szCs w:val="32"/>
        </w:rPr>
        <w:t>Disallineamento o a</w:t>
      </w:r>
      <w:r w:rsidR="00114796" w:rsidRPr="00847C52">
        <w:rPr>
          <w:rFonts w:ascii="Segoe UI" w:eastAsiaTheme="minorHAnsi" w:hAnsi="Segoe UI" w:cs="Segoe UI"/>
          <w:sz w:val="32"/>
          <w:szCs w:val="32"/>
        </w:rPr>
        <w:t>pprossimazion</w:t>
      </w:r>
      <w:r w:rsidR="00A61FB0" w:rsidRPr="00847C52">
        <w:rPr>
          <w:rFonts w:ascii="Segoe UI" w:eastAsiaTheme="minorHAnsi" w:hAnsi="Segoe UI" w:cs="Segoe UI"/>
          <w:sz w:val="32"/>
          <w:szCs w:val="32"/>
        </w:rPr>
        <w:t>i</w:t>
      </w:r>
      <w:r w:rsidR="00114796" w:rsidRPr="00847C52">
        <w:rPr>
          <w:rFonts w:ascii="Segoe UI" w:eastAsiaTheme="minorHAnsi" w:hAnsi="Segoe UI" w:cs="Segoe UI"/>
          <w:sz w:val="32"/>
          <w:szCs w:val="32"/>
        </w:rPr>
        <w:t xml:space="preserve"> nei riferimenti </w:t>
      </w:r>
      <w:r w:rsidR="00A61FB0" w:rsidRPr="00847C52">
        <w:rPr>
          <w:rFonts w:ascii="Segoe UI" w:eastAsiaTheme="minorHAnsi" w:hAnsi="Segoe UI" w:cs="Segoe UI"/>
          <w:sz w:val="32"/>
          <w:szCs w:val="32"/>
        </w:rPr>
        <w:t>d</w:t>
      </w:r>
      <w:r w:rsidR="00FE7783" w:rsidRPr="00847C52">
        <w:rPr>
          <w:rFonts w:ascii="Segoe UI" w:eastAsiaTheme="minorHAnsi" w:hAnsi="Segoe UI" w:cs="Segoe UI"/>
          <w:sz w:val="32"/>
          <w:szCs w:val="32"/>
        </w:rPr>
        <w:t>ei provvedimenti normativi e interpretativi</w:t>
      </w:r>
      <w:bookmarkEnd w:id="17"/>
    </w:p>
    <w:p w14:paraId="431C073F" w14:textId="09E80D5D" w:rsidR="00114796" w:rsidRPr="0062207D" w:rsidRDefault="00114796" w:rsidP="00114796">
      <w:pPr>
        <w:autoSpaceDE w:val="0"/>
        <w:autoSpaceDN w:val="0"/>
        <w:adjustRightInd w:val="0"/>
        <w:spacing w:before="120" w:after="120" w:line="240" w:lineRule="auto"/>
        <w:jc w:val="both"/>
        <w:rPr>
          <w:rFonts w:ascii="Segoe UI" w:hAnsi="Segoe UI" w:cs="Segoe UI"/>
          <w:szCs w:val="20"/>
          <w:lang w:eastAsia="it-IT"/>
        </w:rPr>
      </w:pPr>
      <w:r w:rsidRPr="0062207D">
        <w:rPr>
          <w:rFonts w:ascii="Segoe UI" w:hAnsi="Segoe UI" w:cs="Segoe UI"/>
          <w:szCs w:val="20"/>
          <w:lang w:eastAsia="it-IT"/>
        </w:rPr>
        <w:t>Nell’ottica di comprendere quali ostacoli si frappongano a un</w:t>
      </w:r>
      <w:r w:rsidR="009453C2" w:rsidRPr="0062207D">
        <w:rPr>
          <w:rFonts w:ascii="Segoe UI" w:hAnsi="Segoe UI" w:cs="Segoe UI"/>
          <w:szCs w:val="20"/>
          <w:lang w:eastAsia="it-IT"/>
        </w:rPr>
        <w:t>’</w:t>
      </w:r>
      <w:r w:rsidRPr="0062207D">
        <w:rPr>
          <w:rFonts w:ascii="Segoe UI" w:hAnsi="Segoe UI" w:cs="Segoe UI"/>
          <w:szCs w:val="20"/>
          <w:lang w:eastAsia="it-IT"/>
        </w:rPr>
        <w:t xml:space="preserve">utile e corretta </w:t>
      </w:r>
      <w:r w:rsidRPr="0062207D">
        <w:rPr>
          <w:rFonts w:ascii="Segoe UI" w:hAnsi="Segoe UI" w:cs="Segoe UI"/>
          <w:i/>
          <w:szCs w:val="20"/>
          <w:lang w:eastAsia="it-IT"/>
        </w:rPr>
        <w:t>compliance</w:t>
      </w:r>
      <w:r w:rsidRPr="0062207D">
        <w:rPr>
          <w:rFonts w:ascii="Segoe UI" w:hAnsi="Segoe UI" w:cs="Segoe UI"/>
          <w:szCs w:val="20"/>
          <w:lang w:eastAsia="it-IT"/>
        </w:rPr>
        <w:t xml:space="preserve"> alle disposizioni relative agli obblighi di </w:t>
      </w:r>
      <w:r w:rsidRPr="0062207D">
        <w:rPr>
          <w:rFonts w:ascii="Segoe UI" w:hAnsi="Segoe UI" w:cs="Segoe UI"/>
          <w:i/>
          <w:szCs w:val="20"/>
          <w:lang w:eastAsia="it-IT"/>
        </w:rPr>
        <w:t>disclosure</w:t>
      </w:r>
      <w:r w:rsidRPr="0062207D">
        <w:rPr>
          <w:rFonts w:ascii="Segoe UI" w:hAnsi="Segoe UI" w:cs="Segoe UI"/>
          <w:szCs w:val="20"/>
          <w:lang w:eastAsia="it-IT"/>
        </w:rPr>
        <w:t xml:space="preserve"> non finanziaria previsti dal d.lgs. </w:t>
      </w:r>
      <w:r w:rsidR="009453C2" w:rsidRPr="0062207D">
        <w:rPr>
          <w:rFonts w:ascii="Segoe UI" w:hAnsi="Segoe UI" w:cs="Segoe UI"/>
          <w:szCs w:val="20"/>
          <w:lang w:eastAsia="it-IT"/>
        </w:rPr>
        <w:t xml:space="preserve">n. </w:t>
      </w:r>
      <w:r w:rsidRPr="0062207D">
        <w:rPr>
          <w:rFonts w:ascii="Segoe UI" w:hAnsi="Segoe UI" w:cs="Segoe UI"/>
          <w:szCs w:val="20"/>
          <w:lang w:eastAsia="it-IT"/>
        </w:rPr>
        <w:t xml:space="preserve">254/2016, oltre a una non sempre </w:t>
      </w:r>
      <w:r w:rsidR="00D95A4C">
        <w:rPr>
          <w:rFonts w:ascii="Segoe UI" w:hAnsi="Segoe UI" w:cs="Segoe UI"/>
          <w:szCs w:val="20"/>
          <w:lang w:eastAsia="it-IT"/>
        </w:rPr>
        <w:t>univoca</w:t>
      </w:r>
      <w:r w:rsidRPr="0062207D">
        <w:rPr>
          <w:rFonts w:ascii="Segoe UI" w:hAnsi="Segoe UI" w:cs="Segoe UI"/>
          <w:szCs w:val="20"/>
          <w:lang w:eastAsia="it-IT"/>
        </w:rPr>
        <w:t xml:space="preserve"> traduzione di termini e locuzioni tec</w:t>
      </w:r>
      <w:r w:rsidR="009453C2" w:rsidRPr="0062207D">
        <w:rPr>
          <w:rFonts w:ascii="Segoe UI" w:hAnsi="Segoe UI" w:cs="Segoe UI"/>
          <w:szCs w:val="20"/>
          <w:lang w:eastAsia="it-IT"/>
        </w:rPr>
        <w:t xml:space="preserve">niche </w:t>
      </w:r>
      <w:r w:rsidRPr="0062207D">
        <w:rPr>
          <w:rFonts w:ascii="Segoe UI" w:hAnsi="Segoe UI" w:cs="Segoe UI"/>
          <w:szCs w:val="20"/>
          <w:lang w:eastAsia="it-IT"/>
        </w:rPr>
        <w:t>nell’ambito della rendicontazione</w:t>
      </w:r>
      <w:r w:rsidR="009453C2" w:rsidRPr="0062207D">
        <w:rPr>
          <w:rFonts w:ascii="Segoe UI" w:hAnsi="Segoe UI" w:cs="Segoe UI"/>
          <w:szCs w:val="20"/>
          <w:lang w:eastAsia="it-IT"/>
        </w:rPr>
        <w:t>,</w:t>
      </w:r>
      <w:r w:rsidRPr="0062207D">
        <w:rPr>
          <w:rFonts w:ascii="Segoe UI" w:hAnsi="Segoe UI" w:cs="Segoe UI"/>
          <w:szCs w:val="20"/>
          <w:lang w:eastAsia="it-IT"/>
        </w:rPr>
        <w:t xml:space="preserve"> è oppor</w:t>
      </w:r>
      <w:r w:rsidR="009453C2" w:rsidRPr="0062207D">
        <w:rPr>
          <w:rFonts w:ascii="Segoe UI" w:hAnsi="Segoe UI" w:cs="Segoe UI"/>
          <w:szCs w:val="20"/>
          <w:lang w:eastAsia="it-IT"/>
        </w:rPr>
        <w:t>t</w:t>
      </w:r>
      <w:r w:rsidRPr="0062207D">
        <w:rPr>
          <w:rFonts w:ascii="Segoe UI" w:hAnsi="Segoe UI" w:cs="Segoe UI"/>
          <w:szCs w:val="20"/>
          <w:lang w:eastAsia="it-IT"/>
        </w:rPr>
        <w:t xml:space="preserve">uno approfondire il rapporto tra i provvedimenti normativi </w:t>
      </w:r>
      <w:r w:rsidR="009453C2" w:rsidRPr="0062207D">
        <w:rPr>
          <w:rFonts w:ascii="Segoe UI" w:hAnsi="Segoe UI" w:cs="Segoe UI"/>
          <w:szCs w:val="20"/>
          <w:lang w:eastAsia="it-IT"/>
        </w:rPr>
        <w:t xml:space="preserve">e i documenti “interpretativi” sulla rendicontazione non finanziaria emanati dalle istituzioni (politiche </w:t>
      </w:r>
      <w:r w:rsidRPr="0062207D">
        <w:rPr>
          <w:rFonts w:ascii="Segoe UI" w:hAnsi="Segoe UI" w:cs="Segoe UI"/>
          <w:szCs w:val="20"/>
          <w:lang w:eastAsia="it-IT"/>
        </w:rPr>
        <w:t xml:space="preserve">e </w:t>
      </w:r>
      <w:r w:rsidR="009453C2" w:rsidRPr="0062207D">
        <w:rPr>
          <w:rFonts w:ascii="Segoe UI" w:hAnsi="Segoe UI" w:cs="Segoe UI"/>
          <w:szCs w:val="20"/>
          <w:lang w:eastAsia="it-IT"/>
        </w:rPr>
        <w:t xml:space="preserve">tecniche) </w:t>
      </w:r>
      <w:r w:rsidRPr="0062207D">
        <w:rPr>
          <w:rFonts w:ascii="Segoe UI" w:hAnsi="Segoe UI" w:cs="Segoe UI"/>
          <w:szCs w:val="20"/>
          <w:lang w:eastAsia="it-IT"/>
        </w:rPr>
        <w:t>coinvolte nel</w:t>
      </w:r>
      <w:r w:rsidR="009453C2" w:rsidRPr="0062207D">
        <w:rPr>
          <w:rFonts w:ascii="Segoe UI" w:hAnsi="Segoe UI" w:cs="Segoe UI"/>
          <w:szCs w:val="20"/>
          <w:lang w:eastAsia="it-IT"/>
        </w:rPr>
        <w:t>la regolamentazione del settore,</w:t>
      </w:r>
      <w:r w:rsidRPr="0062207D">
        <w:rPr>
          <w:rFonts w:ascii="Segoe UI" w:hAnsi="Segoe UI" w:cs="Segoe UI"/>
          <w:szCs w:val="20"/>
          <w:lang w:eastAsia="it-IT"/>
        </w:rPr>
        <w:t xml:space="preserve"> </w:t>
      </w:r>
      <w:r w:rsidR="009453C2" w:rsidRPr="0062207D">
        <w:rPr>
          <w:rFonts w:ascii="Segoe UI" w:hAnsi="Segoe UI" w:cs="Segoe UI"/>
          <w:szCs w:val="20"/>
          <w:lang w:eastAsia="it-IT"/>
        </w:rPr>
        <w:t xml:space="preserve">che determinano i “confini” e le caratteristiche dei comportamenti dei soggetti tenuti agli adempimenti in questione nel </w:t>
      </w:r>
      <w:r w:rsidRPr="0062207D">
        <w:rPr>
          <w:rFonts w:ascii="Segoe UI" w:hAnsi="Segoe UI" w:cs="Segoe UI"/>
          <w:szCs w:val="20"/>
          <w:lang w:eastAsia="it-IT"/>
        </w:rPr>
        <w:t>sistema giuridico</w:t>
      </w:r>
      <w:r w:rsidR="009453C2" w:rsidRPr="0062207D">
        <w:rPr>
          <w:rFonts w:ascii="Segoe UI" w:hAnsi="Segoe UI" w:cs="Segoe UI"/>
          <w:szCs w:val="20"/>
          <w:lang w:eastAsia="it-IT"/>
        </w:rPr>
        <w:t xml:space="preserve">, economico </w:t>
      </w:r>
      <w:r w:rsidRPr="0062207D">
        <w:rPr>
          <w:rFonts w:ascii="Segoe UI" w:hAnsi="Segoe UI" w:cs="Segoe UI"/>
          <w:szCs w:val="20"/>
          <w:lang w:eastAsia="it-IT"/>
        </w:rPr>
        <w:t xml:space="preserve">e </w:t>
      </w:r>
      <w:r w:rsidR="009453C2" w:rsidRPr="0062207D">
        <w:rPr>
          <w:rFonts w:ascii="Segoe UI" w:hAnsi="Segoe UI" w:cs="Segoe UI"/>
          <w:szCs w:val="20"/>
          <w:lang w:eastAsia="it-IT"/>
        </w:rPr>
        <w:t>sociale nazionale</w:t>
      </w:r>
      <w:r w:rsidRPr="0062207D">
        <w:rPr>
          <w:rFonts w:ascii="Segoe UI" w:hAnsi="Segoe UI" w:cs="Segoe UI"/>
          <w:szCs w:val="20"/>
          <w:lang w:eastAsia="it-IT"/>
        </w:rPr>
        <w:t>.</w:t>
      </w:r>
    </w:p>
    <w:p w14:paraId="6B6AC23A" w14:textId="5A3A14A7" w:rsidR="009453C2" w:rsidRPr="0062207D" w:rsidRDefault="009453C2" w:rsidP="00114796">
      <w:pPr>
        <w:autoSpaceDE w:val="0"/>
        <w:autoSpaceDN w:val="0"/>
        <w:adjustRightInd w:val="0"/>
        <w:spacing w:before="120" w:after="120" w:line="240" w:lineRule="auto"/>
        <w:jc w:val="both"/>
        <w:rPr>
          <w:rFonts w:ascii="Segoe UI" w:hAnsi="Segoe UI" w:cs="Segoe UI"/>
          <w:szCs w:val="20"/>
          <w:lang w:eastAsia="it-IT"/>
        </w:rPr>
      </w:pPr>
      <w:r w:rsidRPr="0062207D">
        <w:rPr>
          <w:rFonts w:ascii="Segoe UI" w:hAnsi="Segoe UI" w:cs="Segoe UI"/>
          <w:szCs w:val="20"/>
          <w:lang w:eastAsia="it-IT"/>
        </w:rPr>
        <w:t>Più in dettaglio, i</w:t>
      </w:r>
      <w:r w:rsidR="00114796" w:rsidRPr="0062207D">
        <w:rPr>
          <w:rFonts w:ascii="Segoe UI" w:hAnsi="Segoe UI" w:cs="Segoe UI"/>
          <w:szCs w:val="20"/>
          <w:lang w:eastAsia="it-IT"/>
        </w:rPr>
        <w:t xml:space="preserve">n altri termini, </w:t>
      </w:r>
      <w:r w:rsidRPr="0062207D">
        <w:rPr>
          <w:rFonts w:ascii="Segoe UI" w:hAnsi="Segoe UI" w:cs="Segoe UI"/>
          <w:szCs w:val="20"/>
          <w:lang w:eastAsia="it-IT"/>
        </w:rPr>
        <w:t xml:space="preserve">è possibile rilevare alcune non banali </w:t>
      </w:r>
      <w:r w:rsidR="00114796" w:rsidRPr="0062207D">
        <w:rPr>
          <w:rFonts w:ascii="Segoe UI" w:hAnsi="Segoe UI" w:cs="Segoe UI"/>
          <w:szCs w:val="20"/>
          <w:lang w:eastAsia="it-IT"/>
        </w:rPr>
        <w:t xml:space="preserve">discordanze </w:t>
      </w:r>
      <w:r w:rsidR="00D95A4C">
        <w:rPr>
          <w:rFonts w:ascii="Segoe UI" w:hAnsi="Segoe UI" w:cs="Segoe UI"/>
          <w:szCs w:val="20"/>
          <w:lang w:eastAsia="it-IT"/>
        </w:rPr>
        <w:t>nella</w:t>
      </w:r>
      <w:r w:rsidR="00114796" w:rsidRPr="0062207D">
        <w:rPr>
          <w:rFonts w:ascii="Segoe UI" w:hAnsi="Segoe UI" w:cs="Segoe UI"/>
          <w:szCs w:val="20"/>
          <w:lang w:eastAsia="it-IT"/>
        </w:rPr>
        <w:t xml:space="preserve"> declinazione del </w:t>
      </w:r>
      <w:r w:rsidR="00D95A4C" w:rsidRPr="00E23D04">
        <w:rPr>
          <w:rFonts w:ascii="Segoe UI" w:hAnsi="Segoe UI" w:cs="Segoe UI"/>
          <w:szCs w:val="20"/>
          <w:lang w:eastAsia="it-IT"/>
        </w:rPr>
        <w:t>concett</w:t>
      </w:r>
      <w:r w:rsidR="00E23D04" w:rsidRPr="00E23D04">
        <w:rPr>
          <w:rFonts w:ascii="Segoe UI" w:hAnsi="Segoe UI" w:cs="Segoe UI"/>
          <w:szCs w:val="20"/>
          <w:lang w:eastAsia="it-IT"/>
        </w:rPr>
        <w:t>i</w:t>
      </w:r>
      <w:r w:rsidR="00D95A4C" w:rsidRPr="00E23D04">
        <w:rPr>
          <w:rFonts w:ascii="Segoe UI" w:hAnsi="Segoe UI" w:cs="Segoe UI"/>
          <w:szCs w:val="20"/>
          <w:lang w:eastAsia="it-IT"/>
        </w:rPr>
        <w:t>/</w:t>
      </w:r>
      <w:r w:rsidR="00114796" w:rsidRPr="00E23D04">
        <w:rPr>
          <w:rFonts w:ascii="Segoe UI" w:hAnsi="Segoe UI" w:cs="Segoe UI"/>
          <w:szCs w:val="20"/>
          <w:lang w:eastAsia="it-IT"/>
        </w:rPr>
        <w:t>principi di rilevanza</w:t>
      </w:r>
      <w:r w:rsidR="00114796" w:rsidRPr="0062207D">
        <w:rPr>
          <w:rFonts w:ascii="Segoe UI" w:hAnsi="Segoe UI" w:cs="Segoe UI"/>
          <w:szCs w:val="20"/>
          <w:lang w:eastAsia="it-IT"/>
        </w:rPr>
        <w:t xml:space="preserve"> </w:t>
      </w:r>
      <w:r w:rsidR="00E23D04">
        <w:rPr>
          <w:rFonts w:ascii="Segoe UI" w:hAnsi="Segoe UI" w:cs="Segoe UI"/>
          <w:szCs w:val="20"/>
          <w:lang w:eastAsia="it-IT"/>
        </w:rPr>
        <w:t xml:space="preserve">e materialità </w:t>
      </w:r>
      <w:r w:rsidR="00114796" w:rsidRPr="0062207D">
        <w:rPr>
          <w:rFonts w:ascii="Segoe UI" w:hAnsi="Segoe UI" w:cs="Segoe UI"/>
          <w:szCs w:val="20"/>
          <w:lang w:eastAsia="it-IT"/>
        </w:rPr>
        <w:t>tra i diversi livelli normativi</w:t>
      </w:r>
      <w:r w:rsidR="00CF5C74" w:rsidRPr="0062207D">
        <w:rPr>
          <w:rFonts w:ascii="Segoe UI" w:hAnsi="Segoe UI" w:cs="Segoe UI"/>
          <w:szCs w:val="20"/>
          <w:lang w:eastAsia="it-IT"/>
        </w:rPr>
        <w:t xml:space="preserve"> (sovranazionale e nazionale) – sia legis</w:t>
      </w:r>
      <w:r w:rsidRPr="0062207D">
        <w:rPr>
          <w:rFonts w:ascii="Segoe UI" w:hAnsi="Segoe UI" w:cs="Segoe UI"/>
          <w:szCs w:val="20"/>
          <w:lang w:eastAsia="it-IT"/>
        </w:rPr>
        <w:t>l</w:t>
      </w:r>
      <w:r w:rsidR="00CF5C74" w:rsidRPr="0062207D">
        <w:rPr>
          <w:rFonts w:ascii="Segoe UI" w:hAnsi="Segoe UI" w:cs="Segoe UI"/>
          <w:szCs w:val="20"/>
          <w:lang w:eastAsia="it-IT"/>
        </w:rPr>
        <w:t>ativo sia regolamentare – e in ambito inter</w:t>
      </w:r>
      <w:r w:rsidRPr="0062207D">
        <w:rPr>
          <w:rFonts w:ascii="Segoe UI" w:hAnsi="Segoe UI" w:cs="Segoe UI"/>
          <w:szCs w:val="20"/>
          <w:lang w:eastAsia="it-IT"/>
        </w:rPr>
        <w:t>pr</w:t>
      </w:r>
      <w:r w:rsidR="00CF5C74" w:rsidRPr="0062207D">
        <w:rPr>
          <w:rFonts w:ascii="Segoe UI" w:hAnsi="Segoe UI" w:cs="Segoe UI"/>
          <w:szCs w:val="20"/>
          <w:lang w:eastAsia="it-IT"/>
        </w:rPr>
        <w:t>etativo (europeo e nazionale)</w:t>
      </w:r>
      <w:r w:rsidR="00A446B7" w:rsidRPr="0062207D">
        <w:rPr>
          <w:rFonts w:ascii="Segoe UI" w:hAnsi="Segoe UI" w:cs="Segoe UI"/>
          <w:szCs w:val="20"/>
          <w:lang w:eastAsia="it-IT"/>
        </w:rPr>
        <w:t>. N</w:t>
      </w:r>
      <w:r w:rsidRPr="0062207D">
        <w:rPr>
          <w:rFonts w:ascii="Segoe UI" w:hAnsi="Segoe UI" w:cs="Segoe UI"/>
          <w:szCs w:val="20"/>
          <w:lang w:eastAsia="it-IT"/>
        </w:rPr>
        <w:t xml:space="preserve">on si può escludere che </w:t>
      </w:r>
      <w:r w:rsidR="00CF5C74" w:rsidRPr="0062207D">
        <w:rPr>
          <w:rFonts w:ascii="Segoe UI" w:hAnsi="Segoe UI" w:cs="Segoe UI"/>
          <w:szCs w:val="20"/>
          <w:lang w:eastAsia="it-IT"/>
        </w:rPr>
        <w:t>tali discordanze poss</w:t>
      </w:r>
      <w:r w:rsidRPr="0062207D">
        <w:rPr>
          <w:rFonts w:ascii="Segoe UI" w:hAnsi="Segoe UI" w:cs="Segoe UI"/>
          <w:szCs w:val="20"/>
          <w:lang w:eastAsia="it-IT"/>
        </w:rPr>
        <w:t>a</w:t>
      </w:r>
      <w:r w:rsidR="00CF5C74" w:rsidRPr="0062207D">
        <w:rPr>
          <w:rFonts w:ascii="Segoe UI" w:hAnsi="Segoe UI" w:cs="Segoe UI"/>
          <w:szCs w:val="20"/>
          <w:lang w:eastAsia="it-IT"/>
        </w:rPr>
        <w:t xml:space="preserve">no generare </w:t>
      </w:r>
      <w:r w:rsidRPr="0062207D">
        <w:rPr>
          <w:rFonts w:ascii="Segoe UI" w:hAnsi="Segoe UI" w:cs="Segoe UI"/>
          <w:szCs w:val="20"/>
          <w:lang w:eastAsia="it-IT"/>
        </w:rPr>
        <w:t xml:space="preserve">una certa </w:t>
      </w:r>
      <w:r w:rsidR="00CF5C74" w:rsidRPr="0062207D">
        <w:rPr>
          <w:rFonts w:ascii="Segoe UI" w:hAnsi="Segoe UI" w:cs="Segoe UI"/>
          <w:szCs w:val="20"/>
          <w:lang w:eastAsia="it-IT"/>
        </w:rPr>
        <w:t xml:space="preserve">superficialità nella definizione </w:t>
      </w:r>
      <w:r w:rsidRPr="0062207D">
        <w:rPr>
          <w:rFonts w:ascii="Segoe UI" w:hAnsi="Segoe UI" w:cs="Segoe UI"/>
          <w:szCs w:val="20"/>
          <w:lang w:eastAsia="it-IT"/>
        </w:rPr>
        <w:t xml:space="preserve">e nell’applicazione </w:t>
      </w:r>
      <w:r w:rsidR="00CF5C74" w:rsidRPr="0062207D">
        <w:rPr>
          <w:rFonts w:ascii="Segoe UI" w:hAnsi="Segoe UI" w:cs="Segoe UI"/>
          <w:szCs w:val="20"/>
          <w:lang w:eastAsia="it-IT"/>
        </w:rPr>
        <w:t>concettuale e metodologica</w:t>
      </w:r>
      <w:r w:rsidRPr="0062207D">
        <w:rPr>
          <w:rFonts w:ascii="Segoe UI" w:hAnsi="Segoe UI" w:cs="Segoe UI"/>
          <w:szCs w:val="20"/>
          <w:lang w:eastAsia="it-IT"/>
        </w:rPr>
        <w:t xml:space="preserve"> delle disposizioni di rendicontazione non finanziaria</w:t>
      </w:r>
      <w:r w:rsidR="00CF5C74" w:rsidRPr="0062207D">
        <w:rPr>
          <w:rFonts w:ascii="Segoe UI" w:hAnsi="Segoe UI" w:cs="Segoe UI"/>
          <w:szCs w:val="20"/>
          <w:lang w:eastAsia="it-IT"/>
        </w:rPr>
        <w:t xml:space="preserve">, con conseguente differenziazione delle prassi adottate nei diversi contesti territoriali, </w:t>
      </w:r>
      <w:r w:rsidRPr="0062207D">
        <w:rPr>
          <w:rFonts w:ascii="Segoe UI" w:hAnsi="Segoe UI" w:cs="Segoe UI"/>
          <w:szCs w:val="20"/>
          <w:lang w:eastAsia="it-IT"/>
        </w:rPr>
        <w:t xml:space="preserve">o </w:t>
      </w:r>
      <w:r w:rsidR="00CF5C74" w:rsidRPr="0062207D">
        <w:rPr>
          <w:rFonts w:ascii="Segoe UI" w:hAnsi="Segoe UI" w:cs="Segoe UI"/>
          <w:szCs w:val="20"/>
          <w:lang w:eastAsia="it-IT"/>
        </w:rPr>
        <w:t xml:space="preserve">nei diversi settori economici, </w:t>
      </w:r>
      <w:r w:rsidRPr="0062207D">
        <w:rPr>
          <w:rFonts w:ascii="Segoe UI" w:hAnsi="Segoe UI" w:cs="Segoe UI"/>
          <w:szCs w:val="20"/>
          <w:lang w:eastAsia="it-IT"/>
        </w:rPr>
        <w:t xml:space="preserve">o </w:t>
      </w:r>
      <w:r w:rsidR="00CF5C74" w:rsidRPr="0062207D">
        <w:rPr>
          <w:rFonts w:ascii="Segoe UI" w:hAnsi="Segoe UI" w:cs="Segoe UI"/>
          <w:szCs w:val="20"/>
          <w:lang w:eastAsia="it-IT"/>
        </w:rPr>
        <w:t>anche nello stesso settore da</w:t>
      </w:r>
      <w:r w:rsidRPr="0062207D">
        <w:rPr>
          <w:rFonts w:ascii="Segoe UI" w:hAnsi="Segoe UI" w:cs="Segoe UI"/>
          <w:szCs w:val="20"/>
          <w:lang w:eastAsia="it-IT"/>
        </w:rPr>
        <w:t xml:space="preserve"> </w:t>
      </w:r>
      <w:r w:rsidR="00CF5C74" w:rsidRPr="0062207D">
        <w:rPr>
          <w:rFonts w:ascii="Segoe UI" w:hAnsi="Segoe UI" w:cs="Segoe UI"/>
          <w:szCs w:val="20"/>
          <w:lang w:eastAsia="it-IT"/>
        </w:rPr>
        <w:t>parte di</w:t>
      </w:r>
      <w:r w:rsidR="00D95A4C">
        <w:rPr>
          <w:rFonts w:ascii="Segoe UI" w:hAnsi="Segoe UI" w:cs="Segoe UI"/>
          <w:szCs w:val="20"/>
          <w:lang w:eastAsia="it-IT"/>
        </w:rPr>
        <w:t xml:space="preserve"> organizzazioni </w:t>
      </w:r>
      <w:r w:rsidR="00CF5C74" w:rsidRPr="0062207D">
        <w:rPr>
          <w:rFonts w:ascii="Segoe UI" w:hAnsi="Segoe UI" w:cs="Segoe UI"/>
          <w:szCs w:val="20"/>
          <w:lang w:eastAsia="it-IT"/>
        </w:rPr>
        <w:t>analoghe</w:t>
      </w:r>
      <w:r w:rsidR="00D95A4C">
        <w:rPr>
          <w:rFonts w:ascii="Segoe UI" w:hAnsi="Segoe UI" w:cs="Segoe UI"/>
          <w:szCs w:val="20"/>
          <w:lang w:eastAsia="it-IT"/>
        </w:rPr>
        <w:t xml:space="preserve"> o</w:t>
      </w:r>
      <w:r w:rsidR="00D95A4C" w:rsidRPr="0062207D">
        <w:rPr>
          <w:rFonts w:ascii="Segoe UI" w:hAnsi="Segoe UI" w:cs="Segoe UI"/>
          <w:szCs w:val="20"/>
          <w:lang w:eastAsia="it-IT"/>
        </w:rPr>
        <w:t xml:space="preserve"> aziende</w:t>
      </w:r>
      <w:r w:rsidR="00CF5C74" w:rsidRPr="0062207D">
        <w:rPr>
          <w:rFonts w:ascii="Segoe UI" w:hAnsi="Segoe UI" w:cs="Segoe UI"/>
          <w:szCs w:val="20"/>
          <w:lang w:eastAsia="it-IT"/>
        </w:rPr>
        <w:t xml:space="preserve"> </w:t>
      </w:r>
      <w:r w:rsidRPr="0062207D">
        <w:rPr>
          <w:rFonts w:ascii="Segoe UI" w:hAnsi="Segoe UI" w:cs="Segoe UI"/>
          <w:szCs w:val="20"/>
          <w:lang w:eastAsia="it-IT"/>
        </w:rPr>
        <w:t xml:space="preserve">magari </w:t>
      </w:r>
      <w:r w:rsidR="00CF5C74" w:rsidRPr="0062207D">
        <w:rPr>
          <w:rFonts w:ascii="Segoe UI" w:hAnsi="Segoe UI" w:cs="Segoe UI"/>
          <w:szCs w:val="20"/>
          <w:lang w:eastAsia="it-IT"/>
        </w:rPr>
        <w:t>concorrenti</w:t>
      </w:r>
      <w:r w:rsidR="00A446B7" w:rsidRPr="0062207D">
        <w:rPr>
          <w:rFonts w:ascii="Segoe UI" w:hAnsi="Segoe UI" w:cs="Segoe UI"/>
          <w:szCs w:val="20"/>
          <w:lang w:eastAsia="it-IT"/>
        </w:rPr>
        <w:t xml:space="preserve">. </w:t>
      </w:r>
      <w:r w:rsidR="000C6014">
        <w:rPr>
          <w:rFonts w:ascii="Segoe UI" w:hAnsi="Segoe UI" w:cs="Segoe UI"/>
          <w:szCs w:val="20"/>
          <w:lang w:eastAsia="it-IT"/>
        </w:rPr>
        <w:t>È</w:t>
      </w:r>
      <w:r w:rsidR="00A446B7" w:rsidRPr="0062207D">
        <w:rPr>
          <w:rFonts w:ascii="Segoe UI" w:hAnsi="Segoe UI" w:cs="Segoe UI"/>
          <w:szCs w:val="20"/>
          <w:lang w:eastAsia="it-IT"/>
        </w:rPr>
        <w:t xml:space="preserve"> a tutti evidente che tali dinamiche vadano a </w:t>
      </w:r>
      <w:r w:rsidR="00CF5C74" w:rsidRPr="0062207D">
        <w:rPr>
          <w:rFonts w:ascii="Segoe UI" w:hAnsi="Segoe UI" w:cs="Segoe UI"/>
          <w:szCs w:val="20"/>
          <w:lang w:eastAsia="it-IT"/>
        </w:rPr>
        <w:t>d</w:t>
      </w:r>
      <w:r w:rsidRPr="0062207D">
        <w:rPr>
          <w:rFonts w:ascii="Segoe UI" w:hAnsi="Segoe UI" w:cs="Segoe UI"/>
          <w:szCs w:val="20"/>
          <w:lang w:eastAsia="it-IT"/>
        </w:rPr>
        <w:t>e</w:t>
      </w:r>
      <w:r w:rsidR="00CF5C74" w:rsidRPr="0062207D">
        <w:rPr>
          <w:rFonts w:ascii="Segoe UI" w:hAnsi="Segoe UI" w:cs="Segoe UI"/>
          <w:szCs w:val="20"/>
          <w:lang w:eastAsia="it-IT"/>
        </w:rPr>
        <w:t>t</w:t>
      </w:r>
      <w:r w:rsidRPr="0062207D">
        <w:rPr>
          <w:rFonts w:ascii="Segoe UI" w:hAnsi="Segoe UI" w:cs="Segoe UI"/>
          <w:szCs w:val="20"/>
          <w:lang w:eastAsia="it-IT"/>
        </w:rPr>
        <w:t xml:space="preserve">rimento </w:t>
      </w:r>
      <w:r w:rsidR="00CF5C74" w:rsidRPr="0062207D">
        <w:rPr>
          <w:rFonts w:ascii="Segoe UI" w:hAnsi="Segoe UI" w:cs="Segoe UI"/>
          <w:szCs w:val="20"/>
          <w:lang w:eastAsia="it-IT"/>
        </w:rPr>
        <w:t xml:space="preserve">della </w:t>
      </w:r>
      <w:r w:rsidRPr="0062207D">
        <w:rPr>
          <w:rFonts w:ascii="Segoe UI" w:hAnsi="Segoe UI" w:cs="Segoe UI"/>
          <w:szCs w:val="20"/>
          <w:lang w:eastAsia="it-IT"/>
        </w:rPr>
        <w:t>intellegibilità</w:t>
      </w:r>
      <w:r w:rsidR="00A446B7" w:rsidRPr="0062207D">
        <w:rPr>
          <w:rFonts w:ascii="Segoe UI" w:hAnsi="Segoe UI" w:cs="Segoe UI"/>
          <w:szCs w:val="20"/>
          <w:lang w:eastAsia="it-IT"/>
        </w:rPr>
        <w:t xml:space="preserve"> e </w:t>
      </w:r>
      <w:r w:rsidRPr="0062207D">
        <w:rPr>
          <w:rFonts w:ascii="Segoe UI" w:hAnsi="Segoe UI" w:cs="Segoe UI"/>
          <w:szCs w:val="20"/>
          <w:lang w:eastAsia="it-IT"/>
        </w:rPr>
        <w:t xml:space="preserve">della </w:t>
      </w:r>
      <w:r w:rsidR="00CF5C74" w:rsidRPr="0062207D">
        <w:rPr>
          <w:rFonts w:ascii="Segoe UI" w:hAnsi="Segoe UI" w:cs="Segoe UI"/>
          <w:szCs w:val="20"/>
          <w:lang w:eastAsia="it-IT"/>
        </w:rPr>
        <w:t>comparabilità</w:t>
      </w:r>
      <w:r w:rsidRPr="0062207D">
        <w:rPr>
          <w:rFonts w:ascii="Segoe UI" w:hAnsi="Segoe UI" w:cs="Segoe UI"/>
          <w:szCs w:val="20"/>
          <w:lang w:eastAsia="it-IT"/>
        </w:rPr>
        <w:t xml:space="preserve"> </w:t>
      </w:r>
      <w:r w:rsidR="00A446B7" w:rsidRPr="0062207D">
        <w:rPr>
          <w:rFonts w:ascii="Segoe UI" w:hAnsi="Segoe UI" w:cs="Segoe UI"/>
          <w:szCs w:val="20"/>
          <w:lang w:eastAsia="it-IT"/>
        </w:rPr>
        <w:t xml:space="preserve">delle informazioni da parte dei lettori </w:t>
      </w:r>
      <w:r w:rsidR="00CF5C74" w:rsidRPr="0062207D">
        <w:rPr>
          <w:rFonts w:ascii="Segoe UI" w:hAnsi="Segoe UI" w:cs="Segoe UI"/>
          <w:szCs w:val="20"/>
          <w:lang w:eastAsia="it-IT"/>
        </w:rPr>
        <w:t>dell’informativa non finanziaria</w:t>
      </w:r>
      <w:r w:rsidR="00A446B7" w:rsidRPr="0062207D">
        <w:rPr>
          <w:rFonts w:ascii="Segoe UI" w:hAnsi="Segoe UI" w:cs="Segoe UI"/>
          <w:szCs w:val="20"/>
          <w:lang w:eastAsia="it-IT"/>
        </w:rPr>
        <w:t xml:space="preserve"> e inficino (quando non impediscano) la capacità degli </w:t>
      </w:r>
      <w:r w:rsidR="00A446B7" w:rsidRPr="00D95A4C">
        <w:rPr>
          <w:rFonts w:ascii="Segoe UI" w:hAnsi="Segoe UI" w:cs="Segoe UI"/>
          <w:i/>
          <w:szCs w:val="20"/>
          <w:lang w:eastAsia="it-IT"/>
        </w:rPr>
        <w:t xml:space="preserve">stakeholder </w:t>
      </w:r>
      <w:r w:rsidR="00CF5C74" w:rsidRPr="0062207D">
        <w:rPr>
          <w:rFonts w:ascii="Segoe UI" w:hAnsi="Segoe UI" w:cs="Segoe UI"/>
          <w:szCs w:val="20"/>
          <w:lang w:eastAsia="it-IT"/>
        </w:rPr>
        <w:t>di individuare le reali differenze nei comportamenti d</w:t>
      </w:r>
      <w:r w:rsidR="00A446B7" w:rsidRPr="0062207D">
        <w:rPr>
          <w:rFonts w:ascii="Segoe UI" w:hAnsi="Segoe UI" w:cs="Segoe UI"/>
          <w:szCs w:val="20"/>
          <w:lang w:eastAsia="it-IT"/>
        </w:rPr>
        <w:t>e</w:t>
      </w:r>
      <w:r w:rsidR="00CF5C74" w:rsidRPr="0062207D">
        <w:rPr>
          <w:rFonts w:ascii="Segoe UI" w:hAnsi="Segoe UI" w:cs="Segoe UI"/>
          <w:szCs w:val="20"/>
          <w:lang w:eastAsia="it-IT"/>
        </w:rPr>
        <w:t xml:space="preserve">i soggetti </w:t>
      </w:r>
      <w:r w:rsidR="00A31D89">
        <w:rPr>
          <w:rFonts w:ascii="Segoe UI" w:hAnsi="Segoe UI" w:cs="Segoe UI"/>
          <w:szCs w:val="20"/>
          <w:lang w:eastAsia="it-IT"/>
        </w:rPr>
        <w:t xml:space="preserve">produttivi, </w:t>
      </w:r>
      <w:r w:rsidR="00CF5C74" w:rsidRPr="0062207D">
        <w:rPr>
          <w:rFonts w:ascii="Segoe UI" w:hAnsi="Segoe UI" w:cs="Segoe UI"/>
          <w:szCs w:val="20"/>
          <w:lang w:eastAsia="it-IT"/>
        </w:rPr>
        <w:t xml:space="preserve">con un impatto critico </w:t>
      </w:r>
      <w:r w:rsidR="00A446B7" w:rsidRPr="0062207D">
        <w:rPr>
          <w:rFonts w:ascii="Segoe UI" w:hAnsi="Segoe UI" w:cs="Segoe UI"/>
          <w:szCs w:val="20"/>
          <w:lang w:eastAsia="it-IT"/>
        </w:rPr>
        <w:t>s</w:t>
      </w:r>
      <w:r w:rsidRPr="0062207D">
        <w:rPr>
          <w:rFonts w:ascii="Segoe UI" w:hAnsi="Segoe UI" w:cs="Segoe UI"/>
          <w:szCs w:val="20"/>
          <w:lang w:eastAsia="it-IT"/>
        </w:rPr>
        <w:t>otto il profilo</w:t>
      </w:r>
      <w:r w:rsidR="00A31D89">
        <w:rPr>
          <w:rFonts w:ascii="Segoe UI" w:hAnsi="Segoe UI" w:cs="Segoe UI"/>
          <w:szCs w:val="20"/>
          <w:lang w:eastAsia="it-IT"/>
        </w:rPr>
        <w:t>,</w:t>
      </w:r>
      <w:r w:rsidRPr="0062207D">
        <w:rPr>
          <w:rFonts w:ascii="Segoe UI" w:hAnsi="Segoe UI" w:cs="Segoe UI"/>
          <w:szCs w:val="20"/>
          <w:lang w:eastAsia="it-IT"/>
        </w:rPr>
        <w:t xml:space="preserve"> </w:t>
      </w:r>
      <w:r w:rsidR="00B609DE">
        <w:rPr>
          <w:rFonts w:ascii="Segoe UI" w:hAnsi="Segoe UI" w:cs="Segoe UI"/>
          <w:szCs w:val="20"/>
          <w:lang w:eastAsia="it-IT"/>
        </w:rPr>
        <w:t>prima</w:t>
      </w:r>
      <w:r w:rsidR="00A31D89">
        <w:rPr>
          <w:rFonts w:ascii="Segoe UI" w:hAnsi="Segoe UI" w:cs="Segoe UI"/>
          <w:szCs w:val="20"/>
          <w:lang w:eastAsia="it-IT"/>
        </w:rPr>
        <w:t>,</w:t>
      </w:r>
      <w:r w:rsidR="00B609DE">
        <w:rPr>
          <w:rFonts w:ascii="Segoe UI" w:hAnsi="Segoe UI" w:cs="Segoe UI"/>
          <w:szCs w:val="20"/>
          <w:lang w:eastAsia="it-IT"/>
        </w:rPr>
        <w:t xml:space="preserve"> </w:t>
      </w:r>
      <w:r w:rsidRPr="0062207D">
        <w:rPr>
          <w:rFonts w:ascii="Segoe UI" w:hAnsi="Segoe UI" w:cs="Segoe UI"/>
          <w:szCs w:val="20"/>
          <w:lang w:eastAsia="it-IT"/>
        </w:rPr>
        <w:t xml:space="preserve">della </w:t>
      </w:r>
      <w:r w:rsidR="00B609DE" w:rsidRPr="0062207D">
        <w:rPr>
          <w:rFonts w:ascii="Segoe UI" w:hAnsi="Segoe UI" w:cs="Segoe UI"/>
          <w:szCs w:val="20"/>
          <w:lang w:eastAsia="it-IT"/>
        </w:rPr>
        <w:t xml:space="preserve">trasparenza </w:t>
      </w:r>
      <w:r w:rsidR="00B609DE">
        <w:rPr>
          <w:rFonts w:ascii="Segoe UI" w:hAnsi="Segoe UI" w:cs="Segoe UI"/>
          <w:szCs w:val="20"/>
          <w:lang w:eastAsia="it-IT"/>
        </w:rPr>
        <w:t>e</w:t>
      </w:r>
      <w:r w:rsidR="00A31D89">
        <w:rPr>
          <w:rFonts w:ascii="Segoe UI" w:hAnsi="Segoe UI" w:cs="Segoe UI"/>
          <w:szCs w:val="20"/>
          <w:lang w:eastAsia="it-IT"/>
        </w:rPr>
        <w:t>,</w:t>
      </w:r>
      <w:r w:rsidR="00B609DE">
        <w:rPr>
          <w:rFonts w:ascii="Segoe UI" w:hAnsi="Segoe UI" w:cs="Segoe UI"/>
          <w:szCs w:val="20"/>
          <w:lang w:eastAsia="it-IT"/>
        </w:rPr>
        <w:t xml:space="preserve"> poi</w:t>
      </w:r>
      <w:r w:rsidR="00A31D89">
        <w:rPr>
          <w:rFonts w:ascii="Segoe UI" w:hAnsi="Segoe UI" w:cs="Segoe UI"/>
          <w:szCs w:val="20"/>
          <w:lang w:eastAsia="it-IT"/>
        </w:rPr>
        <w:t>,</w:t>
      </w:r>
      <w:r w:rsidR="00B609DE">
        <w:rPr>
          <w:rFonts w:ascii="Segoe UI" w:hAnsi="Segoe UI" w:cs="Segoe UI"/>
          <w:szCs w:val="20"/>
          <w:lang w:eastAsia="it-IT"/>
        </w:rPr>
        <w:t xml:space="preserve"> della sostenibilità </w:t>
      </w:r>
      <w:r w:rsidRPr="0062207D">
        <w:rPr>
          <w:rFonts w:ascii="Segoe UI" w:hAnsi="Segoe UI" w:cs="Segoe UI"/>
          <w:szCs w:val="20"/>
          <w:lang w:eastAsia="it-IT"/>
        </w:rPr>
        <w:t>economic</w:t>
      </w:r>
      <w:r w:rsidR="00A31D89">
        <w:rPr>
          <w:rFonts w:ascii="Segoe UI" w:hAnsi="Segoe UI" w:cs="Segoe UI"/>
          <w:szCs w:val="20"/>
          <w:lang w:eastAsia="it-IT"/>
        </w:rPr>
        <w:t>a</w:t>
      </w:r>
      <w:r w:rsidRPr="0062207D">
        <w:rPr>
          <w:rFonts w:ascii="Segoe UI" w:hAnsi="Segoe UI" w:cs="Segoe UI"/>
          <w:szCs w:val="20"/>
          <w:lang w:eastAsia="it-IT"/>
        </w:rPr>
        <w:t xml:space="preserve"> e sociale</w:t>
      </w:r>
      <w:r w:rsidR="00A31D89" w:rsidRPr="00A31D89">
        <w:rPr>
          <w:rFonts w:ascii="Segoe UI" w:hAnsi="Segoe UI" w:cs="Segoe UI"/>
          <w:szCs w:val="20"/>
          <w:lang w:eastAsia="it-IT"/>
        </w:rPr>
        <w:t xml:space="preserve"> </w:t>
      </w:r>
      <w:r w:rsidR="00A31D89" w:rsidRPr="0062207D">
        <w:rPr>
          <w:rFonts w:ascii="Segoe UI" w:hAnsi="Segoe UI" w:cs="Segoe UI"/>
          <w:szCs w:val="20"/>
          <w:lang w:eastAsia="it-IT"/>
        </w:rPr>
        <w:t>del sistema</w:t>
      </w:r>
      <w:r w:rsidR="00A31D89">
        <w:rPr>
          <w:rFonts w:ascii="Segoe UI" w:hAnsi="Segoe UI" w:cs="Segoe UI"/>
          <w:szCs w:val="20"/>
          <w:lang w:eastAsia="it-IT"/>
        </w:rPr>
        <w:t xml:space="preserve"> nel suo complesso</w:t>
      </w:r>
      <w:r w:rsidRPr="0062207D">
        <w:rPr>
          <w:rFonts w:ascii="Segoe UI" w:hAnsi="Segoe UI" w:cs="Segoe UI"/>
          <w:szCs w:val="20"/>
          <w:lang w:eastAsia="it-IT"/>
        </w:rPr>
        <w:t>.</w:t>
      </w:r>
    </w:p>
    <w:p w14:paraId="2229EEA1" w14:textId="27E1E8C2" w:rsidR="002F50C0" w:rsidRPr="00847C52" w:rsidRDefault="00847C52" w:rsidP="00847C52">
      <w:pPr>
        <w:keepNext/>
        <w:keepLines/>
        <w:tabs>
          <w:tab w:val="left" w:pos="567"/>
        </w:tabs>
        <w:spacing w:before="1080" w:after="720" w:line="240" w:lineRule="auto"/>
        <w:ind w:left="567" w:hanging="567"/>
        <w:outlineLvl w:val="1"/>
        <w:rPr>
          <w:rFonts w:ascii="Segoe UI" w:eastAsiaTheme="minorHAnsi" w:hAnsi="Segoe UI" w:cs="Segoe UI"/>
          <w:bCs/>
          <w:sz w:val="28"/>
          <w:szCs w:val="28"/>
        </w:rPr>
      </w:pPr>
      <w:bookmarkStart w:id="18" w:name="_Toc507973951"/>
      <w:r w:rsidRPr="00847C52">
        <w:rPr>
          <w:rFonts w:ascii="Segoe UI" w:eastAsiaTheme="minorHAnsi" w:hAnsi="Segoe UI" w:cs="Segoe UI"/>
          <w:bCs/>
          <w:sz w:val="28"/>
          <w:szCs w:val="28"/>
        </w:rPr>
        <w:t>4</w:t>
      </w:r>
      <w:r w:rsidR="00930536" w:rsidRPr="00847C52">
        <w:rPr>
          <w:rFonts w:ascii="Segoe UI" w:eastAsiaTheme="minorHAnsi" w:hAnsi="Segoe UI" w:cs="Segoe UI"/>
          <w:bCs/>
          <w:sz w:val="28"/>
          <w:szCs w:val="28"/>
        </w:rPr>
        <w:t>.1</w:t>
      </w:r>
      <w:r w:rsidR="00930536" w:rsidRPr="00847C52">
        <w:rPr>
          <w:rFonts w:ascii="Segoe UI" w:eastAsiaTheme="minorHAnsi" w:hAnsi="Segoe UI" w:cs="Segoe UI"/>
          <w:bCs/>
          <w:sz w:val="28"/>
          <w:szCs w:val="28"/>
        </w:rPr>
        <w:tab/>
      </w:r>
      <w:r w:rsidR="002F50C0" w:rsidRPr="00847C52">
        <w:rPr>
          <w:rFonts w:ascii="Segoe UI" w:eastAsiaTheme="minorHAnsi" w:hAnsi="Segoe UI" w:cs="Segoe UI"/>
          <w:bCs/>
          <w:sz w:val="28"/>
          <w:szCs w:val="28"/>
        </w:rPr>
        <w:t xml:space="preserve">Livello normativo europeo e </w:t>
      </w:r>
      <w:r w:rsidR="00A605A5" w:rsidRPr="00847C52">
        <w:rPr>
          <w:rFonts w:ascii="Segoe UI" w:eastAsiaTheme="minorHAnsi" w:hAnsi="Segoe UI" w:cs="Segoe UI"/>
          <w:bCs/>
          <w:sz w:val="28"/>
          <w:szCs w:val="28"/>
        </w:rPr>
        <w:t xml:space="preserve">livello legislativo </w:t>
      </w:r>
      <w:r w:rsidR="002F50C0" w:rsidRPr="00847C52">
        <w:rPr>
          <w:rFonts w:ascii="Segoe UI" w:eastAsiaTheme="minorHAnsi" w:hAnsi="Segoe UI" w:cs="Segoe UI"/>
          <w:bCs/>
          <w:sz w:val="28"/>
          <w:szCs w:val="28"/>
        </w:rPr>
        <w:t>nazionale</w:t>
      </w:r>
      <w:bookmarkEnd w:id="18"/>
    </w:p>
    <w:p w14:paraId="780E56ED" w14:textId="4E2F40F3" w:rsidR="002F50C0" w:rsidRPr="0062207D" w:rsidRDefault="002F50C0" w:rsidP="00114796">
      <w:pPr>
        <w:autoSpaceDE w:val="0"/>
        <w:autoSpaceDN w:val="0"/>
        <w:adjustRightInd w:val="0"/>
        <w:spacing w:before="120" w:after="120" w:line="240" w:lineRule="auto"/>
        <w:jc w:val="both"/>
        <w:rPr>
          <w:rFonts w:ascii="Segoe UI" w:hAnsi="Segoe UI" w:cs="Segoe UI"/>
          <w:szCs w:val="20"/>
          <w:lang w:eastAsia="it-IT"/>
        </w:rPr>
      </w:pPr>
      <w:r w:rsidRPr="0062207D">
        <w:rPr>
          <w:rFonts w:ascii="Segoe UI" w:hAnsi="Segoe UI" w:cs="Segoe UI"/>
          <w:szCs w:val="20"/>
          <w:lang w:eastAsia="it-IT"/>
        </w:rPr>
        <w:t xml:space="preserve">Il primo livello in cui si è manifestata una “asimmetria” interpretativa, ancorché giuridicamente legittima (posto che non la si ritenga generata da una colpevole leggerezza del legislatore nazionale) riguarda il riferimento al concetto di rilevanza </w:t>
      </w:r>
      <w:r w:rsidR="00F40FFC" w:rsidRPr="0062207D">
        <w:rPr>
          <w:rFonts w:ascii="Segoe UI" w:hAnsi="Segoe UI" w:cs="Segoe UI"/>
          <w:szCs w:val="20"/>
          <w:lang w:eastAsia="it-IT"/>
        </w:rPr>
        <w:t>quando adottato, rispettivamente, nella direttiva di rendicontazione non finanziaria 2014/95/UE e nel relativo d.lgs. n. 254/2016 di recepimento nell’ordinamento nazionale.</w:t>
      </w:r>
    </w:p>
    <w:p w14:paraId="6CA9F0FF" w14:textId="6AB83E83" w:rsidR="000457D3" w:rsidRPr="0062207D" w:rsidRDefault="00F40FFC" w:rsidP="000457D3">
      <w:pPr>
        <w:tabs>
          <w:tab w:val="left" w:pos="709"/>
        </w:tabs>
        <w:spacing w:before="120" w:after="120" w:line="240" w:lineRule="auto"/>
        <w:jc w:val="both"/>
        <w:rPr>
          <w:rFonts w:ascii="Segoe UI" w:hAnsi="Segoe UI" w:cs="Segoe UI"/>
          <w:noProof/>
          <w:szCs w:val="20"/>
          <w:lang w:eastAsia="it-IT"/>
        </w:rPr>
      </w:pPr>
      <w:r w:rsidRPr="0062207D">
        <w:rPr>
          <w:rFonts w:ascii="Segoe UI" w:hAnsi="Segoe UI" w:cs="Segoe UI"/>
          <w:szCs w:val="20"/>
          <w:lang w:eastAsia="it-IT"/>
        </w:rPr>
        <w:t>La d</w:t>
      </w:r>
      <w:r w:rsidRPr="0062207D">
        <w:rPr>
          <w:rFonts w:ascii="Segoe UI" w:eastAsia="Times New Roman" w:hAnsi="Segoe UI" w:cs="Segoe UI"/>
          <w:bCs/>
          <w:szCs w:val="20"/>
          <w:lang w:eastAsia="it-IT"/>
        </w:rPr>
        <w:t xml:space="preserve">irettiva 2014/95/UE, infatti, lo si è già evidenziato, adotta il </w:t>
      </w:r>
      <w:r w:rsidR="000457D3" w:rsidRPr="0062207D">
        <w:rPr>
          <w:rFonts w:ascii="Segoe UI" w:eastAsia="Times New Roman" w:hAnsi="Segoe UI" w:cs="Segoe UI"/>
          <w:bCs/>
          <w:szCs w:val="20"/>
          <w:lang w:eastAsia="it-IT"/>
        </w:rPr>
        <w:t xml:space="preserve">termine </w:t>
      </w:r>
      <w:r w:rsidRPr="0062207D">
        <w:rPr>
          <w:rFonts w:ascii="Segoe UI" w:eastAsia="Times New Roman" w:hAnsi="Segoe UI" w:cs="Segoe UI"/>
          <w:bCs/>
          <w:szCs w:val="20"/>
          <w:lang w:eastAsia="it-IT"/>
        </w:rPr>
        <w:t>“</w:t>
      </w:r>
      <w:r w:rsidRPr="0062207D">
        <w:rPr>
          <w:rFonts w:ascii="Segoe UI" w:eastAsia="Times New Roman" w:hAnsi="Segoe UI" w:cs="Segoe UI"/>
          <w:bCs/>
          <w:i/>
          <w:szCs w:val="20"/>
          <w:lang w:eastAsia="it-IT"/>
        </w:rPr>
        <w:t>relevan</w:t>
      </w:r>
      <w:r w:rsidR="000457D3" w:rsidRPr="0062207D">
        <w:rPr>
          <w:rFonts w:ascii="Segoe UI" w:eastAsia="Times New Roman" w:hAnsi="Segoe UI" w:cs="Segoe UI"/>
          <w:bCs/>
          <w:i/>
          <w:szCs w:val="20"/>
          <w:lang w:eastAsia="it-IT"/>
        </w:rPr>
        <w:t>t</w:t>
      </w:r>
      <w:r w:rsidRPr="0062207D">
        <w:rPr>
          <w:rFonts w:ascii="Segoe UI" w:eastAsia="Times New Roman" w:hAnsi="Segoe UI" w:cs="Segoe UI"/>
          <w:bCs/>
          <w:szCs w:val="20"/>
          <w:lang w:eastAsia="it-IT"/>
        </w:rPr>
        <w:t>”</w:t>
      </w:r>
      <w:r w:rsidR="000457D3" w:rsidRPr="0062207D">
        <w:rPr>
          <w:rFonts w:ascii="Segoe UI" w:eastAsia="Times New Roman" w:hAnsi="Segoe UI" w:cs="Segoe UI"/>
          <w:bCs/>
          <w:szCs w:val="20"/>
          <w:lang w:eastAsia="it-IT"/>
        </w:rPr>
        <w:t xml:space="preserve"> n</w:t>
      </w:r>
      <w:r w:rsidR="000457D3" w:rsidRPr="0062207D">
        <w:rPr>
          <w:rFonts w:ascii="Segoe UI" w:hAnsi="Segoe UI" w:cs="Segoe UI"/>
          <w:noProof/>
          <w:szCs w:val="20"/>
          <w:lang w:eastAsia="it-IT"/>
        </w:rPr>
        <w:t>ell’art</w:t>
      </w:r>
      <w:r w:rsidR="00A605A5">
        <w:rPr>
          <w:rFonts w:ascii="Segoe UI" w:hAnsi="Segoe UI" w:cs="Segoe UI"/>
          <w:noProof/>
          <w:szCs w:val="20"/>
          <w:lang w:eastAsia="it-IT"/>
        </w:rPr>
        <w:t>.</w:t>
      </w:r>
      <w:r w:rsidR="000457D3" w:rsidRPr="0062207D">
        <w:rPr>
          <w:rFonts w:ascii="Segoe UI" w:hAnsi="Segoe UI" w:cs="Segoe UI"/>
          <w:noProof/>
          <w:szCs w:val="20"/>
          <w:lang w:eastAsia="it-IT"/>
        </w:rPr>
        <w:t xml:space="preserve"> 1, “Modifiche della direttiva 2013/34/UE”, c</w:t>
      </w:r>
      <w:r w:rsidR="006C09F7">
        <w:rPr>
          <w:rFonts w:ascii="Segoe UI" w:hAnsi="Segoe UI" w:cs="Segoe UI"/>
          <w:noProof/>
          <w:szCs w:val="20"/>
          <w:lang w:eastAsia="it-IT"/>
        </w:rPr>
        <w:t>o.</w:t>
      </w:r>
      <w:r w:rsidR="000457D3" w:rsidRPr="0062207D">
        <w:rPr>
          <w:rFonts w:ascii="Segoe UI" w:hAnsi="Segoe UI" w:cs="Segoe UI"/>
          <w:noProof/>
          <w:szCs w:val="20"/>
          <w:lang w:eastAsia="it-IT"/>
        </w:rPr>
        <w:t xml:space="preserve"> 1, punto 1, lett</w:t>
      </w:r>
      <w:r w:rsidR="001C29A5">
        <w:rPr>
          <w:rFonts w:ascii="Segoe UI" w:hAnsi="Segoe UI" w:cs="Segoe UI"/>
          <w:noProof/>
          <w:szCs w:val="20"/>
          <w:lang w:eastAsia="it-IT"/>
        </w:rPr>
        <w:t>.</w:t>
      </w:r>
      <w:r w:rsidR="000457D3" w:rsidRPr="0062207D">
        <w:rPr>
          <w:rFonts w:ascii="Segoe UI" w:hAnsi="Segoe UI" w:cs="Segoe UI"/>
          <w:noProof/>
          <w:szCs w:val="20"/>
          <w:lang w:eastAsia="it-IT"/>
        </w:rPr>
        <w:t xml:space="preserve"> d) ed e), con riferimento, rispettivamente, ai rischi e agli indicatori di </w:t>
      </w:r>
      <w:r w:rsidR="000457D3" w:rsidRPr="006C09F7">
        <w:rPr>
          <w:rFonts w:ascii="Segoe UI" w:hAnsi="Segoe UI" w:cs="Segoe UI"/>
          <w:i/>
          <w:noProof/>
          <w:szCs w:val="20"/>
          <w:lang w:eastAsia="it-IT"/>
        </w:rPr>
        <w:t>performance</w:t>
      </w:r>
      <w:r w:rsidR="000457D3" w:rsidRPr="0062207D">
        <w:rPr>
          <w:rFonts w:ascii="Segoe UI" w:hAnsi="Segoe UI" w:cs="Segoe UI"/>
          <w:noProof/>
          <w:szCs w:val="20"/>
          <w:lang w:eastAsia="it-IT"/>
        </w:rPr>
        <w:t xml:space="preserve"> ma nelle accezioni di “opportuno” e “pertinente”, che richimano concetti difficilemnte riconducibili al princpio di “</w:t>
      </w:r>
      <w:r w:rsidR="000457D3" w:rsidRPr="0062207D">
        <w:rPr>
          <w:rFonts w:ascii="Segoe UI" w:hAnsi="Segoe UI" w:cs="Segoe UI"/>
          <w:i/>
          <w:noProof/>
          <w:szCs w:val="20"/>
          <w:lang w:eastAsia="it-IT"/>
        </w:rPr>
        <w:t>materiality</w:t>
      </w:r>
      <w:r w:rsidR="000457D3" w:rsidRPr="0062207D">
        <w:rPr>
          <w:rFonts w:ascii="Segoe UI" w:hAnsi="Segoe UI" w:cs="Segoe UI"/>
          <w:noProof/>
          <w:szCs w:val="20"/>
          <w:lang w:eastAsia="it-IT"/>
        </w:rPr>
        <w:t>” così come definito dai Princpi IAS/IFRS.</w:t>
      </w:r>
    </w:p>
    <w:p w14:paraId="0B965F6D" w14:textId="2F8A96F4" w:rsidR="004C1D89" w:rsidRPr="0062207D" w:rsidRDefault="00166454" w:rsidP="00166454">
      <w:pPr>
        <w:autoSpaceDE w:val="0"/>
        <w:autoSpaceDN w:val="0"/>
        <w:adjustRightInd w:val="0"/>
        <w:spacing w:before="120" w:after="120" w:line="240" w:lineRule="auto"/>
        <w:jc w:val="both"/>
        <w:rPr>
          <w:rFonts w:ascii="Segoe UI" w:hAnsi="Segoe UI" w:cs="Segoe UI"/>
          <w:szCs w:val="20"/>
          <w:lang w:eastAsia="it-IT"/>
        </w:rPr>
      </w:pPr>
      <w:r w:rsidRPr="0062207D">
        <w:rPr>
          <w:rFonts w:ascii="Segoe UI" w:hAnsi="Segoe UI" w:cs="Segoe UI"/>
          <w:szCs w:val="20"/>
          <w:lang w:eastAsia="it-IT"/>
        </w:rPr>
        <w:t xml:space="preserve">Al di là del significato intrinseco dei termini (nella direttiva vi è solo il “classico” e generico riferimento alla circostanza per la quale la dichiarazione debba contenere le informazioni sui </w:t>
      </w:r>
      <w:r w:rsidRPr="0062207D">
        <w:rPr>
          <w:rFonts w:ascii="Segoe UI" w:hAnsi="Segoe UI" w:cs="Segoe UI"/>
          <w:i/>
          <w:szCs w:val="20"/>
          <w:lang w:eastAsia="it-IT"/>
        </w:rPr>
        <w:t>driver</w:t>
      </w:r>
      <w:r w:rsidRPr="0062207D">
        <w:rPr>
          <w:rFonts w:ascii="Segoe UI" w:hAnsi="Segoe UI" w:cs="Segoe UI"/>
          <w:szCs w:val="20"/>
          <w:lang w:eastAsia="it-IT"/>
        </w:rPr>
        <w:t xml:space="preserve"> di sosten</w:t>
      </w:r>
      <w:r w:rsidR="0024652D">
        <w:rPr>
          <w:rFonts w:ascii="Segoe UI" w:hAnsi="Segoe UI" w:cs="Segoe UI"/>
          <w:szCs w:val="20"/>
          <w:lang w:eastAsia="it-IT"/>
        </w:rPr>
        <w:t>i</w:t>
      </w:r>
      <w:r w:rsidRPr="0062207D">
        <w:rPr>
          <w:rFonts w:ascii="Segoe UI" w:hAnsi="Segoe UI" w:cs="Segoe UI"/>
          <w:szCs w:val="20"/>
          <w:lang w:eastAsia="it-IT"/>
        </w:rPr>
        <w:t>bilità “</w:t>
      </w:r>
      <w:r w:rsidRPr="0062207D">
        <w:rPr>
          <w:rFonts w:ascii="Segoe UI" w:hAnsi="Segoe UI" w:cs="Segoe UI"/>
          <w:i/>
          <w:szCs w:val="20"/>
          <w:lang w:eastAsia="it-IT"/>
        </w:rPr>
        <w:t>in misura necessaria alla comprensione dell'andamento dell'impresa, dei suoi risultati, della sua situazione e dell'impatto della sua attività</w:t>
      </w:r>
      <w:r w:rsidRPr="0062207D">
        <w:rPr>
          <w:rFonts w:ascii="Segoe UI" w:hAnsi="Segoe UI" w:cs="Segoe UI"/>
          <w:szCs w:val="20"/>
          <w:lang w:eastAsia="it-IT"/>
        </w:rPr>
        <w:t xml:space="preserve">”), il </w:t>
      </w:r>
      <w:r w:rsidR="004C1D89" w:rsidRPr="0062207D">
        <w:rPr>
          <w:rFonts w:ascii="Segoe UI" w:hAnsi="Segoe UI" w:cs="Segoe UI"/>
          <w:szCs w:val="20"/>
          <w:lang w:eastAsia="it-IT"/>
        </w:rPr>
        <w:t xml:space="preserve">testo del </w:t>
      </w:r>
      <w:r w:rsidRPr="0062207D">
        <w:rPr>
          <w:rFonts w:ascii="Segoe UI" w:hAnsi="Segoe UI" w:cs="Segoe UI"/>
          <w:szCs w:val="20"/>
          <w:lang w:eastAsia="it-IT"/>
        </w:rPr>
        <w:t xml:space="preserve">d.lgs. n. 254/2016 </w:t>
      </w:r>
      <w:r w:rsidR="004C1D89" w:rsidRPr="0062207D">
        <w:rPr>
          <w:rFonts w:ascii="Segoe UI" w:hAnsi="Segoe UI" w:cs="Segoe UI"/>
          <w:szCs w:val="20"/>
          <w:lang w:eastAsia="it-IT"/>
        </w:rPr>
        <w:t>è articolato, su questo fronte, con  alcune differenze e introduce alcuni importanti elementi di novità rispetto alla direttiva.</w:t>
      </w:r>
    </w:p>
    <w:p w14:paraId="75210086" w14:textId="74648987" w:rsidR="004C1D89" w:rsidRPr="0062207D" w:rsidRDefault="004C1D89" w:rsidP="0003181A">
      <w:pPr>
        <w:keepNext/>
        <w:keepLines/>
        <w:autoSpaceDE w:val="0"/>
        <w:autoSpaceDN w:val="0"/>
        <w:adjustRightInd w:val="0"/>
        <w:spacing w:before="120" w:after="120" w:line="240" w:lineRule="auto"/>
        <w:jc w:val="both"/>
        <w:rPr>
          <w:rFonts w:ascii="Segoe UI" w:hAnsi="Segoe UI" w:cs="Segoe UI"/>
          <w:szCs w:val="20"/>
          <w:lang w:eastAsia="it-IT"/>
        </w:rPr>
      </w:pPr>
      <w:r w:rsidRPr="0062207D">
        <w:rPr>
          <w:rFonts w:ascii="Segoe UI" w:hAnsi="Segoe UI" w:cs="Segoe UI"/>
          <w:szCs w:val="20"/>
          <w:lang w:eastAsia="it-IT"/>
        </w:rPr>
        <w:t>In particolare,</w:t>
      </w:r>
      <w:r w:rsidR="0003181A" w:rsidRPr="0062207D">
        <w:rPr>
          <w:rFonts w:ascii="Segoe UI" w:hAnsi="Segoe UI" w:cs="Segoe UI"/>
          <w:szCs w:val="20"/>
          <w:lang w:eastAsia="it-IT"/>
        </w:rPr>
        <w:t xml:space="preserve"> l’art</w:t>
      </w:r>
      <w:r w:rsidR="00A605A5">
        <w:rPr>
          <w:rFonts w:ascii="Segoe UI" w:hAnsi="Segoe UI" w:cs="Segoe UI"/>
          <w:szCs w:val="20"/>
          <w:lang w:eastAsia="it-IT"/>
        </w:rPr>
        <w:t>.</w:t>
      </w:r>
      <w:r w:rsidR="0003181A" w:rsidRPr="0062207D">
        <w:rPr>
          <w:rFonts w:ascii="Segoe UI" w:hAnsi="Segoe UI" w:cs="Segoe UI"/>
          <w:szCs w:val="20"/>
          <w:lang w:eastAsia="it-IT"/>
        </w:rPr>
        <w:t xml:space="preserve"> </w:t>
      </w:r>
      <w:r w:rsidR="000D2E77" w:rsidRPr="0062207D">
        <w:rPr>
          <w:rFonts w:ascii="Segoe UI" w:hAnsi="Segoe UI" w:cs="Segoe UI"/>
          <w:szCs w:val="20"/>
          <w:lang w:eastAsia="it-IT"/>
        </w:rPr>
        <w:t>3</w:t>
      </w:r>
      <w:r w:rsidR="0003181A" w:rsidRPr="0062207D">
        <w:rPr>
          <w:rFonts w:ascii="Segoe UI" w:hAnsi="Segoe UI" w:cs="Segoe UI"/>
          <w:szCs w:val="20"/>
          <w:lang w:eastAsia="it-IT"/>
        </w:rPr>
        <w:t>, “</w:t>
      </w:r>
      <w:r w:rsidR="000D2E77" w:rsidRPr="0062207D">
        <w:rPr>
          <w:rFonts w:ascii="Segoe UI" w:hAnsi="Segoe UI" w:cs="Segoe UI"/>
          <w:szCs w:val="20"/>
          <w:lang w:eastAsia="it-IT"/>
        </w:rPr>
        <w:t>Dichiarazione individuale di carattere non finanziario”, co</w:t>
      </w:r>
      <w:r w:rsidR="00495495">
        <w:rPr>
          <w:rFonts w:ascii="Segoe UI" w:hAnsi="Segoe UI" w:cs="Segoe UI"/>
          <w:szCs w:val="20"/>
          <w:lang w:eastAsia="it-IT"/>
        </w:rPr>
        <w:t>.</w:t>
      </w:r>
      <w:r w:rsidR="000D2E77" w:rsidRPr="0062207D">
        <w:rPr>
          <w:rFonts w:ascii="Segoe UI" w:hAnsi="Segoe UI" w:cs="Segoe UI"/>
          <w:szCs w:val="20"/>
          <w:lang w:eastAsia="it-IT"/>
        </w:rPr>
        <w:t xml:space="preserve"> 1, del d.lgs. n. 254/2016</w:t>
      </w:r>
      <w:r w:rsidR="0003181A" w:rsidRPr="0062207D">
        <w:rPr>
          <w:rFonts w:ascii="Segoe UI" w:hAnsi="Segoe UI" w:cs="Segoe UI"/>
          <w:szCs w:val="20"/>
          <w:lang w:eastAsia="it-IT"/>
        </w:rPr>
        <w:t xml:space="preserve">, </w:t>
      </w:r>
      <w:r w:rsidRPr="0062207D">
        <w:rPr>
          <w:rFonts w:ascii="Segoe UI" w:hAnsi="Segoe UI" w:cs="Segoe UI"/>
          <w:szCs w:val="20"/>
          <w:lang w:eastAsia="it-IT"/>
        </w:rPr>
        <w:t xml:space="preserve">introduce proprio il </w:t>
      </w:r>
      <w:r w:rsidR="00166454" w:rsidRPr="0062207D">
        <w:rPr>
          <w:rFonts w:ascii="Segoe UI" w:hAnsi="Segoe UI" w:cs="Segoe UI"/>
          <w:szCs w:val="20"/>
          <w:lang w:eastAsia="it-IT"/>
        </w:rPr>
        <w:t xml:space="preserve">termine </w:t>
      </w:r>
      <w:r w:rsidRPr="0062207D">
        <w:rPr>
          <w:rFonts w:ascii="Segoe UI" w:hAnsi="Segoe UI" w:cs="Segoe UI"/>
          <w:szCs w:val="20"/>
          <w:lang w:eastAsia="it-IT"/>
        </w:rPr>
        <w:t>“</w:t>
      </w:r>
      <w:r w:rsidR="00166454" w:rsidRPr="0062207D">
        <w:rPr>
          <w:rFonts w:ascii="Segoe UI" w:hAnsi="Segoe UI" w:cs="Segoe UI"/>
          <w:i/>
          <w:szCs w:val="20"/>
          <w:lang w:eastAsia="it-IT"/>
        </w:rPr>
        <w:t>rilevante</w:t>
      </w:r>
      <w:r w:rsidRPr="0062207D">
        <w:rPr>
          <w:rFonts w:ascii="Segoe UI" w:hAnsi="Segoe UI" w:cs="Segoe UI"/>
          <w:szCs w:val="20"/>
          <w:lang w:eastAsia="it-IT"/>
        </w:rPr>
        <w:t>” (assente nella traduzione della direttiva), associandolo però ai seguenti elementi:</w:t>
      </w:r>
    </w:p>
    <w:p w14:paraId="4BEE59C3" w14:textId="5F4A9254" w:rsidR="0003181A" w:rsidRPr="0062207D" w:rsidRDefault="004C1D89" w:rsidP="005938C8">
      <w:pPr>
        <w:pStyle w:val="Paragrafoelenco"/>
        <w:numPr>
          <w:ilvl w:val="0"/>
          <w:numId w:val="15"/>
        </w:numPr>
        <w:tabs>
          <w:tab w:val="left" w:pos="567"/>
        </w:tabs>
        <w:autoSpaceDE w:val="0"/>
        <w:autoSpaceDN w:val="0"/>
        <w:adjustRightInd w:val="0"/>
        <w:spacing w:before="120" w:after="120" w:line="240" w:lineRule="auto"/>
        <w:ind w:left="567" w:hanging="283"/>
        <w:contextualSpacing w:val="0"/>
        <w:jc w:val="both"/>
        <w:rPr>
          <w:rFonts w:ascii="Segoe UI" w:hAnsi="Segoe UI" w:cs="Segoe UI"/>
          <w:szCs w:val="20"/>
          <w:lang w:eastAsia="it-IT"/>
        </w:rPr>
      </w:pPr>
      <w:r w:rsidRPr="0062207D">
        <w:rPr>
          <w:rFonts w:ascii="Segoe UI" w:hAnsi="Segoe UI" w:cs="Segoe UI"/>
          <w:szCs w:val="20"/>
          <w:lang w:eastAsia="it-IT"/>
        </w:rPr>
        <w:t xml:space="preserve">ai 5 temi </w:t>
      </w:r>
      <w:r w:rsidR="00A605A5" w:rsidRPr="0062207D">
        <w:rPr>
          <w:rFonts w:ascii="Segoe UI" w:hAnsi="Segoe UI" w:cs="Segoe UI"/>
          <w:szCs w:val="20"/>
          <w:lang w:eastAsia="it-IT"/>
        </w:rPr>
        <w:t xml:space="preserve">della sostenibilità </w:t>
      </w:r>
      <w:r w:rsidRPr="0062207D">
        <w:rPr>
          <w:rFonts w:ascii="Segoe UI" w:hAnsi="Segoe UI" w:cs="Segoe UI"/>
          <w:szCs w:val="20"/>
          <w:lang w:eastAsia="it-IT"/>
        </w:rPr>
        <w:t>(che, per capirci, abbiamo talvolta chiamato “</w:t>
      </w:r>
      <w:r w:rsidRPr="0062207D">
        <w:rPr>
          <w:rFonts w:ascii="Segoe UI" w:hAnsi="Segoe UI" w:cs="Segoe UI"/>
          <w:i/>
          <w:szCs w:val="20"/>
          <w:lang w:eastAsia="it-IT"/>
        </w:rPr>
        <w:t>driver</w:t>
      </w:r>
      <w:r w:rsidRPr="0062207D">
        <w:rPr>
          <w:rFonts w:ascii="Segoe UI" w:hAnsi="Segoe UI" w:cs="Segoe UI"/>
          <w:szCs w:val="20"/>
          <w:lang w:eastAsia="it-IT"/>
        </w:rPr>
        <w:t xml:space="preserve">” di </w:t>
      </w:r>
      <w:r w:rsidRPr="0062207D">
        <w:rPr>
          <w:rFonts w:ascii="Segoe UI" w:hAnsi="Segoe UI" w:cs="Segoe UI"/>
          <w:i/>
          <w:szCs w:val="20"/>
          <w:lang w:eastAsia="it-IT"/>
        </w:rPr>
        <w:t>disclosure</w:t>
      </w:r>
      <w:r w:rsidRPr="0062207D">
        <w:rPr>
          <w:rFonts w:ascii="Segoe UI" w:hAnsi="Segoe UI" w:cs="Segoe UI"/>
          <w:szCs w:val="20"/>
          <w:lang w:eastAsia="it-IT"/>
        </w:rPr>
        <w:t xml:space="preserve"> non finanziaria):</w:t>
      </w:r>
      <w:r w:rsidR="0003181A" w:rsidRPr="0062207D">
        <w:rPr>
          <w:rFonts w:ascii="Segoe UI" w:hAnsi="Segoe UI" w:cs="Segoe UI"/>
          <w:szCs w:val="20"/>
          <w:lang w:eastAsia="it-IT"/>
        </w:rPr>
        <w:t xml:space="preserve"> </w:t>
      </w:r>
      <w:r w:rsidRPr="0062207D">
        <w:rPr>
          <w:rFonts w:ascii="Segoe UI" w:hAnsi="Segoe UI" w:cs="Segoe UI"/>
          <w:szCs w:val="20"/>
          <w:lang w:eastAsia="it-IT"/>
        </w:rPr>
        <w:t>“</w:t>
      </w:r>
      <w:r w:rsidRPr="0062207D">
        <w:rPr>
          <w:rFonts w:ascii="Segoe UI" w:hAnsi="Segoe UI" w:cs="Segoe UI"/>
          <w:i/>
          <w:szCs w:val="20"/>
          <w:lang w:eastAsia="it-IT"/>
        </w:rPr>
        <w:t xml:space="preserve">1. La dichiarazione individuale di carattere non finanziario, nella misura necessaria ad assicurare la comprensione dell'attività di impresa, del suo andamento, dei suoi risultati e dell'impatto dalla stessa prodotta, copre i temi ambientali, sociali, attinenti al personale, al rispetto dei diritti umani, alla lotta contro la corruzione attiva e passiva, che sono rilevanti tenuto conto delle attività e delle caratteristiche dell'impresa </w:t>
      </w:r>
      <w:r w:rsidRPr="00A605A5">
        <w:rPr>
          <w:rFonts w:ascii="Segoe UI" w:hAnsi="Segoe UI" w:cs="Segoe UI"/>
          <w:szCs w:val="20"/>
          <w:lang w:eastAsia="it-IT"/>
        </w:rPr>
        <w:t>[...]</w:t>
      </w:r>
      <w:r w:rsidR="0003181A" w:rsidRPr="00A605A5">
        <w:rPr>
          <w:rFonts w:ascii="Segoe UI" w:hAnsi="Segoe UI" w:cs="Segoe UI"/>
          <w:szCs w:val="20"/>
          <w:lang w:eastAsia="it-IT"/>
        </w:rPr>
        <w:t>”;</w:t>
      </w:r>
    </w:p>
    <w:p w14:paraId="7685380D" w14:textId="77777777" w:rsidR="0003181A" w:rsidRPr="0062207D" w:rsidRDefault="0003181A" w:rsidP="005938C8">
      <w:pPr>
        <w:pStyle w:val="Paragrafoelenco"/>
        <w:numPr>
          <w:ilvl w:val="0"/>
          <w:numId w:val="15"/>
        </w:numPr>
        <w:tabs>
          <w:tab w:val="left" w:pos="567"/>
        </w:tabs>
        <w:autoSpaceDE w:val="0"/>
        <w:autoSpaceDN w:val="0"/>
        <w:adjustRightInd w:val="0"/>
        <w:spacing w:before="120" w:after="120" w:line="240" w:lineRule="auto"/>
        <w:ind w:left="567" w:hanging="283"/>
        <w:contextualSpacing w:val="0"/>
        <w:jc w:val="both"/>
        <w:rPr>
          <w:rFonts w:ascii="Segoe UI" w:hAnsi="Segoe UI" w:cs="Segoe UI"/>
          <w:i/>
          <w:szCs w:val="20"/>
          <w:lang w:eastAsia="it-IT"/>
        </w:rPr>
      </w:pPr>
      <w:r w:rsidRPr="0062207D">
        <w:rPr>
          <w:rFonts w:ascii="Segoe UI" w:hAnsi="Segoe UI" w:cs="Segoe UI"/>
          <w:szCs w:val="20"/>
          <w:lang w:eastAsia="it-IT"/>
        </w:rPr>
        <w:t xml:space="preserve">alla </w:t>
      </w:r>
      <w:r w:rsidR="00E17BAA" w:rsidRPr="0062207D">
        <w:rPr>
          <w:rFonts w:ascii="Segoe UI" w:hAnsi="Segoe UI" w:cs="Segoe UI"/>
          <w:szCs w:val="20"/>
          <w:lang w:eastAsia="it-IT"/>
        </w:rPr>
        <w:t>catena di fornitura</w:t>
      </w:r>
      <w:r w:rsidRPr="0062207D">
        <w:rPr>
          <w:rFonts w:ascii="Segoe UI" w:hAnsi="Segoe UI" w:cs="Segoe UI"/>
          <w:szCs w:val="20"/>
          <w:lang w:eastAsia="it-IT"/>
        </w:rPr>
        <w:t xml:space="preserve"> (</w:t>
      </w:r>
      <w:r w:rsidRPr="0062207D">
        <w:rPr>
          <w:rFonts w:ascii="Segoe UI" w:hAnsi="Segoe UI" w:cs="Segoe UI"/>
          <w:i/>
          <w:szCs w:val="20"/>
          <w:lang w:eastAsia="it-IT"/>
        </w:rPr>
        <w:t>supply chain</w:t>
      </w:r>
      <w:r w:rsidRPr="0062207D">
        <w:rPr>
          <w:rFonts w:ascii="Segoe UI" w:hAnsi="Segoe UI" w:cs="Segoe UI"/>
          <w:szCs w:val="20"/>
          <w:lang w:eastAsia="it-IT"/>
        </w:rPr>
        <w:t>): “</w:t>
      </w:r>
      <w:r w:rsidRPr="0062207D">
        <w:rPr>
          <w:rFonts w:ascii="Segoe UI" w:hAnsi="Segoe UI" w:cs="Segoe UI"/>
          <w:i/>
          <w:szCs w:val="20"/>
          <w:lang w:eastAsia="it-IT"/>
        </w:rPr>
        <w:t xml:space="preserve">La dichiarazione di carattere non finanziario ... ... copre i </w:t>
      </w:r>
      <w:r w:rsidRPr="00A605A5">
        <w:rPr>
          <w:rFonts w:ascii="Segoe UI" w:hAnsi="Segoe UI" w:cs="Segoe UI"/>
          <w:i/>
          <w:szCs w:val="20"/>
          <w:lang w:eastAsia="it-IT"/>
        </w:rPr>
        <w:t>temi</w:t>
      </w:r>
      <w:r w:rsidRPr="00A605A5">
        <w:rPr>
          <w:rFonts w:ascii="Segoe UI" w:hAnsi="Segoe UI" w:cs="Segoe UI"/>
          <w:szCs w:val="20"/>
          <w:lang w:eastAsia="it-IT"/>
        </w:rPr>
        <w:t xml:space="preserve"> (n.d.r.: della sostenibilità)</w:t>
      </w:r>
      <w:r w:rsidRPr="0062207D">
        <w:rPr>
          <w:rFonts w:ascii="Segoe UI" w:hAnsi="Segoe UI" w:cs="Segoe UI"/>
          <w:i/>
          <w:szCs w:val="20"/>
          <w:lang w:eastAsia="it-IT"/>
        </w:rPr>
        <w:t xml:space="preserve"> ... ... descrivendo almeno:</w:t>
      </w:r>
    </w:p>
    <w:p w14:paraId="2F6F1D6E" w14:textId="2819D0BF" w:rsidR="0003181A" w:rsidRPr="0062207D" w:rsidRDefault="0003181A" w:rsidP="00BD1D06">
      <w:pPr>
        <w:autoSpaceDE w:val="0"/>
        <w:autoSpaceDN w:val="0"/>
        <w:adjustRightInd w:val="0"/>
        <w:spacing w:before="120" w:after="120" w:line="240" w:lineRule="auto"/>
        <w:ind w:left="567"/>
        <w:jc w:val="both"/>
        <w:rPr>
          <w:rFonts w:ascii="Segoe UI" w:hAnsi="Segoe UI" w:cs="Segoe UI"/>
          <w:i/>
          <w:szCs w:val="20"/>
          <w:lang w:eastAsia="it-IT"/>
        </w:rPr>
      </w:pPr>
      <w:r w:rsidRPr="0062207D">
        <w:rPr>
          <w:rFonts w:ascii="Segoe UI" w:hAnsi="Segoe UI" w:cs="Segoe UI"/>
          <w:i/>
          <w:szCs w:val="20"/>
          <w:lang w:eastAsia="it-IT"/>
        </w:rPr>
        <w:t>... ...</w:t>
      </w:r>
    </w:p>
    <w:p w14:paraId="5CCAE2C3" w14:textId="45AE28FE" w:rsidR="0003181A" w:rsidRPr="0062207D" w:rsidRDefault="0003181A" w:rsidP="00BD1D06">
      <w:pPr>
        <w:pStyle w:val="NormaleWeb"/>
        <w:spacing w:before="120" w:beforeAutospacing="0" w:after="120" w:afterAutospacing="0"/>
        <w:ind w:left="567"/>
        <w:jc w:val="both"/>
        <w:rPr>
          <w:rFonts w:ascii="Segoe UI" w:hAnsi="Segoe UI" w:cs="Segoe UI"/>
          <w:sz w:val="22"/>
        </w:rPr>
      </w:pPr>
      <w:r w:rsidRPr="0062207D">
        <w:rPr>
          <w:rFonts w:ascii="Segoe UI" w:hAnsi="Segoe UI" w:cs="Segoe UI"/>
          <w:i/>
          <w:sz w:val="22"/>
        </w:rPr>
        <w:t>c) i principali rischi, generati o subiti, connessi ai suddetti temi e che derivano dalle attività dell'impresa, dai suoi prodotti, servizi o rapporti commerciali, incluse, ove rilevanti, le catene di fornitura e subappalto;</w:t>
      </w:r>
      <w:r w:rsidR="00A605A5" w:rsidRPr="00A605A5">
        <w:rPr>
          <w:rFonts w:ascii="Segoe UI" w:hAnsi="Segoe UI" w:cs="Segoe UI"/>
          <w:sz w:val="22"/>
        </w:rPr>
        <w:t xml:space="preserve"> </w:t>
      </w:r>
      <w:r w:rsidRPr="00A605A5">
        <w:rPr>
          <w:rFonts w:ascii="Segoe UI" w:hAnsi="Segoe UI" w:cs="Segoe UI"/>
          <w:sz w:val="22"/>
        </w:rPr>
        <w:t>[...]”;</w:t>
      </w:r>
    </w:p>
    <w:p w14:paraId="6A5A5290" w14:textId="6F2079A0" w:rsidR="002632C9" w:rsidRPr="0062207D" w:rsidRDefault="002632C9" w:rsidP="005938C8">
      <w:pPr>
        <w:pStyle w:val="Paragrafoelenco"/>
        <w:numPr>
          <w:ilvl w:val="0"/>
          <w:numId w:val="15"/>
        </w:numPr>
        <w:tabs>
          <w:tab w:val="left" w:pos="567"/>
        </w:tabs>
        <w:autoSpaceDE w:val="0"/>
        <w:autoSpaceDN w:val="0"/>
        <w:adjustRightInd w:val="0"/>
        <w:spacing w:before="120" w:after="120" w:line="240" w:lineRule="auto"/>
        <w:ind w:left="567" w:hanging="283"/>
        <w:contextualSpacing w:val="0"/>
        <w:jc w:val="both"/>
        <w:rPr>
          <w:rFonts w:ascii="Segoe UI" w:hAnsi="Segoe UI" w:cs="Segoe UI"/>
          <w:szCs w:val="20"/>
        </w:rPr>
      </w:pPr>
      <w:r w:rsidRPr="0062207D">
        <w:rPr>
          <w:rFonts w:ascii="Segoe UI" w:hAnsi="Segoe UI" w:cs="Segoe UI"/>
          <w:szCs w:val="20"/>
        </w:rPr>
        <w:t xml:space="preserve">alle </w:t>
      </w:r>
      <w:r w:rsidR="00E17BAA" w:rsidRPr="0062207D">
        <w:rPr>
          <w:rFonts w:ascii="Segoe UI" w:hAnsi="Segoe UI" w:cs="Segoe UI"/>
          <w:szCs w:val="20"/>
          <w:lang w:eastAsia="it-IT"/>
        </w:rPr>
        <w:t>informazioni sugli impatti</w:t>
      </w:r>
      <w:r w:rsidR="00BD1D06" w:rsidRPr="0062207D">
        <w:rPr>
          <w:rFonts w:ascii="Segoe UI" w:hAnsi="Segoe UI" w:cs="Segoe UI"/>
          <w:szCs w:val="20"/>
          <w:lang w:eastAsia="it-IT"/>
        </w:rPr>
        <w:t xml:space="preserve"> con riguardo ai fattori di rischio</w:t>
      </w:r>
      <w:r w:rsidRPr="0062207D">
        <w:rPr>
          <w:rFonts w:ascii="Segoe UI" w:hAnsi="Segoe UI" w:cs="Segoe UI"/>
          <w:szCs w:val="20"/>
        </w:rPr>
        <w:t>: “</w:t>
      </w:r>
      <w:r w:rsidRPr="0062207D">
        <w:rPr>
          <w:rFonts w:ascii="Segoe UI" w:hAnsi="Segoe UI" w:cs="Segoe UI"/>
          <w:i/>
          <w:szCs w:val="20"/>
        </w:rPr>
        <w:t>2. In merito agli ambiti di cui al comma 1, la dichiarazione di carattere non finanziario contiene almeno informazioni riguardanti:</w:t>
      </w:r>
    </w:p>
    <w:p w14:paraId="0E06FCF9" w14:textId="74F4C3F2" w:rsidR="002632C9" w:rsidRPr="0062207D" w:rsidRDefault="002632C9" w:rsidP="00BD1D06">
      <w:pPr>
        <w:pStyle w:val="NormaleWeb"/>
        <w:spacing w:before="120" w:beforeAutospacing="0" w:after="120" w:afterAutospacing="0"/>
        <w:ind w:left="567"/>
        <w:jc w:val="both"/>
        <w:rPr>
          <w:rFonts w:ascii="Segoe UI" w:hAnsi="Segoe UI" w:cs="Segoe UI"/>
          <w:i/>
          <w:sz w:val="22"/>
        </w:rPr>
      </w:pPr>
      <w:r w:rsidRPr="0062207D">
        <w:rPr>
          <w:rFonts w:ascii="Segoe UI" w:hAnsi="Segoe UI" w:cs="Segoe UI"/>
          <w:i/>
          <w:sz w:val="22"/>
        </w:rPr>
        <w:t xml:space="preserve">... ... </w:t>
      </w:r>
    </w:p>
    <w:p w14:paraId="62EB9AA7" w14:textId="7939EE5E" w:rsidR="004C1D89" w:rsidRPr="006D4075" w:rsidRDefault="004C1D89" w:rsidP="00BD1D06">
      <w:pPr>
        <w:pStyle w:val="NormaleWeb"/>
        <w:spacing w:before="120" w:beforeAutospacing="0" w:after="120" w:afterAutospacing="0"/>
        <w:ind w:left="567"/>
        <w:jc w:val="both"/>
        <w:rPr>
          <w:rFonts w:ascii="Segoe UI" w:hAnsi="Segoe UI" w:cs="Segoe UI"/>
          <w:sz w:val="22"/>
        </w:rPr>
      </w:pPr>
      <w:r w:rsidRPr="0062207D">
        <w:rPr>
          <w:rFonts w:ascii="Segoe UI" w:hAnsi="Segoe UI" w:cs="Segoe UI"/>
          <w:i/>
          <w:sz w:val="22"/>
        </w:rPr>
        <w:t>c) l'impatto, ove possibile sulla base di ipotesi o scenari realistici anche a medio termine, sull'ambiente nonché sulla salute e la sicurezza, associato ai fattori di rischio di cui al comma 1, lettera c), o ad altri rilevanti fattori di rischio ambientale e sanitario</w:t>
      </w:r>
      <w:r w:rsidR="002632C9" w:rsidRPr="0062207D">
        <w:rPr>
          <w:rFonts w:ascii="Segoe UI" w:hAnsi="Segoe UI" w:cs="Segoe UI"/>
          <w:i/>
          <w:sz w:val="22"/>
        </w:rPr>
        <w:t>”</w:t>
      </w:r>
      <w:r w:rsidR="006D4075">
        <w:rPr>
          <w:rFonts w:ascii="Segoe UI" w:hAnsi="Segoe UI" w:cs="Segoe UI"/>
          <w:sz w:val="22"/>
        </w:rPr>
        <w:t>.</w:t>
      </w:r>
    </w:p>
    <w:p w14:paraId="7DA63771" w14:textId="4456C09F" w:rsidR="000457D3" w:rsidRPr="0062207D" w:rsidRDefault="00785A1C" w:rsidP="00B51868">
      <w:pPr>
        <w:pStyle w:val="NormaleWeb"/>
        <w:spacing w:before="120" w:beforeAutospacing="0" w:after="120" w:afterAutospacing="0"/>
        <w:jc w:val="both"/>
        <w:rPr>
          <w:rFonts w:ascii="Segoe UI" w:hAnsi="Segoe UI" w:cs="Segoe UI"/>
          <w:bCs/>
          <w:sz w:val="22"/>
        </w:rPr>
      </w:pPr>
      <w:r w:rsidRPr="0062207D">
        <w:rPr>
          <w:rFonts w:ascii="Segoe UI" w:hAnsi="Segoe UI" w:cs="Segoe UI"/>
          <w:sz w:val="22"/>
        </w:rPr>
        <w:t xml:space="preserve">Conclusione: dal confronto appaiono evidenti le diversità delle disposizioni dei due provvedimenti e può essere </w:t>
      </w:r>
      <w:r w:rsidR="00ED0170" w:rsidRPr="0062207D">
        <w:rPr>
          <w:rFonts w:ascii="Segoe UI" w:hAnsi="Segoe UI" w:cs="Segoe UI"/>
          <w:sz w:val="22"/>
        </w:rPr>
        <w:t xml:space="preserve">valutata anche positivamente l’introduzione del concetto di rilevanza (sebbene poi non ulteriormente definito nella norma, a differenza di quanto si riscontri nella normativa di rendicontazione finanziaria). Nel nostro contesto, tuttavia, ciò che davvero rileva, come avremo occasione di sottolineare in seguito, è il riferimento del concetto della rilevanza nelle disposizioni legislative che, ad eccezione dell’attinenza ad informazioni inerenti alla catena di fornitura e ai fattori di rischio ambientali e sanitari, non è mai alle singole informazioni bensì ai 5 </w:t>
      </w:r>
      <w:r w:rsidR="00FF344D" w:rsidRPr="0062207D">
        <w:rPr>
          <w:rFonts w:ascii="Segoe UI" w:hAnsi="Segoe UI" w:cs="Segoe UI"/>
          <w:sz w:val="22"/>
        </w:rPr>
        <w:t>“</w:t>
      </w:r>
      <w:r w:rsidR="00ED0170" w:rsidRPr="0062207D">
        <w:rPr>
          <w:rFonts w:ascii="Segoe UI" w:hAnsi="Segoe UI" w:cs="Segoe UI"/>
          <w:i/>
          <w:sz w:val="22"/>
        </w:rPr>
        <w:t>temi</w:t>
      </w:r>
      <w:r w:rsidR="00FF344D" w:rsidRPr="0062207D">
        <w:rPr>
          <w:rFonts w:ascii="Segoe UI" w:hAnsi="Segoe UI" w:cs="Segoe UI"/>
          <w:sz w:val="22"/>
        </w:rPr>
        <w:t>”</w:t>
      </w:r>
      <w:r w:rsidR="00ED0170" w:rsidRPr="0062207D">
        <w:rPr>
          <w:rFonts w:ascii="Segoe UI" w:hAnsi="Segoe UI" w:cs="Segoe UI"/>
          <w:sz w:val="22"/>
        </w:rPr>
        <w:t xml:space="preserve"> della sostenibilità di cui al</w:t>
      </w:r>
      <w:r w:rsidR="005D4DA7" w:rsidRPr="0062207D">
        <w:rPr>
          <w:rFonts w:ascii="Segoe UI" w:hAnsi="Segoe UI" w:cs="Segoe UI"/>
          <w:sz w:val="22"/>
        </w:rPr>
        <w:t>l’art</w:t>
      </w:r>
      <w:r w:rsidR="008453C1">
        <w:rPr>
          <w:rFonts w:ascii="Segoe UI" w:hAnsi="Segoe UI" w:cs="Segoe UI"/>
          <w:sz w:val="22"/>
        </w:rPr>
        <w:t>.</w:t>
      </w:r>
      <w:r w:rsidR="005D4DA7" w:rsidRPr="0062207D">
        <w:rPr>
          <w:rFonts w:ascii="Segoe UI" w:hAnsi="Segoe UI" w:cs="Segoe UI"/>
          <w:sz w:val="22"/>
        </w:rPr>
        <w:t xml:space="preserve"> 3, c</w:t>
      </w:r>
      <w:r w:rsidR="008453C1">
        <w:rPr>
          <w:rFonts w:ascii="Segoe UI" w:hAnsi="Segoe UI" w:cs="Segoe UI"/>
          <w:sz w:val="22"/>
        </w:rPr>
        <w:t>o.</w:t>
      </w:r>
      <w:r w:rsidR="005D4DA7" w:rsidRPr="0062207D">
        <w:rPr>
          <w:rFonts w:ascii="Segoe UI" w:hAnsi="Segoe UI" w:cs="Segoe UI"/>
          <w:sz w:val="22"/>
        </w:rPr>
        <w:t xml:space="preserve"> </w:t>
      </w:r>
      <w:r w:rsidR="00ED0170" w:rsidRPr="0062207D">
        <w:rPr>
          <w:rFonts w:ascii="Segoe UI" w:hAnsi="Segoe UI" w:cs="Segoe UI"/>
          <w:sz w:val="22"/>
        </w:rPr>
        <w:t>1 del</w:t>
      </w:r>
      <w:r w:rsidR="005D4DA7" w:rsidRPr="0062207D">
        <w:rPr>
          <w:rFonts w:ascii="Segoe UI" w:hAnsi="Segoe UI" w:cs="Segoe UI"/>
          <w:sz w:val="22"/>
        </w:rPr>
        <w:t xml:space="preserve"> decreto</w:t>
      </w:r>
      <w:r w:rsidR="006D0F2A">
        <w:rPr>
          <w:rStyle w:val="Rimandonotaapidipagina"/>
          <w:rFonts w:cs="Segoe UI"/>
        </w:rPr>
        <w:footnoteReference w:id="17"/>
      </w:r>
      <w:r w:rsidR="00ED0170" w:rsidRPr="0062207D">
        <w:rPr>
          <w:rFonts w:ascii="Segoe UI" w:hAnsi="Segoe UI" w:cs="Segoe UI"/>
          <w:sz w:val="22"/>
        </w:rPr>
        <w:t>.</w:t>
      </w:r>
    </w:p>
    <w:p w14:paraId="2625CC0C" w14:textId="555FCC68" w:rsidR="00930536" w:rsidRPr="00847C52" w:rsidRDefault="00847C52" w:rsidP="00847C52">
      <w:pPr>
        <w:keepNext/>
        <w:keepLines/>
        <w:tabs>
          <w:tab w:val="left" w:pos="567"/>
        </w:tabs>
        <w:spacing w:before="1080" w:after="720" w:line="240" w:lineRule="auto"/>
        <w:ind w:left="567" w:hanging="567"/>
        <w:outlineLvl w:val="1"/>
        <w:rPr>
          <w:rFonts w:ascii="Segoe UI" w:eastAsiaTheme="minorHAnsi" w:hAnsi="Segoe UI" w:cs="Segoe UI"/>
          <w:bCs/>
          <w:sz w:val="28"/>
          <w:szCs w:val="28"/>
        </w:rPr>
      </w:pPr>
      <w:bookmarkStart w:id="19" w:name="_Toc507973952"/>
      <w:r w:rsidRPr="00847C52">
        <w:rPr>
          <w:rFonts w:ascii="Segoe UI" w:eastAsiaTheme="minorHAnsi" w:hAnsi="Segoe UI" w:cs="Segoe UI"/>
          <w:bCs/>
          <w:sz w:val="28"/>
          <w:szCs w:val="28"/>
        </w:rPr>
        <w:t>4</w:t>
      </w:r>
      <w:r w:rsidR="00930536" w:rsidRPr="00847C52">
        <w:rPr>
          <w:rFonts w:ascii="Segoe UI" w:eastAsiaTheme="minorHAnsi" w:hAnsi="Segoe UI" w:cs="Segoe UI"/>
          <w:bCs/>
          <w:sz w:val="28"/>
          <w:szCs w:val="28"/>
        </w:rPr>
        <w:t>.2</w:t>
      </w:r>
      <w:r w:rsidR="00930536" w:rsidRPr="00847C52">
        <w:rPr>
          <w:rFonts w:ascii="Segoe UI" w:eastAsiaTheme="minorHAnsi" w:hAnsi="Segoe UI" w:cs="Segoe UI"/>
          <w:bCs/>
          <w:sz w:val="28"/>
          <w:szCs w:val="28"/>
        </w:rPr>
        <w:tab/>
        <w:t>Livello</w:t>
      </w:r>
      <w:r w:rsidR="00A605A5" w:rsidRPr="00847C52">
        <w:rPr>
          <w:rFonts w:ascii="Segoe UI" w:eastAsiaTheme="minorHAnsi" w:hAnsi="Segoe UI" w:cs="Segoe UI"/>
          <w:bCs/>
          <w:sz w:val="28"/>
          <w:szCs w:val="28"/>
        </w:rPr>
        <w:t xml:space="preserve"> legislativo nazionale e livello</w:t>
      </w:r>
      <w:r w:rsidR="00930536" w:rsidRPr="00847C52">
        <w:rPr>
          <w:rFonts w:ascii="Segoe UI" w:eastAsiaTheme="minorHAnsi" w:hAnsi="Segoe UI" w:cs="Segoe UI"/>
          <w:bCs/>
          <w:sz w:val="28"/>
          <w:szCs w:val="28"/>
        </w:rPr>
        <w:t xml:space="preserve"> </w:t>
      </w:r>
      <w:r w:rsidR="00E060FF" w:rsidRPr="00847C52">
        <w:rPr>
          <w:rFonts w:ascii="Segoe UI" w:eastAsiaTheme="minorHAnsi" w:hAnsi="Segoe UI" w:cs="Segoe UI"/>
          <w:bCs/>
          <w:sz w:val="28"/>
          <w:szCs w:val="28"/>
        </w:rPr>
        <w:t>regolamentare nazionale</w:t>
      </w:r>
      <w:bookmarkEnd w:id="19"/>
    </w:p>
    <w:p w14:paraId="18566D36" w14:textId="426B2EF0" w:rsidR="004572EA" w:rsidRDefault="004572EA" w:rsidP="004572EA">
      <w:pPr>
        <w:autoSpaceDE w:val="0"/>
        <w:autoSpaceDN w:val="0"/>
        <w:adjustRightInd w:val="0"/>
        <w:spacing w:before="120" w:after="120" w:line="240" w:lineRule="auto"/>
        <w:jc w:val="both"/>
        <w:rPr>
          <w:rFonts w:ascii="Segoe UI" w:eastAsia="Times New Roman" w:hAnsi="Segoe UI" w:cs="Segoe UI"/>
          <w:bCs/>
          <w:lang w:eastAsia="it-IT"/>
        </w:rPr>
      </w:pPr>
      <w:r w:rsidRPr="0062207D">
        <w:rPr>
          <w:rFonts w:ascii="Segoe UI" w:hAnsi="Segoe UI" w:cs="Segoe UI"/>
          <w:szCs w:val="20"/>
          <w:lang w:eastAsia="it-IT"/>
        </w:rPr>
        <w:t xml:space="preserve">Un secondo livello in cui è possibile individuare un disallineamento tra testi normativi riguarda i riferimenti </w:t>
      </w:r>
      <w:r>
        <w:rPr>
          <w:rFonts w:ascii="Segoe UI" w:hAnsi="Segoe UI" w:cs="Segoe UI"/>
          <w:szCs w:val="20"/>
          <w:lang w:eastAsia="it-IT"/>
        </w:rPr>
        <w:t>a</w:t>
      </w:r>
      <w:r w:rsidR="009A44D5">
        <w:rPr>
          <w:rFonts w:ascii="Segoe UI" w:hAnsi="Segoe UI" w:cs="Segoe UI"/>
          <w:szCs w:val="20"/>
          <w:lang w:eastAsia="it-IT"/>
        </w:rPr>
        <w:t xml:space="preserve">i </w:t>
      </w:r>
      <w:r w:rsidRPr="0062207D">
        <w:rPr>
          <w:rFonts w:ascii="Segoe UI" w:hAnsi="Segoe UI" w:cs="Segoe UI"/>
          <w:szCs w:val="20"/>
          <w:lang w:eastAsia="it-IT"/>
        </w:rPr>
        <w:t>concett</w:t>
      </w:r>
      <w:r w:rsidR="009A44D5">
        <w:rPr>
          <w:rFonts w:ascii="Segoe UI" w:hAnsi="Segoe UI" w:cs="Segoe UI"/>
          <w:szCs w:val="20"/>
          <w:lang w:eastAsia="it-IT"/>
        </w:rPr>
        <w:t>i</w:t>
      </w:r>
      <w:r w:rsidRPr="0062207D">
        <w:rPr>
          <w:rFonts w:ascii="Segoe UI" w:hAnsi="Segoe UI" w:cs="Segoe UI"/>
          <w:szCs w:val="20"/>
          <w:lang w:eastAsia="it-IT"/>
        </w:rPr>
        <w:t xml:space="preserve"> della rilevanza</w:t>
      </w:r>
      <w:r w:rsidR="009A44D5">
        <w:rPr>
          <w:rFonts w:ascii="Segoe UI" w:hAnsi="Segoe UI" w:cs="Segoe UI"/>
          <w:szCs w:val="20"/>
          <w:lang w:eastAsia="it-IT"/>
        </w:rPr>
        <w:t xml:space="preserve"> e della materialità (o</w:t>
      </w:r>
      <w:r w:rsidR="00CE73DB">
        <w:rPr>
          <w:rFonts w:ascii="Segoe UI" w:hAnsi="Segoe UI" w:cs="Segoe UI"/>
          <w:szCs w:val="20"/>
          <w:lang w:eastAsia="it-IT"/>
        </w:rPr>
        <w:t xml:space="preserve"> alle</w:t>
      </w:r>
      <w:r w:rsidR="009A44D5">
        <w:rPr>
          <w:rFonts w:ascii="Segoe UI" w:hAnsi="Segoe UI" w:cs="Segoe UI"/>
          <w:szCs w:val="20"/>
          <w:lang w:eastAsia="it-IT"/>
        </w:rPr>
        <w:t xml:space="preserve"> loro </w:t>
      </w:r>
      <w:r>
        <w:rPr>
          <w:rFonts w:ascii="Segoe UI" w:hAnsi="Segoe UI" w:cs="Segoe UI"/>
          <w:szCs w:val="20"/>
          <w:lang w:eastAsia="it-IT"/>
        </w:rPr>
        <w:t>sfumature)</w:t>
      </w:r>
      <w:r w:rsidRPr="0062207D">
        <w:rPr>
          <w:rFonts w:ascii="Segoe UI" w:hAnsi="Segoe UI" w:cs="Segoe UI"/>
          <w:szCs w:val="20"/>
          <w:lang w:eastAsia="it-IT"/>
        </w:rPr>
        <w:t>, rispettivamente, nel d.lgs. n. 254/2016</w:t>
      </w:r>
      <w:r>
        <w:rPr>
          <w:rFonts w:ascii="Segoe UI" w:hAnsi="Segoe UI" w:cs="Segoe UI"/>
          <w:szCs w:val="20"/>
          <w:lang w:eastAsia="it-IT"/>
        </w:rPr>
        <w:t xml:space="preserve"> </w:t>
      </w:r>
      <w:r w:rsidRPr="00C34624">
        <w:rPr>
          <w:rFonts w:ascii="Segoe UI" w:hAnsi="Segoe UI" w:cs="Segoe UI"/>
          <w:lang w:eastAsia="it-IT"/>
        </w:rPr>
        <w:t xml:space="preserve">sulla </w:t>
      </w:r>
      <w:r w:rsidRPr="00C34624">
        <w:rPr>
          <w:rFonts w:ascii="Segoe UI" w:hAnsi="Segoe UI" w:cs="Segoe UI"/>
          <w:i/>
          <w:lang w:eastAsia="it-IT"/>
        </w:rPr>
        <w:t>disclosure</w:t>
      </w:r>
      <w:r w:rsidRPr="00C34624">
        <w:rPr>
          <w:rFonts w:ascii="Segoe UI" w:hAnsi="Segoe UI" w:cs="Segoe UI"/>
          <w:lang w:eastAsia="it-IT"/>
        </w:rPr>
        <w:t xml:space="preserve"> non finanziaria (normativa primaria) e nel provvedimento della Consob (normativa secondaria) </w:t>
      </w:r>
      <w:r w:rsidRPr="00C34624">
        <w:rPr>
          <w:rFonts w:ascii="Segoe UI" w:eastAsia="Times New Roman" w:hAnsi="Segoe UI" w:cs="Segoe UI"/>
          <w:bCs/>
          <w:iCs/>
          <w:lang w:eastAsia="it-IT"/>
        </w:rPr>
        <w:t>Regolamento di attuazione del d.lgs. 30 dicembre 2016, n. 254 relativo alla comunicazione di informazioni di carattere non finanziario</w:t>
      </w:r>
      <w:r w:rsidRPr="00C34624">
        <w:rPr>
          <w:rFonts w:ascii="Segoe UI" w:hAnsi="Segoe UI" w:cs="Segoe UI"/>
          <w:lang w:eastAsia="it-IT"/>
        </w:rPr>
        <w:t xml:space="preserve">, emanato ai sensi dell’art. 9, co. 1, del d.lgs. n. 254/2016, considerato alla luce dei due documenti preparatori e illustrativi ad esso strettamente connessi: </w:t>
      </w:r>
      <w:r w:rsidR="00882420">
        <w:rPr>
          <w:rFonts w:ascii="Segoe UI" w:hAnsi="Segoe UI" w:cs="Segoe UI"/>
          <w:lang w:eastAsia="it-IT"/>
        </w:rPr>
        <w:t xml:space="preserve">la </w:t>
      </w:r>
      <w:r w:rsidRPr="00C34624">
        <w:rPr>
          <w:rFonts w:ascii="Segoe UI" w:eastAsia="Times New Roman" w:hAnsi="Segoe UI" w:cs="Segoe UI"/>
          <w:bCs/>
          <w:iCs/>
          <w:lang w:eastAsia="it-IT"/>
        </w:rPr>
        <w:t>“Relazione illustrativa degli esiti della consultazione, delle conseguenze sulla regolamentazione, sull’attività delle imprese e degli operatori e sugli interessi degli investitori e dei risparmiatori. Regolamento di attuazione del d.lgs. 30 dicembre 2016, n. 254 relativo alla comunicazione di informazioni di carattere non finanziario”</w:t>
      </w:r>
      <w:r>
        <w:rPr>
          <w:rFonts w:ascii="Segoe UI" w:eastAsia="Times New Roman" w:hAnsi="Segoe UI" w:cs="Segoe UI"/>
          <w:bCs/>
          <w:iCs/>
          <w:lang w:eastAsia="it-IT"/>
        </w:rPr>
        <w:t xml:space="preserve"> (in questo contesto, anche solo “Relazione illustrativa”) </w:t>
      </w:r>
      <w:r w:rsidRPr="00C34624">
        <w:rPr>
          <w:rFonts w:ascii="Segoe UI" w:eastAsia="Times New Roman" w:hAnsi="Segoe UI" w:cs="Segoe UI"/>
          <w:bCs/>
          <w:iCs/>
          <w:lang w:eastAsia="it-IT"/>
        </w:rPr>
        <w:t xml:space="preserve">del 19 gennaio 2018 e </w:t>
      </w:r>
      <w:r w:rsidRPr="00C34624">
        <w:rPr>
          <w:rFonts w:ascii="Segoe UI" w:hAnsi="Segoe UI" w:cs="Segoe UI"/>
          <w:lang w:eastAsia="it-IT"/>
        </w:rPr>
        <w:t xml:space="preserve">il </w:t>
      </w:r>
      <w:r>
        <w:rPr>
          <w:rFonts w:ascii="Segoe UI" w:hAnsi="Segoe UI" w:cs="Segoe UI"/>
          <w:lang w:eastAsia="it-IT"/>
        </w:rPr>
        <w:t xml:space="preserve">documento di consultazione </w:t>
      </w:r>
      <w:r w:rsidRPr="00D132A6">
        <w:rPr>
          <w:rFonts w:ascii="Segoe UI" w:eastAsia="Times New Roman" w:hAnsi="Segoe UI" w:cs="Segoe UI"/>
          <w:bCs/>
          <w:lang w:eastAsia="it-IT"/>
        </w:rPr>
        <w:t>“Disposizioni attuative del decreto legislativo 30 dicembre 2016, n. 254 relativo alla comunicazione di informazioni di carattere non finanziario”</w:t>
      </w:r>
      <w:r w:rsidRPr="00C34624">
        <w:rPr>
          <w:rFonts w:ascii="Segoe UI" w:eastAsia="Times New Roman" w:hAnsi="Segoe UI" w:cs="Segoe UI"/>
          <w:bCs/>
          <w:lang w:eastAsia="it-IT"/>
        </w:rPr>
        <w:t xml:space="preserve"> del 21 luglio 2017</w:t>
      </w:r>
      <w:r>
        <w:rPr>
          <w:rFonts w:ascii="Segoe UI" w:eastAsia="Times New Roman" w:hAnsi="Segoe UI" w:cs="Segoe UI"/>
          <w:bCs/>
          <w:lang w:eastAsia="it-IT"/>
        </w:rPr>
        <w:t xml:space="preserve"> </w:t>
      </w:r>
      <w:r>
        <w:rPr>
          <w:rFonts w:ascii="Segoe UI" w:eastAsia="Times New Roman" w:hAnsi="Segoe UI" w:cs="Segoe UI"/>
          <w:bCs/>
          <w:iCs/>
          <w:lang w:eastAsia="it-IT"/>
        </w:rPr>
        <w:t>(in questo contesto, anche solo “Documento di consultazione”)</w:t>
      </w:r>
      <w:r w:rsidRPr="00C34624">
        <w:rPr>
          <w:rFonts w:ascii="Segoe UI" w:eastAsia="Times New Roman" w:hAnsi="Segoe UI" w:cs="Segoe UI"/>
          <w:bCs/>
          <w:lang w:eastAsia="it-IT"/>
        </w:rPr>
        <w:t>.</w:t>
      </w:r>
    </w:p>
    <w:p w14:paraId="46A88210" w14:textId="11D924B8" w:rsidR="004572EA" w:rsidRPr="0062207D" w:rsidRDefault="004572EA" w:rsidP="004572EA">
      <w:pPr>
        <w:autoSpaceDE w:val="0"/>
        <w:autoSpaceDN w:val="0"/>
        <w:adjustRightInd w:val="0"/>
        <w:spacing w:before="120" w:after="120" w:line="240" w:lineRule="auto"/>
        <w:jc w:val="both"/>
        <w:rPr>
          <w:rFonts w:ascii="Segoe UI" w:hAnsi="Segoe UI" w:cs="Segoe UI"/>
          <w:szCs w:val="20"/>
          <w:lang w:eastAsia="it-IT"/>
        </w:rPr>
      </w:pPr>
      <w:r w:rsidRPr="0062207D">
        <w:rPr>
          <w:rFonts w:ascii="Segoe UI" w:hAnsi="Segoe UI" w:cs="Segoe UI"/>
          <w:szCs w:val="20"/>
          <w:lang w:eastAsia="it-IT"/>
        </w:rPr>
        <w:t>In sintesi, si è visto infatti che l’art</w:t>
      </w:r>
      <w:r w:rsidR="00882420">
        <w:rPr>
          <w:rFonts w:ascii="Segoe UI" w:hAnsi="Segoe UI" w:cs="Segoe UI"/>
          <w:szCs w:val="20"/>
          <w:lang w:eastAsia="it-IT"/>
        </w:rPr>
        <w:t>.</w:t>
      </w:r>
      <w:r w:rsidRPr="0062207D">
        <w:rPr>
          <w:rFonts w:ascii="Segoe UI" w:hAnsi="Segoe UI" w:cs="Segoe UI"/>
          <w:szCs w:val="20"/>
          <w:lang w:eastAsia="it-IT"/>
        </w:rPr>
        <w:t xml:space="preserve"> 3, “Dichiarazione individuale di carattere non finanziario”, co</w:t>
      </w:r>
      <w:r>
        <w:rPr>
          <w:rFonts w:ascii="Segoe UI" w:hAnsi="Segoe UI" w:cs="Segoe UI"/>
          <w:szCs w:val="20"/>
          <w:lang w:eastAsia="it-IT"/>
        </w:rPr>
        <w:t>.</w:t>
      </w:r>
      <w:r w:rsidRPr="0062207D">
        <w:rPr>
          <w:rFonts w:ascii="Segoe UI" w:hAnsi="Segoe UI" w:cs="Segoe UI"/>
          <w:szCs w:val="20"/>
          <w:lang w:eastAsia="it-IT"/>
        </w:rPr>
        <w:t xml:space="preserve"> 1, del d.lgs. n. 254/2016, introduc</w:t>
      </w:r>
      <w:r w:rsidR="00882420">
        <w:rPr>
          <w:rFonts w:ascii="Segoe UI" w:hAnsi="Segoe UI" w:cs="Segoe UI"/>
          <w:szCs w:val="20"/>
          <w:lang w:eastAsia="it-IT"/>
        </w:rPr>
        <w:t>e</w:t>
      </w:r>
      <w:r w:rsidRPr="0062207D">
        <w:rPr>
          <w:rFonts w:ascii="Segoe UI" w:hAnsi="Segoe UI" w:cs="Segoe UI"/>
          <w:szCs w:val="20"/>
          <w:lang w:eastAsia="it-IT"/>
        </w:rPr>
        <w:t xml:space="preserve"> il termine “</w:t>
      </w:r>
      <w:r w:rsidRPr="0062207D">
        <w:rPr>
          <w:rFonts w:ascii="Segoe UI" w:hAnsi="Segoe UI" w:cs="Segoe UI"/>
          <w:i/>
          <w:szCs w:val="20"/>
          <w:lang w:eastAsia="it-IT"/>
        </w:rPr>
        <w:t>rilevante</w:t>
      </w:r>
      <w:r w:rsidRPr="0062207D">
        <w:rPr>
          <w:rFonts w:ascii="Segoe UI" w:hAnsi="Segoe UI" w:cs="Segoe UI"/>
          <w:szCs w:val="20"/>
          <w:lang w:eastAsia="it-IT"/>
        </w:rPr>
        <w:t>” in connessione ai 5 temi di sostenibilità (i temi ambientali, sociali, attinenti al personale, al rispetto dei diritti umani, alla lotta contro la corruzione attiva e passiva): “</w:t>
      </w:r>
      <w:r w:rsidRPr="0062207D">
        <w:rPr>
          <w:rFonts w:ascii="Segoe UI" w:hAnsi="Segoe UI" w:cs="Segoe UI"/>
          <w:i/>
          <w:szCs w:val="20"/>
          <w:lang w:eastAsia="it-IT"/>
        </w:rPr>
        <w:t xml:space="preserve">1. La dichiarazione individuale di carattere non finanziario, nella misura necessaria ad assicurare la comprensione dell'attività di impresa, del suo andamento, dei suoi risultati e dell'impatto dalla stessa prodotta, </w:t>
      </w:r>
      <w:r w:rsidRPr="00EC49F1">
        <w:rPr>
          <w:rFonts w:ascii="Segoe UI" w:hAnsi="Segoe UI" w:cs="Segoe UI"/>
          <w:i/>
          <w:szCs w:val="20"/>
          <w:lang w:eastAsia="it-IT"/>
        </w:rPr>
        <w:t>copre i temi ambientali, sociali, attinenti al personale, al rispetto dei diritti umani, alla lotta contro la corruzione attiva e passiva</w:t>
      </w:r>
      <w:r w:rsidRPr="0062207D">
        <w:rPr>
          <w:rFonts w:ascii="Segoe UI" w:hAnsi="Segoe UI" w:cs="Segoe UI"/>
          <w:i/>
          <w:szCs w:val="20"/>
          <w:lang w:eastAsia="it-IT"/>
        </w:rPr>
        <w:t xml:space="preserve">, che sono rilevanti tenuto conto delle attività e delle caratteristiche dell'impresa </w:t>
      </w:r>
      <w:r w:rsidRPr="00C34624">
        <w:rPr>
          <w:rFonts w:ascii="Segoe UI" w:hAnsi="Segoe UI" w:cs="Segoe UI"/>
          <w:szCs w:val="20"/>
          <w:lang w:eastAsia="it-IT"/>
        </w:rPr>
        <w:t>[...]</w:t>
      </w:r>
      <w:r w:rsidRPr="0062207D">
        <w:rPr>
          <w:rFonts w:ascii="Segoe UI" w:hAnsi="Segoe UI" w:cs="Segoe UI"/>
          <w:i/>
          <w:szCs w:val="20"/>
          <w:lang w:eastAsia="it-IT"/>
        </w:rPr>
        <w:t>”</w:t>
      </w:r>
      <w:r w:rsidRPr="0062207D">
        <w:rPr>
          <w:rFonts w:ascii="Segoe UI" w:hAnsi="Segoe UI" w:cs="Segoe UI"/>
          <w:szCs w:val="20"/>
          <w:lang w:eastAsia="it-IT"/>
        </w:rPr>
        <w:t>.</w:t>
      </w:r>
    </w:p>
    <w:p w14:paraId="49928AA9" w14:textId="72A09F25" w:rsidR="004572EA" w:rsidRPr="0062207D" w:rsidRDefault="004572EA" w:rsidP="004572EA">
      <w:pPr>
        <w:autoSpaceDE w:val="0"/>
        <w:autoSpaceDN w:val="0"/>
        <w:adjustRightInd w:val="0"/>
        <w:spacing w:before="120" w:after="120" w:line="240" w:lineRule="auto"/>
        <w:jc w:val="both"/>
        <w:rPr>
          <w:rFonts w:ascii="Segoe UI" w:eastAsia="Times New Roman" w:hAnsi="Segoe UI" w:cs="Segoe UI"/>
          <w:bCs/>
          <w:szCs w:val="20"/>
          <w:lang w:eastAsia="it-IT"/>
        </w:rPr>
      </w:pPr>
      <w:r>
        <w:rPr>
          <w:rFonts w:ascii="Segoe UI" w:hAnsi="Segoe UI" w:cs="Segoe UI"/>
          <w:szCs w:val="20"/>
          <w:lang w:eastAsia="it-IT"/>
        </w:rPr>
        <w:t xml:space="preserve">In particolare, la Relazione illustrativa e il Documento di consultazione – sulla base dei quali il Regolamento pubblicato il 26 gennaio, </w:t>
      </w:r>
      <w:r w:rsidRPr="0062207D">
        <w:rPr>
          <w:rFonts w:ascii="Segoe UI" w:hAnsi="Segoe UI" w:cs="Segoe UI"/>
          <w:szCs w:val="20"/>
          <w:lang w:eastAsia="it-IT"/>
        </w:rPr>
        <w:t xml:space="preserve">cui sono sottoposte le società vigilate e tenute agli adempimenti obbligatori di </w:t>
      </w:r>
      <w:r w:rsidRPr="0062207D">
        <w:rPr>
          <w:rFonts w:ascii="Segoe UI" w:hAnsi="Segoe UI" w:cs="Segoe UI"/>
          <w:i/>
          <w:szCs w:val="20"/>
          <w:lang w:eastAsia="it-IT"/>
        </w:rPr>
        <w:t>disclosure</w:t>
      </w:r>
      <w:r w:rsidRPr="0062207D">
        <w:rPr>
          <w:rFonts w:ascii="Segoe UI" w:hAnsi="Segoe UI" w:cs="Segoe UI"/>
          <w:szCs w:val="20"/>
          <w:lang w:eastAsia="it-IT"/>
        </w:rPr>
        <w:t xml:space="preserve"> non finanziaria, </w:t>
      </w:r>
      <w:r>
        <w:rPr>
          <w:rFonts w:ascii="Segoe UI" w:hAnsi="Segoe UI" w:cs="Segoe UI"/>
          <w:szCs w:val="20"/>
          <w:lang w:eastAsia="it-IT"/>
        </w:rPr>
        <w:t xml:space="preserve">ha preso infine forma – sembrano invece </w:t>
      </w:r>
      <w:r w:rsidRPr="0062207D">
        <w:rPr>
          <w:rFonts w:ascii="Segoe UI" w:hAnsi="Segoe UI" w:cs="Segoe UI"/>
          <w:szCs w:val="20"/>
          <w:lang w:eastAsia="it-IT"/>
        </w:rPr>
        <w:t>lega</w:t>
      </w:r>
      <w:r>
        <w:rPr>
          <w:rFonts w:ascii="Segoe UI" w:hAnsi="Segoe UI" w:cs="Segoe UI"/>
          <w:szCs w:val="20"/>
          <w:lang w:eastAsia="it-IT"/>
        </w:rPr>
        <w:t>re</w:t>
      </w:r>
      <w:r w:rsidRPr="0062207D">
        <w:rPr>
          <w:rFonts w:ascii="Segoe UI" w:hAnsi="Segoe UI" w:cs="Segoe UI"/>
          <w:szCs w:val="20"/>
          <w:lang w:eastAsia="it-IT"/>
        </w:rPr>
        <w:t xml:space="preserve"> il concetto di r</w:t>
      </w:r>
      <w:r w:rsidRPr="0062207D">
        <w:rPr>
          <w:rFonts w:ascii="Segoe UI" w:eastAsia="Times New Roman" w:hAnsi="Segoe UI" w:cs="Segoe UI"/>
          <w:bCs/>
          <w:szCs w:val="20"/>
          <w:lang w:eastAsia="it-IT"/>
        </w:rPr>
        <w:t xml:space="preserve">ilevanza </w:t>
      </w:r>
      <w:r>
        <w:rPr>
          <w:rFonts w:ascii="Segoe UI" w:eastAsia="Times New Roman" w:hAnsi="Segoe UI" w:cs="Segoe UI"/>
          <w:bCs/>
          <w:szCs w:val="20"/>
          <w:lang w:eastAsia="it-IT"/>
        </w:rPr>
        <w:t xml:space="preserve">specificamente </w:t>
      </w:r>
      <w:r w:rsidRPr="0062207D">
        <w:rPr>
          <w:rFonts w:ascii="Segoe UI" w:eastAsia="Times New Roman" w:hAnsi="Segoe UI" w:cs="Segoe UI"/>
          <w:bCs/>
          <w:szCs w:val="20"/>
          <w:lang w:eastAsia="it-IT"/>
        </w:rPr>
        <w:t>alle informazioni di cui all’art. 3, co. 2</w:t>
      </w:r>
      <w:r>
        <w:rPr>
          <w:rFonts w:ascii="Segoe UI" w:eastAsia="Times New Roman" w:hAnsi="Segoe UI" w:cs="Segoe UI"/>
          <w:bCs/>
          <w:szCs w:val="20"/>
          <w:lang w:eastAsia="it-IT"/>
        </w:rPr>
        <w:t>,</w:t>
      </w:r>
      <w:r w:rsidRPr="0062207D">
        <w:rPr>
          <w:rFonts w:ascii="Segoe UI" w:eastAsia="Times New Roman" w:hAnsi="Segoe UI" w:cs="Segoe UI"/>
          <w:bCs/>
          <w:szCs w:val="20"/>
          <w:lang w:eastAsia="it-IT"/>
        </w:rPr>
        <w:t xml:space="preserve"> del d.lgs.</w:t>
      </w:r>
      <w:r>
        <w:rPr>
          <w:rFonts w:ascii="Segoe UI" w:eastAsia="Times New Roman" w:hAnsi="Segoe UI" w:cs="Segoe UI"/>
          <w:bCs/>
          <w:szCs w:val="20"/>
          <w:lang w:eastAsia="it-IT"/>
        </w:rPr>
        <w:t xml:space="preserve"> n.</w:t>
      </w:r>
      <w:r w:rsidRPr="0062207D">
        <w:rPr>
          <w:rFonts w:ascii="Segoe UI" w:eastAsia="Times New Roman" w:hAnsi="Segoe UI" w:cs="Segoe UI"/>
          <w:bCs/>
          <w:szCs w:val="20"/>
          <w:lang w:eastAsia="it-IT"/>
        </w:rPr>
        <w:t xml:space="preserve"> 254/2016</w:t>
      </w:r>
      <w:r w:rsidR="00882420">
        <w:rPr>
          <w:rFonts w:ascii="Segoe UI" w:eastAsia="Times New Roman" w:hAnsi="Segoe UI" w:cs="Segoe UI"/>
          <w:bCs/>
          <w:szCs w:val="20"/>
          <w:lang w:eastAsia="it-IT"/>
        </w:rPr>
        <w:t>,</w:t>
      </w:r>
      <w:r w:rsidRPr="0062207D">
        <w:rPr>
          <w:rFonts w:ascii="Segoe UI" w:eastAsia="Times New Roman" w:hAnsi="Segoe UI" w:cs="Segoe UI"/>
          <w:bCs/>
          <w:szCs w:val="20"/>
          <w:lang w:eastAsia="it-IT"/>
        </w:rPr>
        <w:t xml:space="preserve"> che </w:t>
      </w:r>
      <w:r>
        <w:rPr>
          <w:rFonts w:ascii="Segoe UI" w:eastAsia="Times New Roman" w:hAnsi="Segoe UI" w:cs="Segoe UI"/>
          <w:bCs/>
          <w:szCs w:val="20"/>
          <w:lang w:eastAsia="it-IT"/>
        </w:rPr>
        <w:t>”</w:t>
      </w:r>
      <w:r w:rsidRPr="0062207D">
        <w:rPr>
          <w:rFonts w:ascii="Segoe UI" w:eastAsia="Times New Roman" w:hAnsi="Segoe UI" w:cs="Segoe UI"/>
          <w:b/>
          <w:bCs/>
          <w:szCs w:val="20"/>
          <w:lang w:eastAsia="it-IT"/>
        </w:rPr>
        <w:t>vanno fornite solo nella misura in cui tali indicazioni risultino significative</w:t>
      </w:r>
      <w:r>
        <w:rPr>
          <w:rFonts w:ascii="Segoe UI" w:eastAsia="Times New Roman" w:hAnsi="Segoe UI" w:cs="Segoe UI"/>
          <w:b/>
          <w:bCs/>
          <w:szCs w:val="20"/>
          <w:lang w:eastAsia="it-IT"/>
        </w:rPr>
        <w:t>”</w:t>
      </w:r>
      <w:r w:rsidRPr="00DF5E27">
        <w:rPr>
          <w:rFonts w:ascii="Segoe UI" w:eastAsia="Times New Roman" w:hAnsi="Segoe UI" w:cs="Segoe UI"/>
          <w:bCs/>
          <w:szCs w:val="20"/>
          <w:lang w:eastAsia="it-IT"/>
        </w:rPr>
        <w:t>.</w:t>
      </w:r>
    </w:p>
    <w:p w14:paraId="15DE4FFC" w14:textId="433FB025" w:rsidR="004572EA" w:rsidRPr="0062207D" w:rsidRDefault="004572EA" w:rsidP="004572EA">
      <w:pPr>
        <w:autoSpaceDE w:val="0"/>
        <w:autoSpaceDN w:val="0"/>
        <w:adjustRightInd w:val="0"/>
        <w:spacing w:before="120" w:after="120" w:line="240" w:lineRule="auto"/>
        <w:jc w:val="both"/>
        <w:rPr>
          <w:rFonts w:ascii="Segoe UI" w:eastAsia="Times New Roman" w:hAnsi="Segoe UI" w:cs="Segoe UI"/>
          <w:bCs/>
          <w:iCs/>
          <w:szCs w:val="20"/>
          <w:lang w:eastAsia="it-IT"/>
        </w:rPr>
      </w:pPr>
      <w:r>
        <w:rPr>
          <w:rFonts w:ascii="Segoe UI" w:eastAsia="Times New Roman" w:hAnsi="Segoe UI" w:cs="Segoe UI"/>
          <w:bCs/>
          <w:iCs/>
          <w:szCs w:val="20"/>
          <w:lang w:eastAsia="it-IT"/>
        </w:rPr>
        <w:t>Provando a evidenziare</w:t>
      </w:r>
      <w:r w:rsidR="005A501D">
        <w:rPr>
          <w:rFonts w:ascii="Segoe UI" w:eastAsia="Times New Roman" w:hAnsi="Segoe UI" w:cs="Segoe UI"/>
          <w:bCs/>
          <w:iCs/>
          <w:szCs w:val="20"/>
          <w:lang w:eastAsia="it-IT"/>
        </w:rPr>
        <w:t>,</w:t>
      </w:r>
      <w:r>
        <w:rPr>
          <w:rFonts w:ascii="Segoe UI" w:eastAsia="Times New Roman" w:hAnsi="Segoe UI" w:cs="Segoe UI"/>
          <w:bCs/>
          <w:iCs/>
          <w:szCs w:val="20"/>
          <w:lang w:eastAsia="it-IT"/>
        </w:rPr>
        <w:t xml:space="preserve"> dove sia possibile</w:t>
      </w:r>
      <w:r w:rsidR="005A501D">
        <w:rPr>
          <w:rFonts w:ascii="Segoe UI" w:eastAsia="Times New Roman" w:hAnsi="Segoe UI" w:cs="Segoe UI"/>
          <w:bCs/>
          <w:iCs/>
          <w:szCs w:val="20"/>
          <w:lang w:eastAsia="it-IT"/>
        </w:rPr>
        <w:t>,</w:t>
      </w:r>
      <w:r>
        <w:rPr>
          <w:rFonts w:ascii="Segoe UI" w:eastAsia="Times New Roman" w:hAnsi="Segoe UI" w:cs="Segoe UI"/>
          <w:bCs/>
          <w:iCs/>
          <w:szCs w:val="20"/>
          <w:lang w:eastAsia="it-IT"/>
        </w:rPr>
        <w:t xml:space="preserve"> una mancanza di chiarezza interpretativa, si osservi in primo luogo che, nel Documento di consultazione, a</w:t>
      </w:r>
      <w:r w:rsidRPr="0062207D">
        <w:rPr>
          <w:rFonts w:ascii="Segoe UI" w:eastAsia="Times New Roman" w:hAnsi="Segoe UI" w:cs="Segoe UI"/>
          <w:bCs/>
          <w:iCs/>
          <w:szCs w:val="20"/>
          <w:lang w:eastAsia="it-IT"/>
        </w:rPr>
        <w:t xml:space="preserve">l paragrafo 2.2, “Contenuto della DNF”, si legge: “[...] In secondo luogo, è espressamente previsto un criterio di rilevanza – o di “materialità” – in base al quale </w:t>
      </w:r>
      <w:r w:rsidRPr="0062207D">
        <w:rPr>
          <w:rFonts w:ascii="Segoe UI" w:eastAsia="Times New Roman" w:hAnsi="Segoe UI" w:cs="Segoe UI"/>
          <w:b/>
          <w:bCs/>
          <w:iCs/>
          <w:szCs w:val="20"/>
          <w:lang w:eastAsia="it-IT"/>
        </w:rPr>
        <w:t>selezionare le informazioni da fornire nella DNF con riguardo a tutti i profili</w:t>
      </w:r>
      <w:r w:rsidRPr="0062207D">
        <w:rPr>
          <w:rFonts w:ascii="Segoe UI" w:eastAsia="Times New Roman" w:hAnsi="Segoe UI" w:cs="Segoe UI"/>
          <w:bCs/>
          <w:iCs/>
          <w:szCs w:val="20"/>
          <w:lang w:eastAsia="it-IT"/>
        </w:rPr>
        <w:t xml:space="preserve"> prima richiamati (n.d.r.: rischi, modello organizzativo e gestionale, politiche praticate dell’impresa) [...]”, ma subito dopo la proposizione prosegue: “[...] difatti, la descrizione dell’attività di impresa, dei rischi, delle politiche e dei suoi impatti sui temi socio-ambientali va fatta solo con riferimento a quei </w:t>
      </w:r>
      <w:r w:rsidRPr="0062207D">
        <w:rPr>
          <w:rFonts w:ascii="Segoe UI" w:eastAsia="Times New Roman" w:hAnsi="Segoe UI" w:cs="Segoe UI"/>
          <w:b/>
          <w:bCs/>
          <w:iCs/>
          <w:szCs w:val="20"/>
          <w:lang w:eastAsia="it-IT"/>
        </w:rPr>
        <w:t>temi</w:t>
      </w:r>
      <w:r w:rsidRPr="0062207D">
        <w:rPr>
          <w:rFonts w:ascii="Segoe UI" w:eastAsia="Times New Roman" w:hAnsi="Segoe UI" w:cs="Segoe UI"/>
          <w:bCs/>
          <w:iCs/>
          <w:szCs w:val="20"/>
          <w:lang w:eastAsia="it-IT"/>
        </w:rPr>
        <w:t xml:space="preserve"> </w:t>
      </w:r>
      <w:r w:rsidRPr="0062207D">
        <w:rPr>
          <w:rFonts w:ascii="Segoe UI" w:eastAsia="Times New Roman" w:hAnsi="Segoe UI" w:cs="Segoe UI"/>
          <w:b/>
          <w:bCs/>
          <w:i/>
          <w:iCs/>
          <w:szCs w:val="20"/>
          <w:lang w:eastAsia="it-IT"/>
        </w:rPr>
        <w:t>che sono rilevanti</w:t>
      </w:r>
      <w:r w:rsidRPr="0062207D">
        <w:rPr>
          <w:rFonts w:ascii="Segoe UI" w:eastAsia="Times New Roman" w:hAnsi="Segoe UI" w:cs="Segoe UI"/>
          <w:bCs/>
          <w:i/>
          <w:iCs/>
          <w:szCs w:val="20"/>
          <w:lang w:eastAsia="it-IT"/>
        </w:rPr>
        <w:t xml:space="preserve"> tenuto conto delle attività e delle caratteristiche dell’impresa</w:t>
      </w:r>
      <w:r w:rsidRPr="0062207D">
        <w:rPr>
          <w:rFonts w:ascii="Segoe UI" w:eastAsia="Times New Roman" w:hAnsi="Segoe UI" w:cs="Segoe UI"/>
          <w:bCs/>
          <w:iCs/>
          <w:szCs w:val="20"/>
          <w:lang w:eastAsia="it-IT"/>
        </w:rPr>
        <w:t>.” (come prevede letteralmente la norma).</w:t>
      </w:r>
    </w:p>
    <w:p w14:paraId="0CAF412E" w14:textId="2AEB1343" w:rsidR="004572EA" w:rsidRPr="0062207D" w:rsidRDefault="004572EA" w:rsidP="004572EA">
      <w:pPr>
        <w:autoSpaceDE w:val="0"/>
        <w:autoSpaceDN w:val="0"/>
        <w:adjustRightInd w:val="0"/>
        <w:spacing w:before="120" w:after="120" w:line="240" w:lineRule="auto"/>
        <w:jc w:val="both"/>
        <w:rPr>
          <w:rFonts w:ascii="Segoe UI" w:eastAsia="Times New Roman" w:hAnsi="Segoe UI" w:cs="Segoe UI"/>
          <w:bCs/>
          <w:iCs/>
          <w:szCs w:val="20"/>
          <w:lang w:eastAsia="it-IT"/>
        </w:rPr>
      </w:pPr>
      <w:r w:rsidRPr="0062207D">
        <w:rPr>
          <w:rFonts w:ascii="Segoe UI" w:eastAsia="Times New Roman" w:hAnsi="Segoe UI" w:cs="Segoe UI"/>
          <w:bCs/>
          <w:iCs/>
          <w:szCs w:val="20"/>
          <w:lang w:eastAsia="it-IT"/>
        </w:rPr>
        <w:t xml:space="preserve">Ora, confrontando con attenzione queste due proposizioni </w:t>
      </w:r>
      <w:r w:rsidR="005B6A01">
        <w:rPr>
          <w:rFonts w:ascii="Segoe UI" w:eastAsia="Times New Roman" w:hAnsi="Segoe UI" w:cs="Segoe UI"/>
          <w:bCs/>
          <w:iCs/>
          <w:szCs w:val="20"/>
          <w:lang w:eastAsia="it-IT"/>
        </w:rPr>
        <w:t xml:space="preserve">pare potersi </w:t>
      </w:r>
      <w:r w:rsidRPr="0062207D">
        <w:rPr>
          <w:rFonts w:ascii="Segoe UI" w:eastAsia="Times New Roman" w:hAnsi="Segoe UI" w:cs="Segoe UI"/>
          <w:bCs/>
          <w:iCs/>
          <w:szCs w:val="20"/>
          <w:lang w:eastAsia="it-IT"/>
        </w:rPr>
        <w:t>rilevare un</w:t>
      </w:r>
      <w:r w:rsidR="005B6A01">
        <w:rPr>
          <w:rFonts w:ascii="Segoe UI" w:eastAsia="Times New Roman" w:hAnsi="Segoe UI" w:cs="Segoe UI"/>
          <w:bCs/>
          <w:iCs/>
          <w:szCs w:val="20"/>
          <w:lang w:eastAsia="it-IT"/>
        </w:rPr>
        <w:t>’incongruenza</w:t>
      </w:r>
      <w:r w:rsidRPr="0062207D">
        <w:rPr>
          <w:rFonts w:ascii="Segoe UI" w:eastAsia="Times New Roman" w:hAnsi="Segoe UI" w:cs="Segoe UI"/>
          <w:bCs/>
          <w:iCs/>
          <w:szCs w:val="20"/>
          <w:lang w:eastAsia="it-IT"/>
        </w:rPr>
        <w:t xml:space="preserve">: infatti, nella seconda la rilevanza è correttamente riferita ai temi (ai 5 </w:t>
      </w:r>
      <w:r w:rsidRPr="0062207D">
        <w:rPr>
          <w:rFonts w:ascii="Segoe UI" w:eastAsia="Times New Roman" w:hAnsi="Segoe UI" w:cs="Segoe UI"/>
          <w:bCs/>
          <w:i/>
          <w:iCs/>
          <w:szCs w:val="20"/>
          <w:lang w:eastAsia="it-IT"/>
        </w:rPr>
        <w:t>driver</w:t>
      </w:r>
      <w:r w:rsidRPr="0062207D">
        <w:rPr>
          <w:rFonts w:ascii="Segoe UI" w:eastAsia="Times New Roman" w:hAnsi="Segoe UI" w:cs="Segoe UI"/>
          <w:bCs/>
          <w:iCs/>
          <w:szCs w:val="20"/>
          <w:lang w:eastAsia="it-IT"/>
        </w:rPr>
        <w:t xml:space="preserve"> della sostenibilità della direttiva, riportati poi nell’art</w:t>
      </w:r>
      <w:r>
        <w:rPr>
          <w:rFonts w:ascii="Segoe UI" w:eastAsia="Times New Roman" w:hAnsi="Segoe UI" w:cs="Segoe UI"/>
          <w:bCs/>
          <w:iCs/>
          <w:szCs w:val="20"/>
          <w:lang w:eastAsia="it-IT"/>
        </w:rPr>
        <w:t>.</w:t>
      </w:r>
      <w:r w:rsidRPr="0062207D">
        <w:rPr>
          <w:rFonts w:ascii="Segoe UI" w:eastAsia="Times New Roman" w:hAnsi="Segoe UI" w:cs="Segoe UI"/>
          <w:bCs/>
          <w:iCs/>
          <w:szCs w:val="20"/>
          <w:lang w:eastAsia="it-IT"/>
        </w:rPr>
        <w:t xml:space="preserve"> 3 del d.lgs. n. 254/2016); nella prima proposizione, viceversa, la rilevanza è associata alle informazioni </w:t>
      </w:r>
      <w:r w:rsidRPr="0062207D">
        <w:rPr>
          <w:rFonts w:ascii="Segoe UI" w:eastAsia="Times New Roman" w:hAnsi="Segoe UI" w:cs="Segoe UI"/>
          <w:bCs/>
          <w:i/>
          <w:iCs/>
          <w:szCs w:val="20"/>
          <w:lang w:eastAsia="it-IT"/>
        </w:rPr>
        <w:t>tout cour</w:t>
      </w:r>
      <w:r>
        <w:rPr>
          <w:rFonts w:ascii="Segoe UI" w:eastAsia="Times New Roman" w:hAnsi="Segoe UI" w:cs="Segoe UI"/>
          <w:bCs/>
          <w:i/>
          <w:iCs/>
          <w:szCs w:val="20"/>
          <w:lang w:eastAsia="it-IT"/>
        </w:rPr>
        <w:t>t</w:t>
      </w:r>
      <w:r w:rsidRPr="0062207D">
        <w:rPr>
          <w:rFonts w:ascii="Segoe UI" w:eastAsia="Times New Roman" w:hAnsi="Segoe UI" w:cs="Segoe UI"/>
          <w:bCs/>
          <w:iCs/>
          <w:szCs w:val="20"/>
          <w:lang w:eastAsia="it-IT"/>
        </w:rPr>
        <w:t xml:space="preserve">, “con riguardo a tutti i profili” che rappresentano la struttura metodologica </w:t>
      </w:r>
      <w:r w:rsidR="00DF5E27">
        <w:rPr>
          <w:rFonts w:ascii="Segoe UI" w:eastAsia="Times New Roman" w:hAnsi="Segoe UI" w:cs="Segoe UI"/>
          <w:bCs/>
          <w:iCs/>
          <w:szCs w:val="20"/>
          <w:lang w:eastAsia="it-IT"/>
        </w:rPr>
        <w:t>“</w:t>
      </w:r>
      <w:r w:rsidRPr="0062207D">
        <w:rPr>
          <w:rFonts w:ascii="Segoe UI" w:eastAsia="Times New Roman" w:hAnsi="Segoe UI" w:cs="Segoe UI"/>
          <w:bCs/>
          <w:iCs/>
          <w:szCs w:val="20"/>
          <w:lang w:eastAsia="it-IT"/>
        </w:rPr>
        <w:t>di minima</w:t>
      </w:r>
      <w:r w:rsidR="00DF5E27">
        <w:rPr>
          <w:rFonts w:ascii="Segoe UI" w:eastAsia="Times New Roman" w:hAnsi="Segoe UI" w:cs="Segoe UI"/>
          <w:bCs/>
          <w:iCs/>
          <w:szCs w:val="20"/>
          <w:lang w:eastAsia="it-IT"/>
        </w:rPr>
        <w:t>”</w:t>
      </w:r>
      <w:r w:rsidRPr="0062207D">
        <w:rPr>
          <w:rFonts w:ascii="Segoe UI" w:eastAsia="Times New Roman" w:hAnsi="Segoe UI" w:cs="Segoe UI"/>
          <w:bCs/>
          <w:iCs/>
          <w:szCs w:val="20"/>
          <w:lang w:eastAsia="it-IT"/>
        </w:rPr>
        <w:t xml:space="preserve"> nell’ambito della quale fornire le informazioni (appunto, il modello gestionale, le politiche e le strategie).</w:t>
      </w:r>
    </w:p>
    <w:p w14:paraId="3A6431E4" w14:textId="06742E81" w:rsidR="004572EA" w:rsidRPr="0062207D" w:rsidRDefault="004572EA" w:rsidP="008212CF">
      <w:pPr>
        <w:keepNext/>
        <w:keepLines/>
        <w:autoSpaceDE w:val="0"/>
        <w:autoSpaceDN w:val="0"/>
        <w:adjustRightInd w:val="0"/>
        <w:spacing w:before="120" w:after="120" w:line="240" w:lineRule="auto"/>
        <w:jc w:val="both"/>
        <w:rPr>
          <w:rFonts w:ascii="Segoe UI" w:eastAsia="Times New Roman" w:hAnsi="Segoe UI" w:cs="Segoe UI"/>
          <w:bCs/>
          <w:iCs/>
          <w:szCs w:val="20"/>
          <w:lang w:eastAsia="it-IT"/>
        </w:rPr>
      </w:pPr>
      <w:r w:rsidRPr="0062207D">
        <w:rPr>
          <w:rFonts w:ascii="Segoe UI" w:eastAsia="Times New Roman" w:hAnsi="Segoe UI" w:cs="Segoe UI"/>
          <w:bCs/>
          <w:iCs/>
          <w:szCs w:val="20"/>
          <w:lang w:eastAsia="it-IT"/>
        </w:rPr>
        <w:t xml:space="preserve">Di più, nella nota 4 che esplica tali </w:t>
      </w:r>
      <w:r w:rsidR="00DF5E27">
        <w:rPr>
          <w:rFonts w:ascii="Segoe UI" w:eastAsia="Times New Roman" w:hAnsi="Segoe UI" w:cs="Segoe UI"/>
          <w:bCs/>
          <w:iCs/>
          <w:szCs w:val="20"/>
          <w:lang w:eastAsia="it-IT"/>
        </w:rPr>
        <w:t>affermazioni</w:t>
      </w:r>
      <w:r w:rsidRPr="0062207D">
        <w:rPr>
          <w:rFonts w:ascii="Segoe UI" w:eastAsia="Times New Roman" w:hAnsi="Segoe UI" w:cs="Segoe UI"/>
          <w:bCs/>
          <w:iCs/>
          <w:szCs w:val="20"/>
          <w:lang w:eastAsia="it-IT"/>
        </w:rPr>
        <w:t xml:space="preserve"> si legge:</w:t>
      </w:r>
    </w:p>
    <w:p w14:paraId="30DAC9CD" w14:textId="77777777" w:rsidR="004572EA" w:rsidRPr="0062207D" w:rsidRDefault="004572EA" w:rsidP="004572EA">
      <w:pPr>
        <w:autoSpaceDE w:val="0"/>
        <w:autoSpaceDN w:val="0"/>
        <w:adjustRightInd w:val="0"/>
        <w:spacing w:before="120" w:after="120" w:line="240" w:lineRule="auto"/>
        <w:jc w:val="both"/>
        <w:rPr>
          <w:rFonts w:ascii="Segoe UI" w:eastAsia="Times New Roman" w:hAnsi="Segoe UI" w:cs="Segoe UI"/>
          <w:bCs/>
          <w:iCs/>
          <w:szCs w:val="20"/>
          <w:lang w:eastAsia="it-IT"/>
        </w:rPr>
      </w:pPr>
      <w:r w:rsidRPr="0062207D">
        <w:rPr>
          <w:rFonts w:ascii="Segoe UI" w:eastAsia="Times New Roman" w:hAnsi="Segoe UI" w:cs="Segoe UI"/>
          <w:bCs/>
          <w:iCs/>
          <w:szCs w:val="20"/>
          <w:lang w:eastAsia="it-IT"/>
        </w:rPr>
        <w:t xml:space="preserve">“Ciò significa che anche </w:t>
      </w:r>
      <w:r w:rsidRPr="0062207D">
        <w:rPr>
          <w:rFonts w:ascii="Segoe UI" w:eastAsia="Times New Roman" w:hAnsi="Segoe UI" w:cs="Segoe UI"/>
          <w:b/>
          <w:bCs/>
          <w:iCs/>
          <w:szCs w:val="20"/>
          <w:lang w:eastAsia="it-IT"/>
        </w:rPr>
        <w:t>gli elementi indicati nel co</w:t>
      </w:r>
      <w:r>
        <w:rPr>
          <w:rFonts w:ascii="Segoe UI" w:eastAsia="Times New Roman" w:hAnsi="Segoe UI" w:cs="Segoe UI"/>
          <w:b/>
          <w:bCs/>
          <w:iCs/>
          <w:szCs w:val="20"/>
          <w:lang w:eastAsia="it-IT"/>
        </w:rPr>
        <w:t>.</w:t>
      </w:r>
      <w:r w:rsidRPr="0062207D">
        <w:rPr>
          <w:rFonts w:ascii="Segoe UI" w:eastAsia="Times New Roman" w:hAnsi="Segoe UI" w:cs="Segoe UI"/>
          <w:b/>
          <w:bCs/>
          <w:iCs/>
          <w:szCs w:val="20"/>
          <w:lang w:eastAsia="it-IT"/>
        </w:rPr>
        <w:t xml:space="preserve"> 2 dell’art. 3</w:t>
      </w:r>
      <w:r w:rsidRPr="0062207D">
        <w:rPr>
          <w:rFonts w:ascii="Segoe UI" w:eastAsia="Times New Roman" w:hAnsi="Segoe UI" w:cs="Segoe UI"/>
          <w:bCs/>
          <w:iCs/>
          <w:szCs w:val="20"/>
          <w:lang w:eastAsia="it-IT"/>
        </w:rPr>
        <w:t xml:space="preserve">, che esplicitano più chiaramente alcune delle informazioni ritenute generalmente più significative nella descrizione degli impatti non finanziari di un’impresa (in particolare, utilizzo di risorse energetiche, distinguendo fra fonti rinnovabili e non rinnovabili, impiego di risorse idriche, emissioni di gas ad effetto serra, aspetti sociali e attinenti alla gestione del personale, il rispetto dei diritti umani e le misure adottate per prevenirne le violazioni, la lotta contro la corruzione sia attiva sia passiva) </w:t>
      </w:r>
      <w:r w:rsidRPr="0062207D">
        <w:rPr>
          <w:rFonts w:ascii="Segoe UI" w:eastAsia="Times New Roman" w:hAnsi="Segoe UI" w:cs="Segoe UI"/>
          <w:b/>
          <w:bCs/>
          <w:iCs/>
          <w:szCs w:val="20"/>
          <w:lang w:eastAsia="it-IT"/>
        </w:rPr>
        <w:t>vanno fornite solo nella misura in cui tali indicazioni risultino significative</w:t>
      </w:r>
      <w:r w:rsidRPr="0062207D">
        <w:rPr>
          <w:rFonts w:ascii="Segoe UI" w:eastAsia="Times New Roman" w:hAnsi="Segoe UI" w:cs="Segoe UI"/>
          <w:bCs/>
          <w:iCs/>
          <w:szCs w:val="20"/>
          <w:lang w:eastAsia="it-IT"/>
        </w:rPr>
        <w:t xml:space="preserve"> alla luce dell’attività svolta dall’impresa e delle sue caratteristiche e, quindi, dei temi socio-ambientali sui quali la stessa può avere un impatto rilevante”.</w:t>
      </w:r>
    </w:p>
    <w:p w14:paraId="547C8C5F" w14:textId="33DE1E26" w:rsidR="004572EA" w:rsidRPr="0062207D" w:rsidRDefault="004572EA" w:rsidP="004572EA">
      <w:pPr>
        <w:autoSpaceDE w:val="0"/>
        <w:autoSpaceDN w:val="0"/>
        <w:adjustRightInd w:val="0"/>
        <w:spacing w:before="120" w:after="120" w:line="240" w:lineRule="auto"/>
        <w:jc w:val="both"/>
        <w:rPr>
          <w:rFonts w:ascii="Segoe UI" w:eastAsia="Times New Roman" w:hAnsi="Segoe UI" w:cs="Segoe UI"/>
          <w:bCs/>
          <w:iCs/>
          <w:szCs w:val="20"/>
          <w:lang w:eastAsia="it-IT"/>
        </w:rPr>
      </w:pPr>
      <w:r w:rsidRPr="002236C1">
        <w:rPr>
          <w:rFonts w:ascii="Segoe UI" w:eastAsia="Times New Roman" w:hAnsi="Segoe UI" w:cs="Segoe UI"/>
          <w:b/>
          <w:bCs/>
          <w:iCs/>
          <w:szCs w:val="20"/>
          <w:lang w:eastAsia="it-IT"/>
        </w:rPr>
        <w:t>Ma l’art. 3, co. 2,</w:t>
      </w:r>
      <w:r w:rsidR="00DF5E27" w:rsidRPr="002236C1">
        <w:rPr>
          <w:rFonts w:ascii="Segoe UI" w:eastAsia="Times New Roman" w:hAnsi="Segoe UI" w:cs="Segoe UI"/>
          <w:b/>
          <w:bCs/>
          <w:iCs/>
          <w:szCs w:val="20"/>
          <w:lang w:eastAsia="it-IT"/>
        </w:rPr>
        <w:t xml:space="preserve"> del decreto</w:t>
      </w:r>
      <w:r w:rsidRPr="002236C1">
        <w:rPr>
          <w:rFonts w:ascii="Segoe UI" w:eastAsia="Times New Roman" w:hAnsi="Segoe UI" w:cs="Segoe UI"/>
          <w:b/>
          <w:bCs/>
          <w:iCs/>
          <w:szCs w:val="20"/>
          <w:lang w:eastAsia="it-IT"/>
        </w:rPr>
        <w:t xml:space="preserve"> dispone che “</w:t>
      </w:r>
      <w:r w:rsidRPr="002236C1">
        <w:rPr>
          <w:rFonts w:ascii="Segoe UI" w:eastAsia="Times New Roman" w:hAnsi="Segoe UI" w:cs="Segoe UI"/>
          <w:b/>
          <w:bCs/>
          <w:i/>
          <w:iCs/>
          <w:szCs w:val="20"/>
          <w:lang w:eastAsia="it-IT"/>
        </w:rPr>
        <w:t xml:space="preserve">In merito agli ambiti di cui al comma 1 </w:t>
      </w:r>
      <w:r w:rsidRPr="002236C1">
        <w:rPr>
          <w:rFonts w:ascii="Segoe UI" w:eastAsia="Times New Roman" w:hAnsi="Segoe UI" w:cs="Segoe UI"/>
          <w:b/>
          <w:bCs/>
          <w:iCs/>
          <w:szCs w:val="20"/>
          <w:lang w:eastAsia="it-IT"/>
        </w:rPr>
        <w:t>(n.d.r.: i 5 temi</w:t>
      </w:r>
      <w:r w:rsidRPr="002236C1">
        <w:rPr>
          <w:rFonts w:ascii="Segoe UI" w:eastAsia="Times New Roman" w:hAnsi="Segoe UI" w:cs="Segoe UI"/>
          <w:b/>
          <w:bCs/>
          <w:i/>
          <w:iCs/>
          <w:szCs w:val="20"/>
          <w:lang w:eastAsia="it-IT"/>
        </w:rPr>
        <w:t xml:space="preserve"> </w:t>
      </w:r>
      <w:r w:rsidRPr="002236C1">
        <w:rPr>
          <w:rFonts w:ascii="Segoe UI" w:eastAsia="Times New Roman" w:hAnsi="Segoe UI" w:cs="Segoe UI"/>
          <w:b/>
          <w:bCs/>
          <w:iCs/>
          <w:szCs w:val="20"/>
          <w:lang w:eastAsia="it-IT"/>
        </w:rPr>
        <w:t>della sostenibilità)</w:t>
      </w:r>
      <w:r w:rsidRPr="002236C1">
        <w:rPr>
          <w:rFonts w:ascii="Segoe UI" w:eastAsia="Times New Roman" w:hAnsi="Segoe UI" w:cs="Segoe UI"/>
          <w:b/>
          <w:bCs/>
          <w:i/>
          <w:iCs/>
          <w:szCs w:val="20"/>
          <w:lang w:eastAsia="it-IT"/>
        </w:rPr>
        <w:t>, la dichiarazione di carattere non finanziario contiene almeno informazioni</w:t>
      </w:r>
      <w:r w:rsidRPr="002236C1">
        <w:rPr>
          <w:rFonts w:ascii="Segoe UI" w:eastAsia="Times New Roman" w:hAnsi="Segoe UI" w:cs="Segoe UI"/>
          <w:bCs/>
          <w:i/>
          <w:iCs/>
          <w:szCs w:val="20"/>
          <w:lang w:eastAsia="it-IT"/>
        </w:rPr>
        <w:t xml:space="preserve"> riguardanti: </w:t>
      </w:r>
      <w:r w:rsidRPr="002236C1">
        <w:rPr>
          <w:rFonts w:ascii="Segoe UI" w:eastAsia="Times New Roman" w:hAnsi="Segoe UI" w:cs="Segoe UI"/>
          <w:bCs/>
          <w:iCs/>
          <w:szCs w:val="20"/>
          <w:lang w:eastAsia="it-IT"/>
        </w:rPr>
        <w:t>[…]” a) l’utilizzo di risorse energetiche; b) le emissioni di gas ad effetto serra e le emissioni inquinanti in atmosfera; c) l'impatto sull’ambiente nonché sulla salute e la sicurezza; d) aspetti sociali e attinenti alla gestione del personale; e) rispetto dei diritti umani, le misure adottate per prevenirne le violazioni; f) lotta contro la corruzione sia attiva sia passiva, con indicazione degli strumenti a tal fine adottati</w:t>
      </w:r>
      <w:r w:rsidRPr="0062207D">
        <w:rPr>
          <w:rFonts w:ascii="Segoe UI" w:eastAsia="Times New Roman" w:hAnsi="Segoe UI" w:cs="Segoe UI"/>
          <w:bCs/>
          <w:iCs/>
          <w:szCs w:val="20"/>
          <w:lang w:eastAsia="it-IT"/>
        </w:rPr>
        <w:t>.</w:t>
      </w:r>
    </w:p>
    <w:p w14:paraId="6212936B" w14:textId="0DD3C6A1" w:rsidR="00E23D04" w:rsidRDefault="004572EA" w:rsidP="004572EA">
      <w:pPr>
        <w:autoSpaceDE w:val="0"/>
        <w:autoSpaceDN w:val="0"/>
        <w:adjustRightInd w:val="0"/>
        <w:spacing w:before="120" w:after="120" w:line="240" w:lineRule="auto"/>
        <w:jc w:val="both"/>
        <w:rPr>
          <w:rFonts w:ascii="Segoe UI" w:eastAsia="Times New Roman" w:hAnsi="Segoe UI" w:cs="Segoe UI"/>
          <w:bCs/>
          <w:szCs w:val="20"/>
          <w:lang w:eastAsia="it-IT"/>
        </w:rPr>
      </w:pPr>
      <w:r w:rsidRPr="0062207D">
        <w:rPr>
          <w:rFonts w:ascii="Segoe UI" w:eastAsia="Times New Roman" w:hAnsi="Segoe UI" w:cs="Segoe UI"/>
          <w:bCs/>
          <w:iCs/>
          <w:szCs w:val="20"/>
          <w:lang w:eastAsia="it-IT"/>
        </w:rPr>
        <w:t>Conclusione: sembra effettivamente esserci un e</w:t>
      </w:r>
      <w:r w:rsidRPr="0062207D">
        <w:rPr>
          <w:rFonts w:ascii="Segoe UI" w:eastAsia="Times New Roman" w:hAnsi="Segoe UI" w:cs="Segoe UI"/>
          <w:bCs/>
          <w:szCs w:val="20"/>
          <w:lang w:eastAsia="it-IT"/>
        </w:rPr>
        <w:t xml:space="preserve">quivoco in questa interpretazione; nel d.lgs. n 254/2016 la rilevanza è riferita ai temi, mentre nel </w:t>
      </w:r>
      <w:r>
        <w:rPr>
          <w:rFonts w:ascii="Segoe UI" w:eastAsia="Times New Roman" w:hAnsi="Segoe UI" w:cs="Segoe UI"/>
          <w:bCs/>
          <w:szCs w:val="20"/>
          <w:lang w:eastAsia="it-IT"/>
        </w:rPr>
        <w:t xml:space="preserve">Documento di consultazione </w:t>
      </w:r>
      <w:r w:rsidRPr="0062207D">
        <w:rPr>
          <w:rFonts w:ascii="Segoe UI" w:eastAsia="Times New Roman" w:hAnsi="Segoe UI" w:cs="Segoe UI"/>
          <w:bCs/>
          <w:szCs w:val="20"/>
          <w:lang w:eastAsia="it-IT"/>
        </w:rPr>
        <w:t xml:space="preserve">la Consob, nella sua interpretazione (che però </w:t>
      </w:r>
      <w:r>
        <w:rPr>
          <w:rFonts w:ascii="Segoe UI" w:eastAsia="Times New Roman" w:hAnsi="Segoe UI" w:cs="Segoe UI"/>
          <w:bCs/>
          <w:szCs w:val="20"/>
          <w:lang w:eastAsia="it-IT"/>
        </w:rPr>
        <w:t xml:space="preserve">si ritiene possa generare </w:t>
      </w:r>
      <w:r w:rsidRPr="0062207D">
        <w:rPr>
          <w:rFonts w:ascii="Segoe UI" w:eastAsia="Times New Roman" w:hAnsi="Segoe UI" w:cs="Segoe UI"/>
          <w:bCs/>
          <w:szCs w:val="20"/>
          <w:lang w:eastAsia="it-IT"/>
        </w:rPr>
        <w:t>effetti sulle disposizioni volte agli adempimenti delle società vigilate) la estende a tutte le informazioni</w:t>
      </w:r>
      <w:r w:rsidR="00DF5E27">
        <w:rPr>
          <w:rFonts w:ascii="Segoe UI" w:eastAsia="Times New Roman" w:hAnsi="Segoe UI" w:cs="Segoe UI"/>
          <w:bCs/>
          <w:szCs w:val="20"/>
          <w:lang w:eastAsia="it-IT"/>
        </w:rPr>
        <w:t xml:space="preserve"> a prescindere</w:t>
      </w:r>
      <w:r w:rsidRPr="0062207D">
        <w:rPr>
          <w:rFonts w:ascii="Segoe UI" w:eastAsia="Times New Roman" w:hAnsi="Segoe UI" w:cs="Segoe UI"/>
          <w:bCs/>
          <w:szCs w:val="20"/>
          <w:lang w:eastAsia="it-IT"/>
        </w:rPr>
        <w:t>; certamente si potrebbe argomentare che l’intento del legislatore</w:t>
      </w:r>
      <w:r w:rsidR="00DF5E27">
        <w:rPr>
          <w:rFonts w:ascii="Segoe UI" w:eastAsia="Times New Roman" w:hAnsi="Segoe UI" w:cs="Segoe UI"/>
          <w:bCs/>
          <w:szCs w:val="20"/>
          <w:lang w:eastAsia="it-IT"/>
        </w:rPr>
        <w:t xml:space="preserve"> possa </w:t>
      </w:r>
      <w:r w:rsidRPr="0062207D">
        <w:rPr>
          <w:rFonts w:ascii="Segoe UI" w:eastAsia="Times New Roman" w:hAnsi="Segoe UI" w:cs="Segoe UI"/>
          <w:bCs/>
          <w:szCs w:val="20"/>
          <w:lang w:eastAsia="it-IT"/>
        </w:rPr>
        <w:t>essere</w:t>
      </w:r>
      <w:r w:rsidR="00DF5E27">
        <w:rPr>
          <w:rFonts w:ascii="Segoe UI" w:eastAsia="Times New Roman" w:hAnsi="Segoe UI" w:cs="Segoe UI"/>
          <w:bCs/>
          <w:szCs w:val="20"/>
          <w:lang w:eastAsia="it-IT"/>
        </w:rPr>
        <w:t xml:space="preserve"> individuato in</w:t>
      </w:r>
      <w:r w:rsidRPr="0062207D">
        <w:rPr>
          <w:rFonts w:ascii="Segoe UI" w:eastAsia="Times New Roman" w:hAnsi="Segoe UI" w:cs="Segoe UI"/>
          <w:bCs/>
          <w:szCs w:val="20"/>
          <w:lang w:eastAsia="it-IT"/>
        </w:rPr>
        <w:t xml:space="preserve"> un’applicazione estensiva del </w:t>
      </w:r>
      <w:r w:rsidR="005B6A01">
        <w:rPr>
          <w:rFonts w:ascii="Segoe UI" w:eastAsia="Times New Roman" w:hAnsi="Segoe UI" w:cs="Segoe UI"/>
          <w:bCs/>
          <w:szCs w:val="20"/>
          <w:lang w:eastAsia="it-IT"/>
        </w:rPr>
        <w:t>concetto</w:t>
      </w:r>
      <w:r w:rsidRPr="0062207D">
        <w:rPr>
          <w:rFonts w:ascii="Segoe UI" w:eastAsia="Times New Roman" w:hAnsi="Segoe UI" w:cs="Segoe UI"/>
          <w:bCs/>
          <w:szCs w:val="20"/>
          <w:lang w:eastAsia="it-IT"/>
        </w:rPr>
        <w:t>, ma si potrebbe sostenere anche il contrario.</w:t>
      </w:r>
      <w:r w:rsidR="00E23D04">
        <w:rPr>
          <w:rFonts w:ascii="Segoe UI" w:eastAsia="Times New Roman" w:hAnsi="Segoe UI" w:cs="Segoe UI"/>
          <w:bCs/>
          <w:szCs w:val="20"/>
          <w:lang w:eastAsia="it-IT"/>
        </w:rPr>
        <w:t xml:space="preserve"> </w:t>
      </w:r>
      <w:r w:rsidR="00E23D04" w:rsidRPr="00E23D04">
        <w:rPr>
          <w:rFonts w:ascii="Segoe UI" w:eastAsia="Times New Roman" w:hAnsi="Segoe UI" w:cs="Segoe UI"/>
          <w:bCs/>
          <w:szCs w:val="20"/>
          <w:lang w:eastAsia="it-IT"/>
        </w:rPr>
        <w:t xml:space="preserve">In secondo luogo, come si concilierebbe tale interpretazione laddove si sposasse uno degli approcci tecnico-metodologici che distinguono il concetto di rilevanza di temi e informazioni dal principio di materialità nella determinazione degli elementi oggetti di </w:t>
      </w:r>
      <w:r w:rsidR="00E23D04" w:rsidRPr="00E23D04">
        <w:rPr>
          <w:rFonts w:ascii="Segoe UI" w:eastAsia="Times New Roman" w:hAnsi="Segoe UI" w:cs="Segoe UI"/>
          <w:bCs/>
          <w:i/>
          <w:szCs w:val="20"/>
          <w:lang w:eastAsia="it-IT"/>
        </w:rPr>
        <w:t>disclosure</w:t>
      </w:r>
      <w:r w:rsidR="00E23D04" w:rsidRPr="00E23D04">
        <w:rPr>
          <w:rFonts w:ascii="Segoe UI" w:eastAsia="Times New Roman" w:hAnsi="Segoe UI" w:cs="Segoe UI"/>
          <w:bCs/>
          <w:szCs w:val="20"/>
          <w:lang w:eastAsia="it-IT"/>
        </w:rPr>
        <w:t>?</w:t>
      </w:r>
    </w:p>
    <w:p w14:paraId="37E506A6" w14:textId="3DA652BC" w:rsidR="004572EA" w:rsidRPr="00D1351F" w:rsidRDefault="004572EA" w:rsidP="008212CF">
      <w:pPr>
        <w:keepNext/>
        <w:keepLines/>
        <w:autoSpaceDE w:val="0"/>
        <w:autoSpaceDN w:val="0"/>
        <w:adjustRightInd w:val="0"/>
        <w:spacing w:before="120" w:after="120" w:line="240" w:lineRule="auto"/>
        <w:jc w:val="both"/>
        <w:rPr>
          <w:rFonts w:ascii="Segoe UI" w:hAnsi="Segoe UI" w:cs="Segoe UI"/>
          <w:iCs/>
        </w:rPr>
      </w:pPr>
      <w:r w:rsidRPr="00D1351F">
        <w:rPr>
          <w:rFonts w:ascii="Segoe UI" w:eastAsia="Times New Roman" w:hAnsi="Segoe UI" w:cs="Segoe UI"/>
          <w:bCs/>
          <w:iCs/>
          <w:lang w:eastAsia="it-IT"/>
        </w:rPr>
        <w:t>Analogamente, nella Relazione illustrativ</w:t>
      </w:r>
      <w:r>
        <w:rPr>
          <w:rFonts w:ascii="Segoe UI" w:eastAsia="Times New Roman" w:hAnsi="Segoe UI" w:cs="Segoe UI"/>
          <w:bCs/>
          <w:iCs/>
          <w:lang w:eastAsia="it-IT"/>
        </w:rPr>
        <w:t>a</w:t>
      </w:r>
      <w:r w:rsidRPr="00D1351F">
        <w:rPr>
          <w:rFonts w:ascii="Segoe UI" w:eastAsia="Times New Roman" w:hAnsi="Segoe UI" w:cs="Segoe UI"/>
          <w:bCs/>
          <w:iCs/>
          <w:lang w:eastAsia="it-IT"/>
        </w:rPr>
        <w:t xml:space="preserve">, il concetto di materialità è richiamato in diverse circostanze. Nel paragrafo </w:t>
      </w:r>
      <w:r w:rsidRPr="00D1351F">
        <w:rPr>
          <w:rFonts w:ascii="Segoe UI" w:hAnsi="Segoe UI" w:cs="Segoe UI"/>
          <w:bCs/>
        </w:rPr>
        <w:t xml:space="preserve">1, “Motivazioni e obiettivi dell’atto”, con riferimento al punto </w:t>
      </w:r>
      <w:r w:rsidRPr="00D1351F">
        <w:rPr>
          <w:rFonts w:ascii="Segoe UI" w:hAnsi="Segoe UI" w:cs="Segoe UI"/>
          <w:iCs/>
        </w:rPr>
        <w:t>1.2, “Il decreto legislativo n. 254/2016”</w:t>
      </w:r>
      <w:r w:rsidR="00DF5E27">
        <w:rPr>
          <w:rFonts w:ascii="Segoe UI" w:hAnsi="Segoe UI" w:cs="Segoe UI"/>
          <w:iCs/>
        </w:rPr>
        <w:t>,</w:t>
      </w:r>
      <w:r w:rsidRPr="00D1351F">
        <w:rPr>
          <w:rFonts w:ascii="Segoe UI" w:hAnsi="Segoe UI" w:cs="Segoe UI"/>
          <w:iCs/>
        </w:rPr>
        <w:t xml:space="preserve"> si legge:</w:t>
      </w:r>
    </w:p>
    <w:p w14:paraId="683CF28E" w14:textId="77777777" w:rsidR="004572EA" w:rsidRPr="00D1351F" w:rsidRDefault="004572EA" w:rsidP="004572EA">
      <w:pPr>
        <w:autoSpaceDE w:val="0"/>
        <w:autoSpaceDN w:val="0"/>
        <w:adjustRightInd w:val="0"/>
        <w:spacing w:before="120" w:after="120" w:line="240" w:lineRule="auto"/>
        <w:jc w:val="both"/>
        <w:rPr>
          <w:rFonts w:ascii="Segoe UI" w:hAnsi="Segoe UI" w:cs="Segoe UI"/>
        </w:rPr>
      </w:pPr>
      <w:r w:rsidRPr="00D1351F">
        <w:rPr>
          <w:rFonts w:ascii="Segoe UI" w:hAnsi="Segoe UI" w:cs="Segoe UI"/>
          <w:iCs/>
        </w:rPr>
        <w:t>“</w:t>
      </w:r>
      <w:r w:rsidRPr="00D1351F">
        <w:rPr>
          <w:rFonts w:ascii="Segoe UI" w:hAnsi="Segoe UI" w:cs="Segoe UI"/>
          <w:bCs/>
          <w:iCs/>
        </w:rPr>
        <w:t xml:space="preserve">[...] </w:t>
      </w:r>
      <w:r w:rsidRPr="00D1351F">
        <w:rPr>
          <w:rFonts w:ascii="Segoe UI" w:hAnsi="Segoe UI" w:cs="Segoe UI"/>
          <w:bCs/>
        </w:rPr>
        <w:t>1.2.2</w:t>
      </w:r>
      <w:r w:rsidRPr="00D1351F">
        <w:rPr>
          <w:rFonts w:ascii="Segoe UI" w:hAnsi="Segoe UI" w:cs="Segoe UI"/>
          <w:b/>
          <w:bCs/>
        </w:rPr>
        <w:t xml:space="preserve"> </w:t>
      </w:r>
      <w:r w:rsidRPr="00D1351F">
        <w:rPr>
          <w:rFonts w:ascii="Segoe UI" w:hAnsi="Segoe UI" w:cs="Segoe UI"/>
        </w:rPr>
        <w:t xml:space="preserve">La DNF deve contenere gli elementi informativi riguardanti: </w:t>
      </w:r>
      <w:r w:rsidRPr="00D1351F">
        <w:rPr>
          <w:rFonts w:ascii="Segoe UI" w:hAnsi="Segoe UI" w:cs="Segoe UI"/>
          <w:i/>
          <w:iCs/>
        </w:rPr>
        <w:t xml:space="preserve">i) </w:t>
      </w:r>
      <w:r w:rsidRPr="00D1351F">
        <w:rPr>
          <w:rFonts w:ascii="Segoe UI" w:hAnsi="Segoe UI" w:cs="Segoe UI"/>
        </w:rPr>
        <w:t xml:space="preserve">i principali rischi, generati o subiti, connessi ai temi-socio ambientali e che derivano dalle attività dell’impresa o dai prodotti e servizi forniti dalla stessa; </w:t>
      </w:r>
      <w:r w:rsidRPr="00D1351F">
        <w:rPr>
          <w:rFonts w:ascii="Segoe UI" w:hAnsi="Segoe UI" w:cs="Segoe UI"/>
          <w:i/>
          <w:iCs/>
        </w:rPr>
        <w:t xml:space="preserve">ii) </w:t>
      </w:r>
      <w:r w:rsidRPr="00D1351F">
        <w:rPr>
          <w:rFonts w:ascii="Segoe UI" w:hAnsi="Segoe UI" w:cs="Segoe UI"/>
        </w:rPr>
        <w:t xml:space="preserve">il modello organizzativo e gestionale dell’impresa; </w:t>
      </w:r>
      <w:r w:rsidRPr="00D1351F">
        <w:rPr>
          <w:rFonts w:ascii="Segoe UI" w:hAnsi="Segoe UI" w:cs="Segoe UI"/>
          <w:i/>
          <w:iCs/>
        </w:rPr>
        <w:t xml:space="preserve">iii) </w:t>
      </w:r>
      <w:r w:rsidRPr="00D1351F">
        <w:rPr>
          <w:rFonts w:ascii="Segoe UI" w:hAnsi="Segoe UI" w:cs="Segoe UI"/>
        </w:rPr>
        <w:t>le politiche praticate dall’impresa per la gestione degli impatti dell’attività imprenditoriale negli ambiti non finanziari richiamati e i risultati conseguiti dall’attuazione di tali politiche.</w:t>
      </w:r>
    </w:p>
    <w:p w14:paraId="05323324" w14:textId="77777777" w:rsidR="004572EA" w:rsidRPr="00D1351F" w:rsidRDefault="004572EA" w:rsidP="004572EA">
      <w:pPr>
        <w:autoSpaceDE w:val="0"/>
        <w:autoSpaceDN w:val="0"/>
        <w:adjustRightInd w:val="0"/>
        <w:spacing w:before="120" w:after="120" w:line="240" w:lineRule="auto"/>
        <w:jc w:val="both"/>
        <w:rPr>
          <w:rFonts w:ascii="Segoe UI" w:hAnsi="Segoe UI" w:cs="Segoe UI"/>
        </w:rPr>
      </w:pPr>
      <w:r w:rsidRPr="00D1351F">
        <w:rPr>
          <w:rFonts w:ascii="Segoe UI" w:hAnsi="Segoe UI" w:cs="Segoe UI"/>
          <w:b/>
        </w:rPr>
        <w:t>Tali informazioni devono essere selezionate sulla base di un principio di “materialità”</w:t>
      </w:r>
      <w:r w:rsidRPr="00D1351F">
        <w:rPr>
          <w:rFonts w:ascii="Segoe UI" w:hAnsi="Segoe UI" w:cs="Segoe UI"/>
        </w:rPr>
        <w:t xml:space="preserve"> che individua solamente quelle attraverso le quali può essere assicurata la comprensione dell’attività dell’impresa, del suo andamento, dei suoi risultati e dell’impatto dalla stessa prodotta sui temi non finanziari indicati nel decreto.”.</w:t>
      </w:r>
    </w:p>
    <w:p w14:paraId="71E0A1B9" w14:textId="612731E7" w:rsidR="004572EA" w:rsidRPr="00D1351F" w:rsidRDefault="004572EA" w:rsidP="004572EA">
      <w:pPr>
        <w:autoSpaceDE w:val="0"/>
        <w:autoSpaceDN w:val="0"/>
        <w:adjustRightInd w:val="0"/>
        <w:spacing w:before="120" w:after="120" w:line="240" w:lineRule="auto"/>
        <w:jc w:val="both"/>
        <w:rPr>
          <w:rFonts w:ascii="Segoe UI" w:hAnsi="Segoe UI" w:cs="Segoe UI"/>
        </w:rPr>
      </w:pPr>
      <w:r w:rsidRPr="00D1351F">
        <w:rPr>
          <w:rFonts w:ascii="Segoe UI" w:hAnsi="Segoe UI" w:cs="Segoe UI"/>
        </w:rPr>
        <w:t xml:space="preserve">Conclusione: anche in questo caso il principio lo si riferisce alle informazioni da fornire in relazione ai vari </w:t>
      </w:r>
      <w:r w:rsidRPr="00D1351F">
        <w:rPr>
          <w:rFonts w:ascii="Segoe UI" w:hAnsi="Segoe UI" w:cs="Segoe UI"/>
          <w:i/>
        </w:rPr>
        <w:t>driver</w:t>
      </w:r>
      <w:r w:rsidRPr="00D1351F">
        <w:rPr>
          <w:rFonts w:ascii="Segoe UI" w:hAnsi="Segoe UI" w:cs="Segoe UI"/>
        </w:rPr>
        <w:t xml:space="preserve"> di sostenibilità; e tuttavia, le due precedenti affermazioni dicono qualcosa di più, come ora si mostrerà, considerandone il significato congiuntamente alla citazione successiva.</w:t>
      </w:r>
    </w:p>
    <w:p w14:paraId="51A93882" w14:textId="77777777" w:rsidR="004572EA" w:rsidRPr="00D1351F" w:rsidRDefault="004572EA" w:rsidP="008212CF">
      <w:pPr>
        <w:keepNext/>
        <w:keepLines/>
        <w:autoSpaceDE w:val="0"/>
        <w:autoSpaceDN w:val="0"/>
        <w:adjustRightInd w:val="0"/>
        <w:spacing w:before="120" w:after="120" w:line="240" w:lineRule="auto"/>
        <w:jc w:val="both"/>
        <w:rPr>
          <w:rFonts w:ascii="Segoe UI" w:hAnsi="Segoe UI" w:cs="Segoe UI"/>
          <w:bCs/>
          <w:iCs/>
        </w:rPr>
      </w:pPr>
      <w:r w:rsidRPr="00D1351F">
        <w:rPr>
          <w:rFonts w:ascii="Segoe UI" w:eastAsia="Times New Roman" w:hAnsi="Segoe UI" w:cs="Segoe UI"/>
          <w:bCs/>
          <w:iCs/>
          <w:lang w:eastAsia="it-IT"/>
        </w:rPr>
        <w:t>Nel paragrafo 2</w:t>
      </w:r>
      <w:r w:rsidRPr="00D1351F">
        <w:rPr>
          <w:rFonts w:ascii="Segoe UI" w:hAnsi="Segoe UI" w:cs="Segoe UI"/>
          <w:bCs/>
        </w:rPr>
        <w:t xml:space="preserve">, “Esiti della consultazione e analisi di impatto della regolamentazione”, al punto </w:t>
      </w:r>
      <w:r w:rsidRPr="00D1351F">
        <w:rPr>
          <w:rFonts w:ascii="Segoe UI" w:hAnsi="Segoe UI" w:cs="Segoe UI"/>
          <w:bCs/>
          <w:iCs/>
        </w:rPr>
        <w:t>2.5, “Relazione sulla dichiarazione di carattere non finanziario (art. 5)”, si legge:</w:t>
      </w:r>
    </w:p>
    <w:p w14:paraId="63E9A845" w14:textId="25532B59" w:rsidR="004572EA" w:rsidRPr="00D1351F" w:rsidRDefault="004572EA" w:rsidP="004572EA">
      <w:pPr>
        <w:spacing w:before="120" w:after="120" w:line="240" w:lineRule="auto"/>
        <w:jc w:val="both"/>
        <w:rPr>
          <w:rFonts w:ascii="Segoe UI" w:hAnsi="Segoe UI" w:cs="Segoe UI"/>
          <w:b/>
          <w:bCs/>
          <w:i/>
          <w:iCs/>
        </w:rPr>
      </w:pPr>
      <w:r w:rsidRPr="00D1351F">
        <w:rPr>
          <w:rFonts w:ascii="Segoe UI" w:hAnsi="Segoe UI" w:cs="Segoe UI"/>
          <w:bCs/>
          <w:iCs/>
        </w:rPr>
        <w:t xml:space="preserve">“[...] </w:t>
      </w:r>
      <w:r w:rsidRPr="00D1351F">
        <w:rPr>
          <w:rFonts w:ascii="Segoe UI" w:hAnsi="Segoe UI" w:cs="Segoe UI"/>
        </w:rPr>
        <w:t xml:space="preserve">Infine, per quanto riguarda il contenuto della DNF consolidata, va innanzi tutto precisato che la definizione dell’ambito oggettivo di applicazione dell’art. 4 del decreto non è oggetto della delega regolamentare attribuita alla Consob. Tuttavia, nell’ottica di favorire un’applicazione e interpretazione uniformi del decreto, pare ragionevole ritenere, facendo riferimento a quanto espressamente previsto dal decreto, che la DNF consolidata debba comprendere, oltre ai dati della società madre, solamente quelli delle società figlie consolidate integralmente </w:t>
      </w:r>
      <w:r w:rsidR="00F73703">
        <w:rPr>
          <w:rFonts w:ascii="Segoe UI" w:hAnsi="Segoe UI" w:cs="Segoe UI"/>
        </w:rPr>
        <w:t>‘</w:t>
      </w:r>
      <w:r w:rsidRPr="00D1351F">
        <w:rPr>
          <w:rFonts w:ascii="Segoe UI" w:hAnsi="Segoe UI" w:cs="Segoe UI"/>
          <w:i/>
          <w:iCs/>
        </w:rPr>
        <w:t>nella misura necessaria ad assicurare la comprensione dell’attività del gruppo, del suo andamento, dei suoi risultati e dell’impatto dalla stessa prodotta</w:t>
      </w:r>
      <w:r w:rsidR="00F73703">
        <w:rPr>
          <w:rFonts w:ascii="Segoe UI" w:hAnsi="Segoe UI" w:cs="Segoe UI"/>
          <w:iCs/>
        </w:rPr>
        <w:t>’</w:t>
      </w:r>
      <w:r w:rsidRPr="00D1351F">
        <w:rPr>
          <w:rFonts w:ascii="Segoe UI" w:hAnsi="Segoe UI" w:cs="Segoe UI"/>
        </w:rPr>
        <w:t>. Pertanto, il principio di materialità espressamente richiamato dal decreto può rilevare solo per selezionare, all’interno del perimetro delle società consolidate sotto il profilo dell’informazione finanziaria, quelle da escludere nella DNF</w:t>
      </w:r>
      <w:r w:rsidR="00F73703">
        <w:rPr>
          <w:rFonts w:ascii="Segoe UI" w:hAnsi="Segoe UI" w:cs="Segoe UI"/>
        </w:rPr>
        <w:t>”</w:t>
      </w:r>
      <w:r w:rsidRPr="00D1351F">
        <w:rPr>
          <w:rFonts w:ascii="Segoe UI" w:hAnsi="Segoe UI" w:cs="Segoe UI"/>
        </w:rPr>
        <w:t>.</w:t>
      </w:r>
    </w:p>
    <w:p w14:paraId="15E93F21" w14:textId="77777777" w:rsidR="004572EA" w:rsidRPr="00D1351F" w:rsidRDefault="004572EA" w:rsidP="004572EA">
      <w:pPr>
        <w:autoSpaceDE w:val="0"/>
        <w:autoSpaceDN w:val="0"/>
        <w:adjustRightInd w:val="0"/>
        <w:spacing w:before="120" w:after="120" w:line="240" w:lineRule="auto"/>
        <w:jc w:val="both"/>
        <w:rPr>
          <w:rFonts w:ascii="Segoe UI" w:hAnsi="Segoe UI" w:cs="Segoe UI"/>
        </w:rPr>
      </w:pPr>
      <w:r w:rsidRPr="00D1351F">
        <w:rPr>
          <w:rFonts w:ascii="Segoe UI" w:hAnsi="Segoe UI" w:cs="Segoe UI"/>
        </w:rPr>
        <w:t>Conclusione: dunque, la Consob esplicita, in questa circostanza, una propria “formale” e puntuale interpretazione del principio di materialità quale procedimento che consente di identificare ciò che assicuri “</w:t>
      </w:r>
      <w:r w:rsidRPr="00D1351F">
        <w:rPr>
          <w:rFonts w:ascii="Segoe UI" w:hAnsi="Segoe UI" w:cs="Segoe UI"/>
          <w:i/>
          <w:iCs/>
        </w:rPr>
        <w:t>la comprensione dell’attività del gruppo, del suo andamento, dei suoi risultati e dell’impatto dalla stessa prodotta</w:t>
      </w:r>
      <w:r w:rsidRPr="00D1351F">
        <w:rPr>
          <w:rFonts w:ascii="Segoe UI" w:hAnsi="Segoe UI" w:cs="Segoe UI"/>
        </w:rPr>
        <w:t>”, non fornendo alcuna distinzione (non rileva in questo momento se a torto o a ragione) tra rilevanza e materialità e anzi sembrando confondere il secondo con il primo se li si “legga” alla luce degli approcci dei principali standard di rendicontazione o anche delle conclusioni cui è giunto lo IASB nello sviluppo dei Principi contabili internazionali.</w:t>
      </w:r>
    </w:p>
    <w:p w14:paraId="30278338" w14:textId="7115672A" w:rsidR="004572EA" w:rsidRPr="00D1351F" w:rsidRDefault="004572EA" w:rsidP="008212CF">
      <w:pPr>
        <w:keepNext/>
        <w:keepLines/>
        <w:autoSpaceDE w:val="0"/>
        <w:autoSpaceDN w:val="0"/>
        <w:adjustRightInd w:val="0"/>
        <w:spacing w:before="120" w:after="120" w:line="240" w:lineRule="auto"/>
        <w:jc w:val="both"/>
        <w:rPr>
          <w:rFonts w:ascii="Segoe UI" w:hAnsi="Segoe UI" w:cs="Segoe UI"/>
          <w:bCs/>
          <w:iCs/>
        </w:rPr>
      </w:pPr>
      <w:r w:rsidRPr="00D1351F">
        <w:rPr>
          <w:rFonts w:ascii="Segoe UI" w:hAnsi="Segoe UI" w:cs="Segoe UI"/>
          <w:bCs/>
          <w:iCs/>
        </w:rPr>
        <w:t xml:space="preserve">Nelle seguenti proposizioni, infine, il ragionamento sembra </w:t>
      </w:r>
      <w:r w:rsidR="006E31C0">
        <w:rPr>
          <w:rFonts w:ascii="Segoe UI" w:hAnsi="Segoe UI" w:cs="Segoe UI"/>
          <w:bCs/>
          <w:iCs/>
        </w:rPr>
        <w:t>consolidarsi</w:t>
      </w:r>
      <w:r w:rsidRPr="00D1351F">
        <w:rPr>
          <w:rFonts w:ascii="Segoe UI" w:hAnsi="Segoe UI" w:cs="Segoe UI"/>
          <w:bCs/>
          <w:iCs/>
        </w:rPr>
        <w:t>; nel paragrafo 2.6, “Criteri per l’esame, da parte della Consob, dell’informazione non finanziaria (art. 6)”, si legge:</w:t>
      </w:r>
    </w:p>
    <w:p w14:paraId="76E1D7F4" w14:textId="77777777" w:rsidR="004572EA" w:rsidRPr="00D1351F" w:rsidRDefault="004572EA" w:rsidP="004572EA">
      <w:pPr>
        <w:spacing w:before="120" w:after="120" w:line="240" w:lineRule="auto"/>
        <w:jc w:val="both"/>
        <w:rPr>
          <w:rFonts w:ascii="Segoe UI" w:hAnsi="Segoe UI" w:cs="Segoe UI"/>
        </w:rPr>
      </w:pPr>
      <w:r w:rsidRPr="00D1351F">
        <w:rPr>
          <w:rFonts w:ascii="Segoe UI" w:hAnsi="Segoe UI" w:cs="Segoe UI"/>
          <w:bCs/>
          <w:iCs/>
        </w:rPr>
        <w:t xml:space="preserve">“[...] </w:t>
      </w:r>
      <w:r w:rsidRPr="00D1351F">
        <w:rPr>
          <w:rFonts w:ascii="Segoe UI" w:hAnsi="Segoe UI" w:cs="Segoe UI"/>
        </w:rPr>
        <w:t xml:space="preserve">Infine, con riferimento alle osservazioni riguardanti il contenuto della DNF si ritiene che non si possa inserire nulla di quanto proposto dai rispondenti nel regolamento per via dell’oggetto della delega regolamentare sul contenuto della DNF. </w:t>
      </w:r>
      <w:r w:rsidRPr="00D1351F">
        <w:rPr>
          <w:rFonts w:ascii="Segoe UI" w:hAnsi="Segoe UI" w:cs="Segoe UI"/>
          <w:b/>
        </w:rPr>
        <w:t>L’art. 3, comma 1, del decreto fornisce alcune indicazioni che consentono di individuare il contenuto necessario della DNF</w:t>
      </w:r>
      <w:r w:rsidRPr="00D1351F">
        <w:rPr>
          <w:rFonts w:ascii="Segoe UI" w:hAnsi="Segoe UI" w:cs="Segoe UI"/>
        </w:rPr>
        <w:t xml:space="preserve">: in primo luogo, sono indicati gli elementi informativi attraverso i quali può essere assicurata la comprensione dell’attività di impresa; in secondo luogo, </w:t>
      </w:r>
      <w:r w:rsidRPr="00D1351F">
        <w:rPr>
          <w:rFonts w:ascii="Segoe UI" w:hAnsi="Segoe UI" w:cs="Segoe UI"/>
          <w:b/>
        </w:rPr>
        <w:t>è espressamente previsto un criterio di rilevanza o di “materialità”</w:t>
      </w:r>
      <w:r w:rsidRPr="00D1351F">
        <w:rPr>
          <w:rFonts w:ascii="Segoe UI" w:hAnsi="Segoe UI" w:cs="Segoe UI"/>
        </w:rPr>
        <w:t xml:space="preserve"> in base al quale selezionare le informazioni da fornire nella DNF con riguardo a tutti gli elementi informativi summenzionati [...]”</w:t>
      </w:r>
      <w:r>
        <w:rPr>
          <w:rFonts w:ascii="Segoe UI" w:hAnsi="Segoe UI" w:cs="Segoe UI"/>
        </w:rPr>
        <w:t>.</w:t>
      </w:r>
    </w:p>
    <w:p w14:paraId="512698F6" w14:textId="77777777" w:rsidR="004572EA" w:rsidRPr="00270181" w:rsidRDefault="004572EA" w:rsidP="004572EA">
      <w:pPr>
        <w:spacing w:before="120" w:after="120" w:line="240" w:lineRule="auto"/>
        <w:jc w:val="both"/>
        <w:rPr>
          <w:rFonts w:ascii="Segoe UI" w:hAnsi="Segoe UI" w:cs="Segoe UI"/>
        </w:rPr>
      </w:pPr>
      <w:r w:rsidRPr="00270181">
        <w:rPr>
          <w:rFonts w:ascii="Segoe UI" w:hAnsi="Segoe UI" w:cs="Segoe UI"/>
        </w:rPr>
        <w:t xml:space="preserve">E subito dopo: “Si ribadisce, inoltre, che </w:t>
      </w:r>
      <w:r w:rsidRPr="002511DD">
        <w:rPr>
          <w:rFonts w:ascii="Segoe UI" w:hAnsi="Segoe UI" w:cs="Segoe UI"/>
          <w:b/>
        </w:rPr>
        <w:t xml:space="preserve">la verifica </w:t>
      </w:r>
      <w:r w:rsidRPr="002511DD">
        <w:rPr>
          <w:rFonts w:ascii="Segoe UI" w:hAnsi="Segoe UI" w:cs="Segoe UI"/>
        </w:rPr>
        <w:t>da parte della Consob</w:t>
      </w:r>
      <w:r w:rsidRPr="00270181">
        <w:rPr>
          <w:rFonts w:ascii="Segoe UI" w:hAnsi="Segoe UI" w:cs="Segoe UI"/>
        </w:rPr>
        <w:t xml:space="preserve"> che le DNF siano conformi agli articoli 3 e 4 del decreto </w:t>
      </w:r>
      <w:r w:rsidRPr="002511DD">
        <w:rPr>
          <w:rFonts w:ascii="Segoe UI" w:hAnsi="Segoe UI" w:cs="Segoe UI"/>
          <w:b/>
        </w:rPr>
        <w:t>sarà effettuata coerentemente con gli orientamenti formulati dalla Commissione europea</w:t>
      </w:r>
      <w:r w:rsidRPr="00270181">
        <w:rPr>
          <w:rFonts w:ascii="Segoe UI" w:hAnsi="Segoe UI" w:cs="Segoe UI"/>
        </w:rPr>
        <w:t xml:space="preserve"> ai sensi dell’art. 2 della direttiva che delineano, altresì, alcuni </w:t>
      </w:r>
      <w:r w:rsidRPr="00270181">
        <w:rPr>
          <w:rFonts w:ascii="Segoe UI" w:hAnsi="Segoe UI" w:cs="Segoe UI"/>
          <w:i/>
        </w:rPr>
        <w:t>framework</w:t>
      </w:r>
      <w:r w:rsidRPr="00270181">
        <w:rPr>
          <w:rFonts w:ascii="Segoe UI" w:hAnsi="Segoe UI" w:cs="Segoe UI"/>
        </w:rPr>
        <w:t xml:space="preserve"> di rendicontazione applicabili”.</w:t>
      </w:r>
    </w:p>
    <w:p w14:paraId="4B2586CA" w14:textId="32C45EBB" w:rsidR="004572EA" w:rsidRDefault="004572EA" w:rsidP="004572EA">
      <w:pPr>
        <w:autoSpaceDE w:val="0"/>
        <w:autoSpaceDN w:val="0"/>
        <w:adjustRightInd w:val="0"/>
        <w:spacing w:before="120" w:after="120" w:line="240" w:lineRule="auto"/>
        <w:jc w:val="both"/>
        <w:rPr>
          <w:rFonts w:ascii="Segoe UI" w:eastAsia="Times New Roman" w:hAnsi="Segoe UI" w:cs="Segoe UI"/>
          <w:bCs/>
          <w:szCs w:val="20"/>
          <w:lang w:eastAsia="it-IT"/>
        </w:rPr>
      </w:pPr>
      <w:r>
        <w:rPr>
          <w:rFonts w:ascii="Segoe UI" w:eastAsia="Times New Roman" w:hAnsi="Segoe UI" w:cs="Segoe UI"/>
          <w:bCs/>
          <w:szCs w:val="20"/>
          <w:lang w:eastAsia="it-IT"/>
        </w:rPr>
        <w:t>Conclusione: ora, dalle osservazioni appena effettuate con riguardo alle asserzioni contenute nella Relazione illustrativa e nel Documento di consultazione, non sembra si possa</w:t>
      </w:r>
      <w:r w:rsidR="00F73703">
        <w:rPr>
          <w:rFonts w:ascii="Segoe UI" w:eastAsia="Times New Roman" w:hAnsi="Segoe UI" w:cs="Segoe UI"/>
          <w:bCs/>
          <w:szCs w:val="20"/>
          <w:lang w:eastAsia="it-IT"/>
        </w:rPr>
        <w:t xml:space="preserve"> ravvisare una perfetta complementarità e concordanza con le definizioni e i concetti illustrati negli Orientamenti metodologici della Commissione</w:t>
      </w:r>
      <w:r>
        <w:rPr>
          <w:rFonts w:ascii="Segoe UI" w:eastAsia="Times New Roman" w:hAnsi="Segoe UI" w:cs="Segoe UI"/>
          <w:bCs/>
          <w:szCs w:val="20"/>
          <w:lang w:eastAsia="it-IT"/>
        </w:rPr>
        <w:t xml:space="preserve">; certamente, </w:t>
      </w:r>
      <w:r w:rsidRPr="0062207D">
        <w:rPr>
          <w:rFonts w:ascii="Segoe UI" w:eastAsia="Times New Roman" w:hAnsi="Segoe UI" w:cs="Segoe UI"/>
          <w:bCs/>
          <w:szCs w:val="20"/>
          <w:lang w:eastAsia="it-IT"/>
        </w:rPr>
        <w:t xml:space="preserve">non si vuole rendere più complicata l’introduzione delle disposizioni in questo contesto di </w:t>
      </w:r>
      <w:r w:rsidRPr="00270181">
        <w:rPr>
          <w:rFonts w:ascii="Segoe UI" w:eastAsia="Times New Roman" w:hAnsi="Segoe UI" w:cs="Segoe UI"/>
          <w:bCs/>
          <w:i/>
          <w:szCs w:val="20"/>
          <w:lang w:eastAsia="it-IT"/>
        </w:rPr>
        <w:t>disclosure</w:t>
      </w:r>
      <w:r w:rsidRPr="0062207D">
        <w:rPr>
          <w:rFonts w:ascii="Segoe UI" w:eastAsia="Times New Roman" w:hAnsi="Segoe UI" w:cs="Segoe UI"/>
          <w:bCs/>
          <w:szCs w:val="20"/>
          <w:lang w:eastAsia="it-IT"/>
        </w:rPr>
        <w:t xml:space="preserve"> rispetto a quanto non lo siano già, ma occorre esaminare con attenzione i vari scenari potenziali che seguono alle diverse possibilità di applicazione della norma al fine di perseguire la </w:t>
      </w:r>
      <w:r w:rsidRPr="0062207D">
        <w:rPr>
          <w:rFonts w:ascii="Segoe UI" w:eastAsia="Times New Roman" w:hAnsi="Segoe UI" w:cs="Segoe UI"/>
          <w:bCs/>
          <w:i/>
          <w:szCs w:val="20"/>
          <w:lang w:eastAsia="it-IT"/>
        </w:rPr>
        <w:t>ratio</w:t>
      </w:r>
      <w:r w:rsidRPr="0062207D">
        <w:rPr>
          <w:rFonts w:ascii="Segoe UI" w:eastAsia="Times New Roman" w:hAnsi="Segoe UI" w:cs="Segoe UI"/>
          <w:bCs/>
          <w:szCs w:val="20"/>
          <w:lang w:eastAsia="it-IT"/>
        </w:rPr>
        <w:t xml:space="preserve"> e gli obiettivi di interesse comune </w:t>
      </w:r>
      <w:r>
        <w:rPr>
          <w:rFonts w:ascii="Segoe UI" w:eastAsia="Times New Roman" w:hAnsi="Segoe UI" w:cs="Segoe UI"/>
          <w:bCs/>
          <w:szCs w:val="20"/>
          <w:lang w:eastAsia="it-IT"/>
        </w:rPr>
        <w:t xml:space="preserve">per i quali la si è voluta introdurre nell’ordinamento: </w:t>
      </w:r>
      <w:r w:rsidRPr="0062207D">
        <w:rPr>
          <w:rFonts w:ascii="Segoe UI" w:eastAsia="Times New Roman" w:hAnsi="Segoe UI" w:cs="Segoe UI"/>
          <w:bCs/>
          <w:szCs w:val="20"/>
          <w:lang w:eastAsia="it-IT"/>
        </w:rPr>
        <w:t>le due diverse interpretazioni</w:t>
      </w:r>
      <w:r>
        <w:rPr>
          <w:rFonts w:ascii="Segoe UI" w:eastAsia="Times New Roman" w:hAnsi="Segoe UI" w:cs="Segoe UI"/>
          <w:bCs/>
          <w:szCs w:val="20"/>
          <w:lang w:eastAsia="it-IT"/>
        </w:rPr>
        <w:t>, lo si vedrà,</w:t>
      </w:r>
      <w:r w:rsidRPr="0062207D">
        <w:rPr>
          <w:rFonts w:ascii="Segoe UI" w:eastAsia="Times New Roman" w:hAnsi="Segoe UI" w:cs="Segoe UI"/>
          <w:bCs/>
          <w:szCs w:val="20"/>
          <w:lang w:eastAsia="it-IT"/>
        </w:rPr>
        <w:t xml:space="preserve"> </w:t>
      </w:r>
      <w:r w:rsidR="00E23D04">
        <w:rPr>
          <w:rFonts w:ascii="Segoe UI" w:eastAsia="Times New Roman" w:hAnsi="Segoe UI" w:cs="Segoe UI"/>
          <w:bCs/>
          <w:szCs w:val="20"/>
          <w:lang w:eastAsia="it-IT"/>
        </w:rPr>
        <w:t xml:space="preserve">possono </w:t>
      </w:r>
      <w:r w:rsidRPr="0062207D">
        <w:rPr>
          <w:rFonts w:ascii="Segoe UI" w:eastAsia="Times New Roman" w:hAnsi="Segoe UI" w:cs="Segoe UI"/>
          <w:bCs/>
          <w:szCs w:val="20"/>
          <w:lang w:eastAsia="it-IT"/>
        </w:rPr>
        <w:t>genera</w:t>
      </w:r>
      <w:r w:rsidR="00E23D04">
        <w:rPr>
          <w:rFonts w:ascii="Segoe UI" w:eastAsia="Times New Roman" w:hAnsi="Segoe UI" w:cs="Segoe UI"/>
          <w:bCs/>
          <w:szCs w:val="20"/>
          <w:lang w:eastAsia="it-IT"/>
        </w:rPr>
        <w:t xml:space="preserve">re </w:t>
      </w:r>
      <w:r w:rsidRPr="0062207D">
        <w:rPr>
          <w:rFonts w:ascii="Segoe UI" w:eastAsia="Times New Roman" w:hAnsi="Segoe UI" w:cs="Segoe UI"/>
          <w:bCs/>
          <w:szCs w:val="20"/>
          <w:lang w:eastAsia="it-IT"/>
        </w:rPr>
        <w:t xml:space="preserve">differenze operative di non poco conto nell’ambito dei comportamenti di </w:t>
      </w:r>
      <w:r w:rsidRPr="0062207D">
        <w:rPr>
          <w:rFonts w:ascii="Segoe UI" w:eastAsia="Times New Roman" w:hAnsi="Segoe UI" w:cs="Segoe UI"/>
          <w:bCs/>
          <w:i/>
          <w:szCs w:val="20"/>
          <w:lang w:eastAsia="it-IT"/>
        </w:rPr>
        <w:t>disclosure</w:t>
      </w:r>
      <w:r w:rsidRPr="0062207D">
        <w:rPr>
          <w:rFonts w:ascii="Segoe UI" w:eastAsia="Times New Roman" w:hAnsi="Segoe UI" w:cs="Segoe UI"/>
          <w:bCs/>
          <w:szCs w:val="20"/>
          <w:lang w:eastAsia="it-IT"/>
        </w:rPr>
        <w:t xml:space="preserve"> di aziende</w:t>
      </w:r>
      <w:r w:rsidR="003D5EC5">
        <w:rPr>
          <w:rFonts w:ascii="Segoe UI" w:eastAsia="Times New Roman" w:hAnsi="Segoe UI" w:cs="Segoe UI"/>
          <w:bCs/>
          <w:szCs w:val="20"/>
          <w:lang w:eastAsia="it-IT"/>
        </w:rPr>
        <w:t xml:space="preserve"> anche</w:t>
      </w:r>
      <w:r w:rsidRPr="0062207D">
        <w:rPr>
          <w:rFonts w:ascii="Segoe UI" w:eastAsia="Times New Roman" w:hAnsi="Segoe UI" w:cs="Segoe UI"/>
          <w:bCs/>
          <w:szCs w:val="20"/>
          <w:lang w:eastAsia="it-IT"/>
        </w:rPr>
        <w:t xml:space="preserve"> simili per dimensione o</w:t>
      </w:r>
      <w:r w:rsidR="003D5EC5">
        <w:rPr>
          <w:rFonts w:ascii="Segoe UI" w:eastAsia="Times New Roman" w:hAnsi="Segoe UI" w:cs="Segoe UI"/>
          <w:bCs/>
          <w:szCs w:val="20"/>
          <w:lang w:eastAsia="it-IT"/>
        </w:rPr>
        <w:t>d</w:t>
      </w:r>
      <w:r w:rsidRPr="0062207D">
        <w:rPr>
          <w:rFonts w:ascii="Segoe UI" w:eastAsia="Times New Roman" w:hAnsi="Segoe UI" w:cs="Segoe UI"/>
          <w:bCs/>
          <w:szCs w:val="20"/>
          <w:lang w:eastAsia="it-IT"/>
        </w:rPr>
        <w:t xml:space="preserve"> operanti nel medesimo settore economico.</w:t>
      </w:r>
    </w:p>
    <w:p w14:paraId="51C6B6DA" w14:textId="05A47305" w:rsidR="00CB7573" w:rsidRPr="00847C52" w:rsidRDefault="00847C52" w:rsidP="00847C52">
      <w:pPr>
        <w:keepNext/>
        <w:keepLines/>
        <w:tabs>
          <w:tab w:val="left" w:pos="567"/>
        </w:tabs>
        <w:spacing w:before="1080" w:after="720" w:line="240" w:lineRule="auto"/>
        <w:ind w:left="567" w:hanging="567"/>
        <w:outlineLvl w:val="1"/>
        <w:rPr>
          <w:rFonts w:ascii="Segoe UI" w:eastAsiaTheme="minorHAnsi" w:hAnsi="Segoe UI" w:cs="Segoe UI"/>
          <w:bCs/>
          <w:sz w:val="28"/>
          <w:szCs w:val="28"/>
        </w:rPr>
      </w:pPr>
      <w:bookmarkStart w:id="20" w:name="_Toc507973953"/>
      <w:r>
        <w:rPr>
          <w:rFonts w:ascii="Segoe UI" w:eastAsiaTheme="minorHAnsi" w:hAnsi="Segoe UI" w:cs="Segoe UI"/>
          <w:bCs/>
          <w:sz w:val="28"/>
          <w:szCs w:val="28"/>
        </w:rPr>
        <w:t>4</w:t>
      </w:r>
      <w:r w:rsidR="00CB7573" w:rsidRPr="00847C52">
        <w:rPr>
          <w:rFonts w:ascii="Segoe UI" w:eastAsiaTheme="minorHAnsi" w:hAnsi="Segoe UI" w:cs="Segoe UI"/>
          <w:bCs/>
          <w:sz w:val="28"/>
          <w:szCs w:val="28"/>
        </w:rPr>
        <w:t>.3</w:t>
      </w:r>
      <w:r w:rsidR="00CB7573" w:rsidRPr="00847C52">
        <w:rPr>
          <w:rFonts w:ascii="Segoe UI" w:eastAsiaTheme="minorHAnsi" w:hAnsi="Segoe UI" w:cs="Segoe UI"/>
          <w:bCs/>
          <w:sz w:val="28"/>
          <w:szCs w:val="28"/>
        </w:rPr>
        <w:tab/>
        <w:t>Livello normativo nazionale e livello interpretativo europeo</w:t>
      </w:r>
      <w:bookmarkEnd w:id="20"/>
    </w:p>
    <w:p w14:paraId="4F619CF7" w14:textId="77777777" w:rsidR="00CB7573" w:rsidRPr="00CB7573" w:rsidRDefault="00CB7573" w:rsidP="00CB7573">
      <w:pPr>
        <w:keepNext/>
        <w:keepLines/>
        <w:autoSpaceDE w:val="0"/>
        <w:autoSpaceDN w:val="0"/>
        <w:spacing w:before="120" w:after="120" w:line="240" w:lineRule="auto"/>
        <w:jc w:val="both"/>
        <w:rPr>
          <w:rFonts w:ascii="Segoe UI" w:eastAsia="Times New Roman" w:hAnsi="Segoe UI" w:cs="Segoe UI"/>
        </w:rPr>
      </w:pPr>
      <w:r w:rsidRPr="00CB7573">
        <w:rPr>
          <w:rFonts w:ascii="Segoe UI" w:eastAsia="Times New Roman" w:hAnsi="Segoe UI" w:cs="Segoe UI"/>
        </w:rPr>
        <w:t xml:space="preserve">Sul piano del rapporto tra livello normativo nazionale e livello interpretativo europeo, invero, non è corretto (né possibile) ravvisare alcuna (colpevole) approssimazione dei due legislatori: gli Orientamenti, infatti, sono successivi al decreto e, per propria natura, hanno come naturale riferimento la direttiva di </w:t>
      </w:r>
      <w:r w:rsidRPr="00CB7573">
        <w:rPr>
          <w:rFonts w:ascii="Segoe UI" w:eastAsia="Times New Roman" w:hAnsi="Segoe UI" w:cs="Segoe UI"/>
          <w:i/>
        </w:rPr>
        <w:t>disclosure</w:t>
      </w:r>
      <w:r w:rsidRPr="00CB7573">
        <w:rPr>
          <w:rFonts w:ascii="Segoe UI" w:eastAsia="Times New Roman" w:hAnsi="Segoe UI" w:cs="Segoe UI"/>
        </w:rPr>
        <w:t xml:space="preserve"> non finanziaria 2014/95/UE (non la normativa di recepimento nazionale di uno Stato membro dell’Unione). Nondimeno, dai rilievi effettuati in precedenza con riguardo alle diverse soluzioni terminologiche adottate nel decreto di </w:t>
      </w:r>
      <w:r w:rsidRPr="000415EB">
        <w:rPr>
          <w:rFonts w:ascii="Segoe UI" w:eastAsia="Times New Roman" w:hAnsi="Segoe UI" w:cs="Segoe UI"/>
          <w:i/>
        </w:rPr>
        <w:t>disclosure</w:t>
      </w:r>
      <w:r w:rsidRPr="00CB7573">
        <w:rPr>
          <w:rFonts w:ascii="Segoe UI" w:eastAsia="Times New Roman" w:hAnsi="Segoe UI" w:cs="Segoe UI"/>
        </w:rPr>
        <w:t xml:space="preserve"> non finanziaria e negli Orientamenti, considerandone di questi ultimi le due versioni (in inglese e in italiano) singolarmente o congiuntamente, è sensato osservare quanto segue:</w:t>
      </w:r>
    </w:p>
    <w:p w14:paraId="6ECF8C6A" w14:textId="77777777" w:rsidR="00CB7573" w:rsidRPr="00CB7573" w:rsidRDefault="00CB7573" w:rsidP="00CB7573">
      <w:pPr>
        <w:pStyle w:val="Paragrafoelenco"/>
        <w:numPr>
          <w:ilvl w:val="0"/>
          <w:numId w:val="41"/>
        </w:numPr>
        <w:tabs>
          <w:tab w:val="left" w:pos="567"/>
        </w:tabs>
        <w:autoSpaceDE w:val="0"/>
        <w:autoSpaceDN w:val="0"/>
        <w:spacing w:before="120" w:after="120" w:line="240" w:lineRule="auto"/>
        <w:ind w:left="568" w:hanging="284"/>
        <w:jc w:val="both"/>
        <w:rPr>
          <w:rFonts w:ascii="Segoe UI" w:eastAsia="Times New Roman" w:hAnsi="Segoe UI" w:cs="Segoe UI"/>
        </w:rPr>
      </w:pPr>
      <w:r w:rsidRPr="00CB7573">
        <w:rPr>
          <w:rFonts w:ascii="Segoe UI" w:eastAsia="Times New Roman" w:hAnsi="Segoe UI" w:cs="Segoe UI"/>
        </w:rPr>
        <w:t xml:space="preserve">il termine “rilevanza”, nella normativa nazionale (in specie nel d.lgs. n. 254/2016) è riferito, in particolare, come si è accennato, ai 5 temi di </w:t>
      </w:r>
      <w:r w:rsidRPr="00CB7573">
        <w:rPr>
          <w:rFonts w:ascii="Segoe UI" w:eastAsia="Times New Roman" w:hAnsi="Segoe UI" w:cs="Segoe UI"/>
          <w:i/>
        </w:rPr>
        <w:t>disclosure</w:t>
      </w:r>
      <w:r w:rsidRPr="00CB7573">
        <w:rPr>
          <w:rFonts w:ascii="Segoe UI" w:eastAsia="Times New Roman" w:hAnsi="Segoe UI" w:cs="Segoe UI"/>
        </w:rPr>
        <w:t>; nella versione italiana degli Orientamenti esso è altresì riferito alle informazioni.</w:t>
      </w:r>
    </w:p>
    <w:p w14:paraId="42E3B805" w14:textId="3AC9CD6D" w:rsidR="00E23D04" w:rsidRPr="00E23D04" w:rsidRDefault="00CB7573" w:rsidP="00D1479C">
      <w:pPr>
        <w:pStyle w:val="Paragrafoelenco"/>
        <w:numPr>
          <w:ilvl w:val="0"/>
          <w:numId w:val="41"/>
        </w:numPr>
        <w:tabs>
          <w:tab w:val="left" w:pos="567"/>
        </w:tabs>
        <w:autoSpaceDE w:val="0"/>
        <w:autoSpaceDN w:val="0"/>
        <w:spacing w:before="120" w:after="120" w:line="240" w:lineRule="auto"/>
        <w:ind w:left="568" w:hanging="284"/>
        <w:jc w:val="both"/>
        <w:rPr>
          <w:rFonts w:ascii="Segoe UI" w:eastAsia="Times New Roman" w:hAnsi="Segoe UI" w:cs="Segoe UI"/>
        </w:rPr>
      </w:pPr>
      <w:r w:rsidRPr="00E23D04">
        <w:rPr>
          <w:rFonts w:ascii="Segoe UI" w:eastAsia="Times New Roman" w:hAnsi="Segoe UI" w:cs="Segoe UI"/>
        </w:rPr>
        <w:t>nella versione inglese degli Orientamenti, alle informazioni è associato talvolta il termine “</w:t>
      </w:r>
      <w:r w:rsidRPr="00E23D04">
        <w:rPr>
          <w:rFonts w:ascii="Segoe UI" w:eastAsia="Times New Roman" w:hAnsi="Segoe UI" w:cs="Segoe UI"/>
          <w:i/>
        </w:rPr>
        <w:t>relevant</w:t>
      </w:r>
      <w:r w:rsidRPr="00E23D04">
        <w:rPr>
          <w:rFonts w:ascii="Segoe UI" w:eastAsia="Times New Roman" w:hAnsi="Segoe UI" w:cs="Segoe UI"/>
        </w:rPr>
        <w:t>” e talaltra il termine “</w:t>
      </w:r>
      <w:r w:rsidRPr="00E23D04">
        <w:rPr>
          <w:rFonts w:ascii="Segoe UI" w:eastAsia="Times New Roman" w:hAnsi="Segoe UI" w:cs="Segoe UI"/>
          <w:i/>
        </w:rPr>
        <w:t>material</w:t>
      </w:r>
      <w:r w:rsidRPr="00E23D04">
        <w:rPr>
          <w:rFonts w:ascii="Segoe UI" w:eastAsia="Times New Roman" w:hAnsi="Segoe UI" w:cs="Segoe UI"/>
        </w:rPr>
        <w:t>”, potendosi invero ravvisare accezioni alquanto diverse dei medesimi, mentre nei Principi contabili internazionali, appunto, è esplicitata una precisa definizione (e distinzione) dei due termini “</w:t>
      </w:r>
      <w:r w:rsidRPr="00E23D04">
        <w:rPr>
          <w:rFonts w:ascii="Segoe UI" w:eastAsia="Times New Roman" w:hAnsi="Segoe UI" w:cs="Segoe UI"/>
          <w:i/>
        </w:rPr>
        <w:t>relevant</w:t>
      </w:r>
      <w:r w:rsidRPr="00E23D04">
        <w:rPr>
          <w:rFonts w:ascii="Segoe UI" w:eastAsia="Times New Roman" w:hAnsi="Segoe UI" w:cs="Segoe UI"/>
        </w:rPr>
        <w:t>” e “</w:t>
      </w:r>
      <w:r w:rsidRPr="00E23D04">
        <w:rPr>
          <w:rFonts w:ascii="Segoe UI" w:eastAsia="Times New Roman" w:hAnsi="Segoe UI" w:cs="Segoe UI"/>
          <w:i/>
        </w:rPr>
        <w:t>material</w:t>
      </w:r>
      <w:r w:rsidRPr="00E23D04">
        <w:rPr>
          <w:rFonts w:ascii="Segoe UI" w:eastAsia="Times New Roman" w:hAnsi="Segoe UI" w:cs="Segoe UI"/>
        </w:rPr>
        <w:t>” (quest’ultimo definito anche nella direttiva di rendicontazione finanziaria 2013/34/UE), o meglio, dei due concetti/principi di rendicontazione sottostanti (“</w:t>
      </w:r>
      <w:r w:rsidRPr="00E23D04">
        <w:rPr>
          <w:rFonts w:ascii="Segoe UI" w:eastAsia="Times New Roman" w:hAnsi="Segoe UI" w:cs="Segoe UI"/>
          <w:i/>
        </w:rPr>
        <w:t>relevance</w:t>
      </w:r>
      <w:r w:rsidRPr="00E23D04">
        <w:rPr>
          <w:rFonts w:ascii="Segoe UI" w:eastAsia="Times New Roman" w:hAnsi="Segoe UI" w:cs="Segoe UI"/>
        </w:rPr>
        <w:t>” e “</w:t>
      </w:r>
      <w:r w:rsidRPr="00E23D04">
        <w:rPr>
          <w:rFonts w:ascii="Segoe UI" w:eastAsia="Times New Roman" w:hAnsi="Segoe UI" w:cs="Segoe UI"/>
          <w:i/>
        </w:rPr>
        <w:t>materiality</w:t>
      </w:r>
      <w:r w:rsidRPr="00E23D04">
        <w:rPr>
          <w:rFonts w:ascii="Segoe UI" w:eastAsia="Times New Roman" w:hAnsi="Segoe UI" w:cs="Segoe UI"/>
        </w:rPr>
        <w:t>”),</w:t>
      </w:r>
      <w:r w:rsidR="00E23D04" w:rsidRPr="00E23D04">
        <w:rPr>
          <w:rFonts w:ascii="Segoe UI" w:eastAsia="Times New Roman" w:hAnsi="Segoe UI" w:cs="Segoe UI"/>
        </w:rPr>
        <w:t xml:space="preserve"> tradotti in quei Principi con i termini “significativo” e “rilevante”</w:t>
      </w:r>
      <w:r w:rsidR="00E23D04" w:rsidRPr="00E23D04">
        <w:rPr>
          <w:rStyle w:val="Rimandonotaapidipagina"/>
          <w:rFonts w:eastAsia="Times New Roman" w:cs="Segoe UI"/>
        </w:rPr>
        <w:footnoteReference w:id="18"/>
      </w:r>
      <w:r w:rsidR="00E23D04" w:rsidRPr="00E23D04">
        <w:rPr>
          <w:rFonts w:ascii="Segoe UI" w:eastAsia="Times New Roman" w:hAnsi="Segoe UI" w:cs="Segoe UI"/>
        </w:rPr>
        <w:t>.</w:t>
      </w:r>
    </w:p>
    <w:p w14:paraId="7BDF58E9" w14:textId="53D71F09" w:rsidR="00CB7573" w:rsidRPr="0062207D" w:rsidRDefault="0078329C" w:rsidP="00CB7573">
      <w:pPr>
        <w:autoSpaceDE w:val="0"/>
        <w:autoSpaceDN w:val="0"/>
        <w:spacing w:before="120" w:after="120" w:line="240" w:lineRule="auto"/>
        <w:jc w:val="both"/>
        <w:rPr>
          <w:rFonts w:ascii="Segoe UI" w:eastAsia="Times New Roman" w:hAnsi="Segoe UI" w:cs="Segoe UI"/>
          <w:bCs/>
          <w:iCs/>
          <w:szCs w:val="20"/>
          <w:lang w:eastAsia="it-IT"/>
        </w:rPr>
      </w:pPr>
      <w:r>
        <w:rPr>
          <w:rFonts w:ascii="Segoe UI" w:eastAsia="Times New Roman" w:hAnsi="Segoe UI" w:cs="Segoe UI"/>
        </w:rPr>
        <w:t>Conclusione: i</w:t>
      </w:r>
      <w:r w:rsidR="00CB7573" w:rsidRPr="00CB7573">
        <w:rPr>
          <w:rFonts w:ascii="Segoe UI" w:eastAsia="Times New Roman" w:hAnsi="Segoe UI" w:cs="Segoe UI"/>
        </w:rPr>
        <w:t>n altri termini, dal rapporto tra tali strumenti normativi e interpretativi, risalta con più nitidezza la circostanza che nella rendicontazione finanziaria la differenza tra i due concetti/principi esista e, si ritiene, esista ormai (in una qualche formale misura) anche nella rendicontazione non finanziaria: con tutta probabilità, in definitiva, sarebbe stato forse più lungimirante ed efficace iniziare a tradurre il termine “</w:t>
      </w:r>
      <w:r w:rsidR="00CB7573" w:rsidRPr="00CB7573">
        <w:rPr>
          <w:rFonts w:ascii="Segoe UI" w:eastAsia="Times New Roman" w:hAnsi="Segoe UI" w:cs="Segoe UI"/>
          <w:i/>
        </w:rPr>
        <w:t>material</w:t>
      </w:r>
      <w:r w:rsidR="00CB7573" w:rsidRPr="00CB7573">
        <w:rPr>
          <w:rFonts w:ascii="Segoe UI" w:eastAsia="Times New Roman" w:hAnsi="Segoe UI" w:cs="Segoe UI"/>
        </w:rPr>
        <w:t>” con un vocabolo diverso da “rilevante” anche nella normativa di rendicontazione non finanziaria e/o nei suoi Orientamenti interpretativi di “</w:t>
      </w:r>
      <w:r w:rsidR="00CB7573" w:rsidRPr="00CB7573">
        <w:rPr>
          <w:rFonts w:ascii="Segoe UI" w:eastAsia="Times New Roman" w:hAnsi="Segoe UI" w:cs="Segoe UI"/>
          <w:i/>
        </w:rPr>
        <w:t>soft law</w:t>
      </w:r>
      <w:r w:rsidR="00CB7573" w:rsidRPr="00CB7573">
        <w:rPr>
          <w:rFonts w:ascii="Segoe UI" w:eastAsia="Times New Roman" w:hAnsi="Segoe UI" w:cs="Segoe UI"/>
        </w:rPr>
        <w:t>” (avvalendosi, ad esempio, del termine “materiale”), mutuandolo dalla letteratura tecnica di settore, onde evitare di confondere significati diversi con potenziali conseguenze sulle modalità di rendicontazione e comunicazione (sul punto si tornerà successivamente).</w:t>
      </w:r>
    </w:p>
    <w:p w14:paraId="55E3088A" w14:textId="77777777" w:rsidR="005F0C40" w:rsidRPr="0062207D" w:rsidRDefault="005F0C40" w:rsidP="0013336D">
      <w:pPr>
        <w:tabs>
          <w:tab w:val="left" w:pos="709"/>
        </w:tabs>
        <w:spacing w:before="120" w:after="120" w:line="240" w:lineRule="auto"/>
        <w:jc w:val="both"/>
        <w:rPr>
          <w:rFonts w:ascii="Segoe UI" w:eastAsia="Times New Roman" w:hAnsi="Segoe UI" w:cs="Segoe UI"/>
          <w:bCs/>
          <w:szCs w:val="20"/>
          <w:lang w:eastAsia="it-IT"/>
        </w:rPr>
      </w:pPr>
    </w:p>
    <w:p w14:paraId="4B26556C" w14:textId="77777777" w:rsidR="005F0C40" w:rsidRPr="0062207D" w:rsidRDefault="005F0C40" w:rsidP="0013336D">
      <w:pPr>
        <w:tabs>
          <w:tab w:val="left" w:pos="709"/>
        </w:tabs>
        <w:spacing w:before="120" w:after="120" w:line="240" w:lineRule="auto"/>
        <w:jc w:val="both"/>
        <w:rPr>
          <w:rFonts w:ascii="Segoe UI" w:eastAsia="Times New Roman" w:hAnsi="Segoe UI" w:cs="Segoe UI"/>
          <w:bCs/>
          <w:szCs w:val="20"/>
          <w:lang w:eastAsia="it-IT"/>
        </w:rPr>
        <w:sectPr w:rsidR="005F0C40" w:rsidRPr="0062207D" w:rsidSect="0002489A">
          <w:pgSz w:w="11906" w:h="16838" w:code="9"/>
          <w:pgMar w:top="1985" w:right="1134" w:bottom="1134" w:left="1134" w:header="709" w:footer="709" w:gutter="0"/>
          <w:cols w:space="708"/>
          <w:docGrid w:linePitch="360"/>
        </w:sectPr>
      </w:pPr>
    </w:p>
    <w:p w14:paraId="6BC8A764" w14:textId="77777777" w:rsidR="00615CBC" w:rsidRDefault="00615CBC" w:rsidP="00615CBC">
      <w:pPr>
        <w:keepNext/>
        <w:keepLines/>
        <w:tabs>
          <w:tab w:val="left" w:pos="567"/>
        </w:tabs>
        <w:spacing w:before="1080" w:after="360" w:line="240" w:lineRule="auto"/>
        <w:ind w:left="567" w:hanging="567"/>
        <w:outlineLvl w:val="0"/>
        <w:rPr>
          <w:rFonts w:ascii="Segoe UI" w:eastAsiaTheme="minorHAnsi" w:hAnsi="Segoe UI" w:cs="Segoe UI"/>
          <w:sz w:val="40"/>
          <w:szCs w:val="40"/>
        </w:rPr>
      </w:pPr>
      <w:bookmarkStart w:id="21" w:name="_Toc507973954"/>
      <w:r w:rsidRPr="004C6914">
        <w:rPr>
          <w:rFonts w:ascii="Segoe UI" w:eastAsiaTheme="minorHAnsi" w:hAnsi="Segoe UI" w:cs="Segoe UI"/>
          <w:sz w:val="40"/>
          <w:szCs w:val="40"/>
        </w:rPr>
        <w:t>PARTE II</w:t>
      </w:r>
      <w:bookmarkEnd w:id="21"/>
    </w:p>
    <w:p w14:paraId="0BCA9CE5" w14:textId="4561BD72" w:rsidR="00615CBC" w:rsidRDefault="00615CBC" w:rsidP="00EF148F">
      <w:pPr>
        <w:keepNext/>
        <w:keepLines/>
        <w:tabs>
          <w:tab w:val="left" w:pos="0"/>
        </w:tabs>
        <w:spacing w:before="360" w:after="2160" w:line="240" w:lineRule="auto"/>
        <w:outlineLvl w:val="0"/>
        <w:rPr>
          <w:rFonts w:ascii="Segoe UI" w:eastAsiaTheme="minorHAnsi" w:hAnsi="Segoe UI" w:cs="Segoe UI"/>
          <w:sz w:val="40"/>
          <w:szCs w:val="40"/>
        </w:rPr>
      </w:pPr>
      <w:bookmarkStart w:id="22" w:name="_Toc507973955"/>
      <w:r>
        <w:rPr>
          <w:rFonts w:ascii="Segoe UI" w:eastAsiaTheme="minorHAnsi" w:hAnsi="Segoe UI" w:cs="Segoe UI"/>
          <w:sz w:val="40"/>
          <w:szCs w:val="40"/>
        </w:rPr>
        <w:t xml:space="preserve">Approfondimenti sul </w:t>
      </w:r>
      <w:r w:rsidR="00623F83">
        <w:rPr>
          <w:rFonts w:ascii="Segoe UI" w:eastAsiaTheme="minorHAnsi" w:hAnsi="Segoe UI" w:cs="Segoe UI"/>
          <w:sz w:val="40"/>
          <w:szCs w:val="40"/>
        </w:rPr>
        <w:t xml:space="preserve">concetto </w:t>
      </w:r>
      <w:r>
        <w:rPr>
          <w:rFonts w:ascii="Segoe UI" w:eastAsiaTheme="minorHAnsi" w:hAnsi="Segoe UI" w:cs="Segoe UI"/>
          <w:sz w:val="40"/>
          <w:szCs w:val="40"/>
        </w:rPr>
        <w:t>di rilevanza e sulle metodologie per la sua applicazione</w:t>
      </w:r>
      <w:bookmarkEnd w:id="22"/>
    </w:p>
    <w:p w14:paraId="039271BC" w14:textId="65D24A3F" w:rsidR="00F270C0" w:rsidRPr="00623F83" w:rsidRDefault="00623F83" w:rsidP="00623F83">
      <w:pPr>
        <w:keepNext/>
        <w:keepLines/>
        <w:tabs>
          <w:tab w:val="left" w:pos="567"/>
        </w:tabs>
        <w:spacing w:before="1080" w:after="1080" w:line="240" w:lineRule="auto"/>
        <w:ind w:left="567" w:hanging="567"/>
        <w:outlineLvl w:val="0"/>
        <w:rPr>
          <w:rFonts w:ascii="Segoe UI" w:eastAsiaTheme="minorHAnsi" w:hAnsi="Segoe UI" w:cs="Segoe UI"/>
          <w:sz w:val="32"/>
          <w:szCs w:val="32"/>
        </w:rPr>
      </w:pPr>
      <w:bookmarkStart w:id="23" w:name="_Toc507973956"/>
      <w:r>
        <w:rPr>
          <w:rFonts w:ascii="Segoe UI" w:eastAsiaTheme="minorHAnsi" w:hAnsi="Segoe UI" w:cs="Segoe UI"/>
          <w:sz w:val="32"/>
          <w:szCs w:val="32"/>
        </w:rPr>
        <w:t>5</w:t>
      </w:r>
      <w:r w:rsidR="00597104" w:rsidRPr="004D41F1">
        <w:rPr>
          <w:rFonts w:ascii="Segoe UI" w:eastAsiaTheme="minorHAnsi" w:hAnsi="Segoe UI" w:cs="Segoe UI"/>
          <w:sz w:val="32"/>
          <w:szCs w:val="32"/>
        </w:rPr>
        <w:tab/>
      </w:r>
      <w:r w:rsidR="00EF148F" w:rsidRPr="00EF148F">
        <w:rPr>
          <w:rFonts w:ascii="Segoe UI" w:eastAsiaTheme="minorHAnsi" w:hAnsi="Segoe UI" w:cs="Segoe UI"/>
          <w:i/>
          <w:sz w:val="32"/>
          <w:szCs w:val="32"/>
        </w:rPr>
        <w:t>Relevance</w:t>
      </w:r>
      <w:r w:rsidR="00EF148F">
        <w:rPr>
          <w:rFonts w:ascii="Segoe UI" w:eastAsiaTheme="minorHAnsi" w:hAnsi="Segoe UI" w:cs="Segoe UI"/>
          <w:sz w:val="32"/>
          <w:szCs w:val="32"/>
        </w:rPr>
        <w:t xml:space="preserve"> e </w:t>
      </w:r>
      <w:r w:rsidR="00EF148F" w:rsidRPr="00EF148F">
        <w:rPr>
          <w:rFonts w:ascii="Segoe UI" w:eastAsiaTheme="minorHAnsi" w:hAnsi="Segoe UI" w:cs="Segoe UI"/>
          <w:i/>
          <w:sz w:val="32"/>
          <w:szCs w:val="32"/>
        </w:rPr>
        <w:t>materiality</w:t>
      </w:r>
      <w:r w:rsidR="00EF148F">
        <w:rPr>
          <w:rFonts w:ascii="Segoe UI" w:eastAsiaTheme="minorHAnsi" w:hAnsi="Segoe UI" w:cs="Segoe UI"/>
          <w:sz w:val="32"/>
          <w:szCs w:val="32"/>
        </w:rPr>
        <w:t xml:space="preserve"> </w:t>
      </w:r>
      <w:r w:rsidR="00F270C0" w:rsidRPr="00623F83">
        <w:rPr>
          <w:rFonts w:ascii="Segoe UI" w:eastAsiaTheme="minorHAnsi" w:hAnsi="Segoe UI" w:cs="Segoe UI"/>
          <w:sz w:val="32"/>
          <w:szCs w:val="32"/>
        </w:rPr>
        <w:t xml:space="preserve">nella </w:t>
      </w:r>
      <w:r w:rsidR="00F270C0" w:rsidRPr="00623F83">
        <w:rPr>
          <w:rFonts w:ascii="Segoe UI" w:eastAsiaTheme="minorHAnsi" w:hAnsi="Segoe UI" w:cs="Segoe UI"/>
          <w:i/>
          <w:sz w:val="32"/>
          <w:szCs w:val="32"/>
        </w:rPr>
        <w:t>financial disclosure</w:t>
      </w:r>
      <w:bookmarkEnd w:id="23"/>
    </w:p>
    <w:p w14:paraId="6A140924" w14:textId="3D5BB74D" w:rsidR="005B5C57" w:rsidRPr="00E25ED2" w:rsidRDefault="005B5C57" w:rsidP="005B5C57">
      <w:pPr>
        <w:autoSpaceDE w:val="0"/>
        <w:autoSpaceDN w:val="0"/>
        <w:adjustRightInd w:val="0"/>
        <w:spacing w:before="120" w:after="120" w:line="240" w:lineRule="auto"/>
        <w:jc w:val="both"/>
        <w:rPr>
          <w:rFonts w:ascii="Segoe UI" w:hAnsi="Segoe UI" w:cs="Segoe UI"/>
        </w:rPr>
      </w:pPr>
      <w:r w:rsidRPr="00E25ED2">
        <w:rPr>
          <w:rFonts w:ascii="Segoe UI" w:hAnsi="Segoe UI" w:cs="Segoe UI"/>
        </w:rPr>
        <w:t>Il presente documento è centrato sui concetti di “</w:t>
      </w:r>
      <w:r w:rsidRPr="00E25ED2">
        <w:rPr>
          <w:rFonts w:ascii="Segoe UI" w:hAnsi="Segoe UI" w:cs="Segoe UI"/>
          <w:i/>
        </w:rPr>
        <w:t>relevance</w:t>
      </w:r>
      <w:r w:rsidRPr="00E25ED2">
        <w:rPr>
          <w:rFonts w:ascii="Segoe UI" w:hAnsi="Segoe UI" w:cs="Segoe UI"/>
        </w:rPr>
        <w:t>” e “</w:t>
      </w:r>
      <w:r w:rsidRPr="00E25ED2">
        <w:rPr>
          <w:rFonts w:ascii="Segoe UI" w:hAnsi="Segoe UI" w:cs="Segoe UI"/>
          <w:i/>
        </w:rPr>
        <w:t>materiality</w:t>
      </w:r>
      <w:r w:rsidRPr="00E25ED2">
        <w:rPr>
          <w:rFonts w:ascii="Segoe UI" w:hAnsi="Segoe UI" w:cs="Segoe UI"/>
        </w:rPr>
        <w:t>” (</w:t>
      </w:r>
      <w:r w:rsidR="005F3BAF">
        <w:rPr>
          <w:rFonts w:ascii="Segoe UI" w:hAnsi="Segoe UI" w:cs="Segoe UI"/>
        </w:rPr>
        <w:t>“</w:t>
      </w:r>
      <w:r w:rsidRPr="00E25ED2">
        <w:rPr>
          <w:rFonts w:ascii="Segoe UI" w:hAnsi="Segoe UI" w:cs="Segoe UI"/>
        </w:rPr>
        <w:t>rilevanza</w:t>
      </w:r>
      <w:r w:rsidR="005F3BAF">
        <w:rPr>
          <w:rFonts w:ascii="Segoe UI" w:hAnsi="Segoe UI" w:cs="Segoe UI"/>
        </w:rPr>
        <w:t>”</w:t>
      </w:r>
      <w:r w:rsidRPr="00E25ED2">
        <w:rPr>
          <w:rFonts w:ascii="Segoe UI" w:hAnsi="Segoe UI" w:cs="Segoe UI"/>
        </w:rPr>
        <w:t xml:space="preserve"> e </w:t>
      </w:r>
      <w:r w:rsidR="005F3BAF">
        <w:rPr>
          <w:rFonts w:ascii="Segoe UI" w:hAnsi="Segoe UI" w:cs="Segoe UI"/>
        </w:rPr>
        <w:t>“</w:t>
      </w:r>
      <w:r w:rsidRPr="00E25ED2">
        <w:rPr>
          <w:rFonts w:ascii="Segoe UI" w:hAnsi="Segoe UI" w:cs="Segoe UI"/>
        </w:rPr>
        <w:t>materialità</w:t>
      </w:r>
      <w:r w:rsidR="005F3BAF">
        <w:rPr>
          <w:rFonts w:ascii="Segoe UI" w:hAnsi="Segoe UI" w:cs="Segoe UI"/>
        </w:rPr>
        <w:t>”</w:t>
      </w:r>
      <w:r w:rsidRPr="00E25ED2">
        <w:rPr>
          <w:rFonts w:ascii="Segoe UI" w:hAnsi="Segoe UI" w:cs="Segoe UI"/>
        </w:rPr>
        <w:t xml:space="preserve"> nell’informativa </w:t>
      </w:r>
      <w:r w:rsidRPr="00E25ED2">
        <w:rPr>
          <w:rFonts w:ascii="Segoe UI" w:hAnsi="Segoe UI" w:cs="Segoe UI"/>
          <w:i/>
        </w:rPr>
        <w:t>non-financial</w:t>
      </w:r>
      <w:r w:rsidRPr="00E25ED2">
        <w:rPr>
          <w:rFonts w:ascii="Segoe UI" w:hAnsi="Segoe UI" w:cs="Segoe UI"/>
        </w:rPr>
        <w:t>); tuttavia, prima di illustrare e discutere le principali linee guida e gli approcci internazionali per comprenderne le modalità di applicazione, appare opportuno fornire alcune precisazioni con riferimento ai Principi contabili internazionali IAS/IFRS per l’informativa</w:t>
      </w:r>
      <w:r w:rsidRPr="00E25ED2">
        <w:rPr>
          <w:rFonts w:ascii="Segoe UI" w:hAnsi="Segoe UI" w:cs="Segoe UI"/>
          <w:i/>
        </w:rPr>
        <w:t xml:space="preserve"> financial</w:t>
      </w:r>
      <w:r w:rsidRPr="00E25ED2">
        <w:rPr>
          <w:rFonts w:ascii="Segoe UI" w:hAnsi="Segoe UI" w:cs="Segoe UI"/>
        </w:rPr>
        <w:t xml:space="preserve"> utili ai fini della definizione delle informazioni da includere nei </w:t>
      </w:r>
      <w:r w:rsidRPr="0011619C">
        <w:rPr>
          <w:rFonts w:ascii="Segoe UI" w:hAnsi="Segoe UI" w:cs="Segoe UI"/>
          <w:i/>
        </w:rPr>
        <w:t>report</w:t>
      </w:r>
      <w:r w:rsidRPr="00E25ED2">
        <w:rPr>
          <w:rFonts w:ascii="Segoe UI" w:hAnsi="Segoe UI" w:cs="Segoe UI"/>
        </w:rPr>
        <w:t>, con particolare riguardo a quanto previsto per i principi, appunto, di “</w:t>
      </w:r>
      <w:r w:rsidRPr="00E25ED2">
        <w:rPr>
          <w:rFonts w:ascii="Segoe UI" w:hAnsi="Segoe UI" w:cs="Segoe UI"/>
          <w:i/>
        </w:rPr>
        <w:t>relevance</w:t>
      </w:r>
      <w:r w:rsidRPr="00E25ED2">
        <w:rPr>
          <w:rFonts w:ascii="Segoe UI" w:hAnsi="Segoe UI" w:cs="Segoe UI"/>
        </w:rPr>
        <w:t>” e di “</w:t>
      </w:r>
      <w:r w:rsidRPr="00E25ED2">
        <w:rPr>
          <w:rFonts w:ascii="Segoe UI" w:hAnsi="Segoe UI" w:cs="Segoe UI"/>
          <w:i/>
        </w:rPr>
        <w:t>materiality</w:t>
      </w:r>
      <w:r w:rsidRPr="00E25ED2">
        <w:rPr>
          <w:rFonts w:ascii="Segoe UI" w:hAnsi="Segoe UI" w:cs="Segoe UI"/>
        </w:rPr>
        <w:t>”</w:t>
      </w:r>
      <w:r w:rsidR="008359BE">
        <w:rPr>
          <w:rFonts w:ascii="Segoe UI" w:hAnsi="Segoe UI" w:cs="Segoe UI"/>
        </w:rPr>
        <w:t xml:space="preserve"> (in questo paragrafo 5, in italiano, rispettivamente, “significatività” e “rilevanza”)</w:t>
      </w:r>
      <w:r w:rsidRPr="00E25ED2">
        <w:rPr>
          <w:rStyle w:val="Rimandonotaapidipagina"/>
          <w:rFonts w:cs="Segoe UI"/>
          <w:sz w:val="22"/>
        </w:rPr>
        <w:footnoteReference w:id="19"/>
      </w:r>
      <w:r w:rsidRPr="00E25ED2">
        <w:rPr>
          <w:rFonts w:ascii="Segoe UI" w:hAnsi="Segoe UI" w:cs="Segoe UI"/>
        </w:rPr>
        <w:t>.</w:t>
      </w:r>
    </w:p>
    <w:p w14:paraId="1DAF9E4B" w14:textId="77777777" w:rsidR="005B5C57" w:rsidRPr="00E25ED2" w:rsidRDefault="005B5C57" w:rsidP="005B5C57">
      <w:pPr>
        <w:autoSpaceDE w:val="0"/>
        <w:autoSpaceDN w:val="0"/>
        <w:adjustRightInd w:val="0"/>
        <w:spacing w:before="120" w:after="120" w:line="240" w:lineRule="auto"/>
        <w:jc w:val="both"/>
        <w:rPr>
          <w:rFonts w:ascii="Segoe UI" w:hAnsi="Segoe UI" w:cs="Segoe UI"/>
        </w:rPr>
      </w:pPr>
      <w:r w:rsidRPr="00E25ED2">
        <w:rPr>
          <w:rFonts w:ascii="Segoe UI" w:hAnsi="Segoe UI" w:cs="Segoe UI"/>
        </w:rPr>
        <w:t xml:space="preserve">I Principi contabili internazionali (IAS/IFRS), dopo aver evidenziato il collegamento tra l’utilità di un’informazione ai fini della presentazione nell’informativa </w:t>
      </w:r>
      <w:r w:rsidRPr="00E25ED2">
        <w:rPr>
          <w:rFonts w:ascii="Segoe UI" w:hAnsi="Segoe UI" w:cs="Segoe UI"/>
          <w:i/>
        </w:rPr>
        <w:t xml:space="preserve">financial </w:t>
      </w:r>
      <w:r w:rsidRPr="00E25ED2">
        <w:rPr>
          <w:rFonts w:ascii="Segoe UI" w:hAnsi="Segoe UI" w:cs="Segoe UI"/>
        </w:rPr>
        <w:t>e</w:t>
      </w:r>
      <w:r w:rsidRPr="00E25ED2">
        <w:rPr>
          <w:rFonts w:ascii="Segoe UI" w:hAnsi="Segoe UI" w:cs="Segoe UI"/>
          <w:i/>
        </w:rPr>
        <w:t xml:space="preserve"> </w:t>
      </w:r>
      <w:r w:rsidRPr="00E25ED2">
        <w:rPr>
          <w:rFonts w:ascii="Segoe UI" w:hAnsi="Segoe UI" w:cs="Segoe UI"/>
        </w:rPr>
        <w:t>la sua significatività (</w:t>
      </w:r>
      <w:r w:rsidRPr="00E25ED2">
        <w:rPr>
          <w:rFonts w:ascii="Segoe UI" w:hAnsi="Segoe UI" w:cs="Segoe UI"/>
          <w:i/>
        </w:rPr>
        <w:t>relevance</w:t>
      </w:r>
      <w:r w:rsidRPr="00E25ED2">
        <w:rPr>
          <w:rFonts w:ascii="Segoe UI" w:hAnsi="Segoe UI" w:cs="Segoe UI"/>
        </w:rPr>
        <w:t>), delineano quest’ultimo concetto affermando che un’informazione è significativa quando è in grado di influenzare le decisioni economiche degli utilizzatori</w:t>
      </w:r>
      <w:r w:rsidRPr="00E25ED2">
        <w:rPr>
          <w:rStyle w:val="Rimandonotaapidipagina"/>
          <w:rFonts w:cs="Segoe UI"/>
          <w:sz w:val="22"/>
        </w:rPr>
        <w:footnoteReference w:id="20"/>
      </w:r>
      <w:r w:rsidRPr="00E25ED2">
        <w:rPr>
          <w:rFonts w:ascii="Segoe UI" w:hAnsi="Segoe UI" w:cs="Segoe UI"/>
        </w:rPr>
        <w:t>, aiutandoli a valutare gli eventi passati, presenti o futuri, oppure confermando o correggendo valutazioni da essi effettuate precedentemente</w:t>
      </w:r>
      <w:r w:rsidRPr="00E25ED2">
        <w:rPr>
          <w:rStyle w:val="Rimandonotaapidipagina"/>
          <w:rFonts w:cs="Segoe UI"/>
          <w:sz w:val="22"/>
        </w:rPr>
        <w:footnoteReference w:id="21"/>
      </w:r>
      <w:r w:rsidRPr="00E25ED2">
        <w:rPr>
          <w:rFonts w:ascii="Segoe UI" w:hAnsi="Segoe UI" w:cs="Segoe UI"/>
        </w:rPr>
        <w:t>.</w:t>
      </w:r>
    </w:p>
    <w:p w14:paraId="350BDBAC" w14:textId="024C8BDB" w:rsidR="00E25ED2" w:rsidRPr="00E25ED2" w:rsidRDefault="005B5C57" w:rsidP="005B5C57">
      <w:pPr>
        <w:autoSpaceDE w:val="0"/>
        <w:autoSpaceDN w:val="0"/>
        <w:adjustRightInd w:val="0"/>
        <w:spacing w:before="120" w:after="120" w:line="240" w:lineRule="auto"/>
        <w:jc w:val="both"/>
        <w:rPr>
          <w:rFonts w:ascii="Segoe UI" w:hAnsi="Segoe UI" w:cs="Segoe UI"/>
          <w:i/>
        </w:rPr>
      </w:pPr>
      <w:r w:rsidRPr="00E25ED2">
        <w:rPr>
          <w:rFonts w:ascii="Segoe UI" w:hAnsi="Segoe UI" w:cs="Segoe UI"/>
        </w:rPr>
        <w:t xml:space="preserve">Si osservi, quindi, come i Principi contabili internazionali (IAS/IFRS) considerino la significatività come </w:t>
      </w:r>
      <w:r w:rsidR="00E25ED2" w:rsidRPr="00E25ED2">
        <w:rPr>
          <w:rFonts w:ascii="Segoe UI" w:hAnsi="Segoe UI" w:cs="Segoe UI"/>
        </w:rPr>
        <w:t xml:space="preserve">una delle due </w:t>
      </w:r>
      <w:r w:rsidRPr="00E25ED2">
        <w:rPr>
          <w:rFonts w:ascii="Segoe UI" w:hAnsi="Segoe UI" w:cs="Segoe UI"/>
        </w:rPr>
        <w:t xml:space="preserve">proprietà che ogni </w:t>
      </w:r>
      <w:r w:rsidRPr="00E25ED2">
        <w:rPr>
          <w:rFonts w:ascii="Segoe UI" w:hAnsi="Segoe UI" w:cs="Segoe UI"/>
          <w:i/>
        </w:rPr>
        <w:t>item</w:t>
      </w:r>
      <w:r w:rsidRPr="00E25ED2">
        <w:rPr>
          <w:rFonts w:ascii="Segoe UI" w:hAnsi="Segoe UI" w:cs="Segoe UI"/>
        </w:rPr>
        <w:t xml:space="preserve"> incluso nel </w:t>
      </w:r>
      <w:r w:rsidRPr="00E25ED2">
        <w:rPr>
          <w:rFonts w:ascii="Segoe UI" w:hAnsi="Segoe UI" w:cs="Segoe UI"/>
          <w:i/>
        </w:rPr>
        <w:t>financial report</w:t>
      </w:r>
      <w:r w:rsidRPr="00E25ED2">
        <w:rPr>
          <w:rFonts w:ascii="Segoe UI" w:hAnsi="Segoe UI" w:cs="Segoe UI"/>
        </w:rPr>
        <w:t xml:space="preserve"> debba possedere nella misura in cui la singola voce </w:t>
      </w:r>
      <w:r w:rsidR="00E25ED2" w:rsidRPr="00E25ED2">
        <w:rPr>
          <w:rFonts w:ascii="Segoe UI" w:hAnsi="Segoe UI" w:cs="Segoe UI"/>
        </w:rPr>
        <w:t>possa acquisire una qualche utilità nell’</w:t>
      </w:r>
      <w:r w:rsidRPr="00E25ED2">
        <w:rPr>
          <w:rFonts w:ascii="Segoe UI" w:hAnsi="Segoe UI" w:cs="Segoe UI"/>
        </w:rPr>
        <w:t>influenzare le valutazioni e le decisioni de</w:t>
      </w:r>
      <w:r w:rsidR="00E25ED2" w:rsidRPr="00E25ED2">
        <w:rPr>
          <w:rFonts w:ascii="Segoe UI" w:hAnsi="Segoe UI" w:cs="Segoe UI"/>
        </w:rPr>
        <w:t xml:space="preserve">gli </w:t>
      </w:r>
      <w:r w:rsidR="00E25ED2" w:rsidRPr="00E25ED2">
        <w:rPr>
          <w:rFonts w:ascii="Segoe UI" w:hAnsi="Segoe UI" w:cs="Segoe UI"/>
          <w:i/>
        </w:rPr>
        <w:t>user</w:t>
      </w:r>
      <w:r w:rsidR="00E25ED2" w:rsidRPr="00E25ED2">
        <w:rPr>
          <w:rStyle w:val="Rimandonotaapidipagina"/>
          <w:rFonts w:cs="Segoe UI"/>
          <w:i/>
          <w:sz w:val="22"/>
        </w:rPr>
        <w:footnoteReference w:id="22"/>
      </w:r>
      <w:r w:rsidR="00E25ED2" w:rsidRPr="00E25ED2">
        <w:rPr>
          <w:rFonts w:ascii="Segoe UI" w:hAnsi="Segoe UI" w:cs="Segoe UI"/>
          <w:i/>
        </w:rPr>
        <w:t>.</w:t>
      </w:r>
    </w:p>
    <w:p w14:paraId="0E2341CC" w14:textId="7F140983" w:rsidR="00E25ED2" w:rsidRPr="00E25ED2" w:rsidRDefault="00E25ED2" w:rsidP="00E25ED2">
      <w:pPr>
        <w:spacing w:before="120" w:after="120" w:line="240" w:lineRule="auto"/>
        <w:jc w:val="both"/>
        <w:rPr>
          <w:rFonts w:ascii="Segoe UI" w:hAnsi="Segoe UI" w:cs="Segoe UI"/>
          <w:i/>
        </w:rPr>
      </w:pPr>
      <w:r w:rsidRPr="00E25ED2">
        <w:rPr>
          <w:rFonts w:ascii="Segoe UI" w:hAnsi="Segoe UI" w:cs="Segoe UI"/>
        </w:rPr>
        <w:t>Nell’approccio dei Principi contabili internazionali il concetto di rilevanza (</w:t>
      </w:r>
      <w:r w:rsidRPr="00E25ED2">
        <w:rPr>
          <w:rFonts w:ascii="Segoe UI" w:hAnsi="Segoe UI" w:cs="Segoe UI"/>
          <w:i/>
        </w:rPr>
        <w:t>materiality</w:t>
      </w:r>
      <w:r w:rsidRPr="00E25ED2">
        <w:rPr>
          <w:rFonts w:ascii="Segoe UI" w:hAnsi="Segoe UI" w:cs="Segoe UI"/>
        </w:rPr>
        <w:t>) è poi, a sua volta, collegato a quello di significatività (</w:t>
      </w:r>
      <w:r w:rsidRPr="00E25ED2">
        <w:rPr>
          <w:rFonts w:ascii="Segoe UI" w:hAnsi="Segoe UI" w:cs="Segoe UI"/>
          <w:i/>
        </w:rPr>
        <w:t>relevance</w:t>
      </w:r>
      <w:r w:rsidRPr="00E25ED2">
        <w:rPr>
          <w:rFonts w:ascii="Segoe UI" w:hAnsi="Segoe UI" w:cs="Segoe UI"/>
        </w:rPr>
        <w:t xml:space="preserve">), nel senso che il secondo acquista senso e “concretezza” nelle fattispecie anche per il tramite del primo. Non a caso, </w:t>
      </w:r>
      <w:r w:rsidR="00BB20D4" w:rsidRPr="00BB20D4">
        <w:rPr>
          <w:rFonts w:ascii="Segoe UI" w:hAnsi="Segoe UI" w:cs="Segoe UI"/>
        </w:rPr>
        <w:t>l’International Accounting Standards Board (IASB</w:t>
      </w:r>
      <w:r w:rsidR="00BB20D4">
        <w:rPr>
          <w:rFonts w:ascii="Segoe UI" w:hAnsi="Segoe UI" w:cs="Segoe UI"/>
        </w:rPr>
        <w:t xml:space="preserve">), nel </w:t>
      </w:r>
      <w:r w:rsidR="00513C13">
        <w:rPr>
          <w:rFonts w:ascii="Segoe UI" w:hAnsi="Segoe UI" w:cs="Segoe UI"/>
        </w:rPr>
        <w:t>“</w:t>
      </w:r>
      <w:r w:rsidRPr="00E25ED2">
        <w:rPr>
          <w:rFonts w:ascii="Segoe UI" w:hAnsi="Segoe UI" w:cs="Segoe UI"/>
        </w:rPr>
        <w:t xml:space="preserve">Conceptual Framework </w:t>
      </w:r>
      <w:r w:rsidR="00513C13" w:rsidRPr="00513C13">
        <w:rPr>
          <w:rFonts w:ascii="Segoe UI" w:hAnsi="Segoe UI" w:cs="Segoe UI"/>
        </w:rPr>
        <w:t>for Financial Reporting</w:t>
      </w:r>
      <w:r w:rsidR="00513C13">
        <w:rPr>
          <w:rFonts w:ascii="Segoe UI" w:hAnsi="Segoe UI" w:cs="Segoe UI"/>
        </w:rPr>
        <w:t>”</w:t>
      </w:r>
      <w:r w:rsidR="00BB20D4">
        <w:rPr>
          <w:rFonts w:ascii="Segoe UI" w:hAnsi="Segoe UI" w:cs="Segoe UI"/>
        </w:rPr>
        <w:t xml:space="preserve">, ha concepito il rapporto tra i due concetti (strutturando di conseguenza la relativa sezione) </w:t>
      </w:r>
      <w:r w:rsidRPr="00E25ED2">
        <w:rPr>
          <w:rFonts w:ascii="Segoe UI" w:hAnsi="Segoe UI" w:cs="Segoe UI"/>
        </w:rPr>
        <w:t>riporta</w:t>
      </w:r>
      <w:r w:rsidR="00BB20D4">
        <w:rPr>
          <w:rFonts w:ascii="Segoe UI" w:hAnsi="Segoe UI" w:cs="Segoe UI"/>
        </w:rPr>
        <w:t xml:space="preserve">ndo </w:t>
      </w:r>
      <w:r w:rsidRPr="00E25ED2">
        <w:rPr>
          <w:rFonts w:ascii="Segoe UI" w:hAnsi="Segoe UI" w:cs="Segoe UI"/>
        </w:rPr>
        <w:t>la definizione di “</w:t>
      </w:r>
      <w:r w:rsidRPr="00E25ED2">
        <w:rPr>
          <w:rFonts w:ascii="Segoe UI" w:hAnsi="Segoe UI" w:cs="Segoe UI"/>
          <w:i/>
        </w:rPr>
        <w:t>Materiality</w:t>
      </w:r>
      <w:r w:rsidRPr="00E25ED2">
        <w:rPr>
          <w:rFonts w:ascii="Segoe UI" w:hAnsi="Segoe UI" w:cs="Segoe UI"/>
        </w:rPr>
        <w:t>” come una “sotto-rubrica” della “</w:t>
      </w:r>
      <w:r w:rsidRPr="00E25ED2">
        <w:rPr>
          <w:rFonts w:ascii="Segoe UI" w:hAnsi="Segoe UI" w:cs="Segoe UI"/>
          <w:i/>
        </w:rPr>
        <w:t>Relevance</w:t>
      </w:r>
      <w:r w:rsidRPr="00E25ED2">
        <w:rPr>
          <w:rFonts w:ascii="Segoe UI" w:hAnsi="Segoe UI" w:cs="Segoe UI"/>
        </w:rPr>
        <w:t>”, la quale, insieme alla “</w:t>
      </w:r>
      <w:r w:rsidRPr="00E25ED2">
        <w:rPr>
          <w:rFonts w:ascii="Segoe UI" w:eastAsia="Times New Roman" w:hAnsi="Segoe UI" w:cs="Segoe UI"/>
          <w:i/>
          <w:lang w:eastAsia="it-IT"/>
        </w:rPr>
        <w:t>Faithful representation</w:t>
      </w:r>
      <w:r w:rsidRPr="00E25ED2">
        <w:rPr>
          <w:rFonts w:ascii="Segoe UI" w:eastAsia="Times New Roman" w:hAnsi="Segoe UI" w:cs="Segoe UI"/>
          <w:lang w:eastAsia="it-IT"/>
        </w:rPr>
        <w:t>”, costituisce, appunto, una delle due “</w:t>
      </w:r>
      <w:r w:rsidRPr="00E25ED2">
        <w:rPr>
          <w:rFonts w:ascii="Segoe UI" w:hAnsi="Segoe UI" w:cs="Segoe UI"/>
          <w:i/>
        </w:rPr>
        <w:t>Fundamental qualitative characteristics of useful financial information”.</w:t>
      </w:r>
    </w:p>
    <w:p w14:paraId="75587284" w14:textId="5E205B80" w:rsidR="005B5C57" w:rsidRPr="00E25ED2" w:rsidRDefault="00E25ED2" w:rsidP="005B5C57">
      <w:pPr>
        <w:autoSpaceDE w:val="0"/>
        <w:autoSpaceDN w:val="0"/>
        <w:adjustRightInd w:val="0"/>
        <w:spacing w:before="120" w:after="120" w:line="240" w:lineRule="auto"/>
        <w:jc w:val="both"/>
        <w:rPr>
          <w:rFonts w:ascii="Segoe UI" w:hAnsi="Segoe UI" w:cs="Segoe UI"/>
          <w:i/>
          <w:lang w:val="en-US"/>
        </w:rPr>
      </w:pPr>
      <w:r w:rsidRPr="008359BE">
        <w:rPr>
          <w:rFonts w:ascii="Segoe UI" w:hAnsi="Segoe UI" w:cs="Segoe UI"/>
        </w:rPr>
        <w:t xml:space="preserve">Ma andiamo con ordine. </w:t>
      </w:r>
      <w:r w:rsidR="005B5C57" w:rsidRPr="008359BE">
        <w:rPr>
          <w:rFonts w:ascii="Segoe UI" w:hAnsi="Segoe UI" w:cs="Segoe UI"/>
        </w:rPr>
        <w:t xml:space="preserve">Scendendo nello specifico, subito dopo </w:t>
      </w:r>
      <w:r w:rsidR="00513C13" w:rsidRPr="008359BE">
        <w:rPr>
          <w:rFonts w:ascii="Segoe UI" w:hAnsi="Segoe UI" w:cs="Segoe UI"/>
        </w:rPr>
        <w:t>la definizione di “</w:t>
      </w:r>
      <w:r w:rsidR="00513C13" w:rsidRPr="008359BE">
        <w:rPr>
          <w:rFonts w:ascii="Segoe UI" w:hAnsi="Segoe UI" w:cs="Segoe UI"/>
          <w:i/>
        </w:rPr>
        <w:t>Relevance</w:t>
      </w:r>
      <w:r w:rsidR="00513C13" w:rsidRPr="008359BE">
        <w:rPr>
          <w:rFonts w:ascii="Segoe UI" w:hAnsi="Segoe UI" w:cs="Segoe UI"/>
        </w:rPr>
        <w:t xml:space="preserve">”, </w:t>
      </w:r>
      <w:r w:rsidR="005B5C57" w:rsidRPr="008359BE">
        <w:rPr>
          <w:rFonts w:ascii="Segoe UI" w:hAnsi="Segoe UI" w:cs="Segoe UI"/>
        </w:rPr>
        <w:t>l</w:t>
      </w:r>
      <w:r w:rsidR="00BB20D4" w:rsidRPr="008359BE">
        <w:rPr>
          <w:rFonts w:ascii="Segoe UI" w:hAnsi="Segoe UI" w:cs="Segoe UI"/>
        </w:rPr>
        <w:t xml:space="preserve">o IASB </w:t>
      </w:r>
      <w:r w:rsidR="005B5C57" w:rsidRPr="008359BE">
        <w:rPr>
          <w:rFonts w:ascii="Segoe UI" w:hAnsi="Segoe UI" w:cs="Segoe UI"/>
        </w:rPr>
        <w:t xml:space="preserve">definisce la </w:t>
      </w:r>
      <w:r w:rsidR="005B5C57" w:rsidRPr="008359BE">
        <w:rPr>
          <w:rFonts w:ascii="Segoe UI" w:hAnsi="Segoe UI" w:cs="Segoe UI"/>
          <w:i/>
        </w:rPr>
        <w:t>materiality</w:t>
      </w:r>
      <w:r w:rsidR="005B5C57" w:rsidRPr="008359BE">
        <w:rPr>
          <w:rFonts w:ascii="Segoe UI" w:hAnsi="Segoe UI" w:cs="Segoe UI"/>
        </w:rPr>
        <w:t xml:space="preserve"> come segue: “</w:t>
      </w:r>
      <w:r w:rsidR="005B5C57" w:rsidRPr="008359BE">
        <w:rPr>
          <w:rFonts w:ascii="Segoe UI" w:hAnsi="Segoe UI" w:cs="Segoe UI"/>
          <w:i/>
        </w:rPr>
        <w:t xml:space="preserve">Information is material if omitting or misstating it could influence decisions that users make on the basis of financial information about specific reporting entity. </w:t>
      </w:r>
      <w:r w:rsidR="005B5C57" w:rsidRPr="00E25ED2">
        <w:rPr>
          <w:rFonts w:ascii="Segoe UI" w:hAnsi="Segoe UI" w:cs="Segoe UI"/>
          <w:i/>
          <w:lang w:val="en-GB"/>
        </w:rPr>
        <w:t>In other words, materiality is an entity-specific aspect of relevance based on the nature or magnitude of both, of the item to which the information relates in the context of an individual entity’s financial report. Consequently, the Board cannot specify a uniform quantitative threshold for materiality or predetermine what could be material in a particular situation”</w:t>
      </w:r>
      <w:r w:rsidR="005B5C57" w:rsidRPr="00E25ED2">
        <w:rPr>
          <w:rStyle w:val="Rimandonotaapidipagina"/>
          <w:rFonts w:cs="Segoe UI"/>
          <w:i/>
          <w:sz w:val="22"/>
          <w:lang w:val="en-GB"/>
        </w:rPr>
        <w:footnoteReference w:id="23"/>
      </w:r>
      <w:r w:rsidR="005B5C57" w:rsidRPr="00E25ED2">
        <w:rPr>
          <w:rFonts w:ascii="Segoe UI" w:hAnsi="Segoe UI" w:cs="Segoe UI"/>
          <w:i/>
          <w:lang w:val="en-GB"/>
        </w:rPr>
        <w:t>.</w:t>
      </w:r>
    </w:p>
    <w:p w14:paraId="5D2E38E6" w14:textId="77777777" w:rsidR="005B5C57" w:rsidRPr="00E25ED2" w:rsidRDefault="005B5C57" w:rsidP="005B5C57">
      <w:pPr>
        <w:autoSpaceDE w:val="0"/>
        <w:autoSpaceDN w:val="0"/>
        <w:adjustRightInd w:val="0"/>
        <w:spacing w:before="120" w:after="120" w:line="240" w:lineRule="auto"/>
        <w:jc w:val="both"/>
        <w:rPr>
          <w:rFonts w:ascii="Segoe UI" w:hAnsi="Segoe UI" w:cs="Segoe UI"/>
        </w:rPr>
      </w:pPr>
      <w:r w:rsidRPr="00E25ED2">
        <w:rPr>
          <w:rFonts w:ascii="Segoe UI" w:hAnsi="Segoe UI" w:cs="Segoe UI"/>
        </w:rPr>
        <w:t xml:space="preserve">Il concetto di </w:t>
      </w:r>
      <w:r w:rsidRPr="00E25ED2">
        <w:rPr>
          <w:rFonts w:ascii="Segoe UI" w:hAnsi="Segoe UI" w:cs="Segoe UI"/>
          <w:i/>
        </w:rPr>
        <w:t>materiality</w:t>
      </w:r>
      <w:r w:rsidRPr="00E25ED2">
        <w:rPr>
          <w:rFonts w:ascii="Segoe UI" w:hAnsi="Segoe UI" w:cs="Segoe UI"/>
        </w:rPr>
        <w:t xml:space="preserve"> secondo i Principi contabili internazionali sembra quindi dipendere anche dalla “dimensione” della fattispecie o dell’errore, contestualizzati alla luce delle particolari circostanze in cui esso si verifica; in questo senso, la </w:t>
      </w:r>
      <w:r w:rsidRPr="00E25ED2">
        <w:rPr>
          <w:rFonts w:ascii="Segoe UI" w:hAnsi="Segoe UI" w:cs="Segoe UI"/>
          <w:i/>
        </w:rPr>
        <w:t>materiality</w:t>
      </w:r>
      <w:r w:rsidRPr="00E25ED2">
        <w:rPr>
          <w:rFonts w:ascii="Segoe UI" w:hAnsi="Segoe UI" w:cs="Segoe UI"/>
        </w:rPr>
        <w:t xml:space="preserve"> non è tanto una caratteristica qualitativa che l’informazione deve possedere per essere ritenuta utile, bensì una sorta di soglia, o punto di </w:t>
      </w:r>
      <w:r w:rsidRPr="00E25ED2">
        <w:rPr>
          <w:rFonts w:ascii="Segoe UI" w:hAnsi="Segoe UI" w:cs="Segoe UI"/>
          <w:i/>
        </w:rPr>
        <w:t>cut-off</w:t>
      </w:r>
      <w:r w:rsidRPr="00E25ED2">
        <w:rPr>
          <w:rFonts w:ascii="Segoe UI" w:hAnsi="Segoe UI" w:cs="Segoe UI"/>
        </w:rPr>
        <w:t>.</w:t>
      </w:r>
    </w:p>
    <w:p w14:paraId="5149AEA3" w14:textId="77777777" w:rsidR="005B5C57" w:rsidRPr="00E25ED2" w:rsidRDefault="005B5C57" w:rsidP="005B5C57">
      <w:pPr>
        <w:autoSpaceDE w:val="0"/>
        <w:autoSpaceDN w:val="0"/>
        <w:adjustRightInd w:val="0"/>
        <w:spacing w:before="120" w:after="120" w:line="240" w:lineRule="auto"/>
        <w:jc w:val="both"/>
        <w:rPr>
          <w:rFonts w:ascii="Segoe UI" w:hAnsi="Segoe UI" w:cs="Segoe UI"/>
        </w:rPr>
      </w:pPr>
      <w:r w:rsidRPr="00E25ED2">
        <w:rPr>
          <w:rFonts w:ascii="Segoe UI" w:hAnsi="Segoe UI" w:cs="Segoe UI"/>
        </w:rPr>
        <w:t>Con la precedente definizione si vuole affermare che la significatività dell’</w:t>
      </w:r>
      <w:r w:rsidRPr="00E25ED2">
        <w:rPr>
          <w:rFonts w:ascii="Segoe UI" w:hAnsi="Segoe UI" w:cs="Segoe UI"/>
          <w:i/>
        </w:rPr>
        <w:t>item</w:t>
      </w:r>
      <w:r w:rsidRPr="00E25ED2">
        <w:rPr>
          <w:rFonts w:ascii="Segoe UI" w:hAnsi="Segoe UI" w:cs="Segoe UI"/>
        </w:rPr>
        <w:t xml:space="preserve"> non implichi, necessariamente, la rilevanza dell’informazione ma che esse vadano giudicate in base alle circostanze (</w:t>
      </w:r>
      <w:r w:rsidRPr="00E25ED2">
        <w:rPr>
          <w:rFonts w:ascii="Segoe UI" w:hAnsi="Segoe UI" w:cs="Segoe UI"/>
          <w:i/>
        </w:rPr>
        <w:t>nature or magnitude of the</w:t>
      </w:r>
      <w:r w:rsidRPr="00E25ED2">
        <w:rPr>
          <w:rFonts w:ascii="Segoe UI" w:hAnsi="Segoe UI" w:cs="Segoe UI"/>
        </w:rPr>
        <w:t xml:space="preserve"> </w:t>
      </w:r>
      <w:r w:rsidRPr="00E25ED2">
        <w:rPr>
          <w:rFonts w:ascii="Segoe UI" w:hAnsi="Segoe UI" w:cs="Segoe UI"/>
          <w:i/>
        </w:rPr>
        <w:t>item</w:t>
      </w:r>
      <w:r w:rsidRPr="00E25ED2">
        <w:rPr>
          <w:rFonts w:ascii="Segoe UI" w:hAnsi="Segoe UI" w:cs="Segoe UI"/>
        </w:rPr>
        <w:t xml:space="preserve">) e che una maggiore precisione e dettaglio possano essere richieste da chi ritenga una voce particolarmente significativa per il </w:t>
      </w:r>
      <w:r w:rsidRPr="00E25ED2">
        <w:rPr>
          <w:rFonts w:ascii="Segoe UI" w:hAnsi="Segoe UI" w:cs="Segoe UI"/>
          <w:i/>
        </w:rPr>
        <w:t>report</w:t>
      </w:r>
      <w:r w:rsidRPr="00E25ED2">
        <w:rPr>
          <w:rFonts w:ascii="Segoe UI" w:hAnsi="Segoe UI" w:cs="Segoe UI"/>
        </w:rPr>
        <w:t xml:space="preserve"> dell’impresa.</w:t>
      </w:r>
    </w:p>
    <w:p w14:paraId="12BD9050" w14:textId="77777777" w:rsidR="005B5C57" w:rsidRPr="00E25ED2" w:rsidRDefault="005B5C57" w:rsidP="005B5C57">
      <w:pPr>
        <w:autoSpaceDE w:val="0"/>
        <w:autoSpaceDN w:val="0"/>
        <w:adjustRightInd w:val="0"/>
        <w:spacing w:before="120" w:after="120" w:line="240" w:lineRule="auto"/>
        <w:jc w:val="both"/>
        <w:rPr>
          <w:rFonts w:ascii="Segoe UI" w:hAnsi="Segoe UI" w:cs="Segoe UI"/>
        </w:rPr>
      </w:pPr>
      <w:r w:rsidRPr="00E25ED2">
        <w:rPr>
          <w:rFonts w:ascii="Segoe UI" w:hAnsi="Segoe UI" w:cs="Segoe UI"/>
        </w:rPr>
        <w:t xml:space="preserve">Infine, l’ultima categoria di informativa finanziaria è rappresentata dalle voci definite come </w:t>
      </w:r>
      <w:r w:rsidRPr="00E25ED2">
        <w:rPr>
          <w:rFonts w:ascii="Segoe UI" w:hAnsi="Segoe UI" w:cs="Segoe UI"/>
          <w:i/>
        </w:rPr>
        <w:t>immaterial</w:t>
      </w:r>
      <w:r w:rsidRPr="00E25ED2">
        <w:rPr>
          <w:rFonts w:ascii="Segoe UI" w:hAnsi="Segoe UI" w:cs="Segoe UI"/>
        </w:rPr>
        <w:t xml:space="preserve">. Queste ultime includono le informazioni non rilevanti per il </w:t>
      </w:r>
      <w:r w:rsidRPr="00E25ED2">
        <w:rPr>
          <w:rFonts w:ascii="Segoe UI" w:hAnsi="Segoe UI" w:cs="Segoe UI"/>
          <w:i/>
        </w:rPr>
        <w:t>business</w:t>
      </w:r>
      <w:r w:rsidRPr="00E25ED2">
        <w:rPr>
          <w:rFonts w:ascii="Segoe UI" w:hAnsi="Segoe UI" w:cs="Segoe UI"/>
        </w:rPr>
        <w:t xml:space="preserve"> e inidonee a influenzare il giudizio degli </w:t>
      </w:r>
      <w:r w:rsidRPr="00E25ED2">
        <w:rPr>
          <w:rFonts w:ascii="Segoe UI" w:hAnsi="Segoe UI" w:cs="Segoe UI"/>
          <w:i/>
        </w:rPr>
        <w:t>user</w:t>
      </w:r>
      <w:r w:rsidRPr="00E25ED2">
        <w:rPr>
          <w:rFonts w:ascii="Segoe UI" w:hAnsi="Segoe UI" w:cs="Segoe UI"/>
        </w:rPr>
        <w:t xml:space="preserve"> dell’informativa finanziaria.</w:t>
      </w:r>
    </w:p>
    <w:p w14:paraId="0D561286" w14:textId="77777777" w:rsidR="005B5C57" w:rsidRPr="00E25ED2" w:rsidRDefault="005B5C57" w:rsidP="005B5C57">
      <w:pPr>
        <w:autoSpaceDE w:val="0"/>
        <w:autoSpaceDN w:val="0"/>
        <w:adjustRightInd w:val="0"/>
        <w:spacing w:before="120" w:after="120" w:line="240" w:lineRule="auto"/>
        <w:jc w:val="both"/>
        <w:rPr>
          <w:rFonts w:ascii="Segoe UI" w:hAnsi="Segoe UI" w:cs="Segoe UI"/>
        </w:rPr>
      </w:pPr>
      <w:r w:rsidRPr="00E25ED2">
        <w:rPr>
          <w:rFonts w:ascii="Segoe UI" w:hAnsi="Segoe UI" w:cs="Segoe UI"/>
        </w:rPr>
        <w:t>Nel contesto europeo, sempre in ambito di bilancio di esercizio, la direttiva 2013/34/UE, all’art. 2, punto 16, riprende alcuni aspetti degli IAS/IFRS, fornendo la seguente definizione di “</w:t>
      </w:r>
      <w:r w:rsidRPr="00E25ED2">
        <w:rPr>
          <w:rFonts w:ascii="Segoe UI" w:hAnsi="Segoe UI" w:cs="Segoe UI"/>
          <w:i/>
        </w:rPr>
        <w:t>material</w:t>
      </w:r>
      <w:r w:rsidRPr="00E25ED2">
        <w:rPr>
          <w:rFonts w:ascii="Segoe UI" w:hAnsi="Segoe UI" w:cs="Segoe UI"/>
        </w:rPr>
        <w:t>” (rilevante): “</w:t>
      </w:r>
      <w:r w:rsidRPr="00E25ED2">
        <w:rPr>
          <w:rFonts w:ascii="Segoe UI" w:hAnsi="Segoe UI" w:cs="Segoe UI"/>
          <w:i/>
        </w:rPr>
        <w:t>lo stato dell'informazione quando la sua omissione o errata indicazione potrebbe ragionevolmente influenzare le decisioni prese dagli utilizzatori sulla base del bilancio dell'impresa. La rilevanza delle singole voci è giudicata nel contesto di altre voci analoghe</w:t>
      </w:r>
      <w:r w:rsidRPr="00E25ED2">
        <w:rPr>
          <w:rFonts w:ascii="Segoe UI" w:hAnsi="Segoe UI" w:cs="Segoe UI"/>
        </w:rPr>
        <w:t>”</w:t>
      </w:r>
      <w:r w:rsidRPr="00E25ED2">
        <w:rPr>
          <w:rStyle w:val="Rimandonotaapidipagina"/>
          <w:rFonts w:cs="Segoe UI"/>
          <w:sz w:val="22"/>
        </w:rPr>
        <w:t xml:space="preserve"> </w:t>
      </w:r>
      <w:r w:rsidRPr="00E25ED2">
        <w:rPr>
          <w:rStyle w:val="Rimandonotaapidipagina"/>
          <w:rFonts w:cs="Segoe UI"/>
          <w:sz w:val="22"/>
        </w:rPr>
        <w:footnoteReference w:id="24"/>
      </w:r>
      <w:r w:rsidRPr="00E25ED2">
        <w:rPr>
          <w:rFonts w:ascii="Segoe UI" w:hAnsi="Segoe UI" w:cs="Segoe UI"/>
        </w:rPr>
        <w:t>.</w:t>
      </w:r>
    </w:p>
    <w:p w14:paraId="3A1160C4" w14:textId="77777777" w:rsidR="005B5C57" w:rsidRPr="00E25ED2" w:rsidRDefault="005B5C57" w:rsidP="005B5C57">
      <w:pPr>
        <w:autoSpaceDE w:val="0"/>
        <w:autoSpaceDN w:val="0"/>
        <w:adjustRightInd w:val="0"/>
        <w:spacing w:before="120" w:after="120" w:line="240" w:lineRule="auto"/>
        <w:jc w:val="both"/>
        <w:rPr>
          <w:rFonts w:ascii="Segoe UI" w:hAnsi="Segoe UI" w:cs="Segoe UI"/>
          <w:szCs w:val="20"/>
        </w:rPr>
      </w:pPr>
      <w:r w:rsidRPr="00E25ED2">
        <w:rPr>
          <w:rFonts w:ascii="Segoe UI" w:hAnsi="Segoe UI" w:cs="Segoe UI"/>
          <w:szCs w:val="20"/>
        </w:rPr>
        <w:t>In Italia, con il recepimento della suddetta direttiva, avvenuto tramite il d.lgs. n. 139/2015, viene normativamente introdotto il principio della rilevanza, modificando l’art. 2423, co. 4, c.c., stabilendo che: “</w:t>
      </w:r>
      <w:r w:rsidRPr="00E25ED2">
        <w:rPr>
          <w:rFonts w:ascii="Segoe UI" w:hAnsi="Segoe UI" w:cs="Segoe UI"/>
          <w:i/>
          <w:szCs w:val="20"/>
        </w:rPr>
        <w:t>Non occorre rispettare gli obblighi in tema di rilevazione, valutazione, presentazione e informativa quando la loro osservanza abbia effetti irrilevanti al fine di dare una rappresentazione veritiera e corretta.</w:t>
      </w:r>
      <w:r w:rsidRPr="00E25ED2">
        <w:rPr>
          <w:rFonts w:ascii="Segoe UI" w:hAnsi="Segoe UI" w:cs="Segoe UI"/>
          <w:szCs w:val="20"/>
        </w:rPr>
        <w:t>” Il principio di “rilevanza” era già presente nei principi contabili nazionali: in particolare, l’OIC 11 prevede tra i postulati di bilancio quello della “Significatività e rilevanza dei fatti economici ai fini della loro presentazione in bilancio”, affermando che “</w:t>
      </w:r>
      <w:r w:rsidRPr="00E25ED2">
        <w:rPr>
          <w:rFonts w:ascii="Segoe UI" w:hAnsi="Segoe UI" w:cs="Segoe UI"/>
          <w:i/>
          <w:szCs w:val="20"/>
        </w:rPr>
        <w:t xml:space="preserve">Il bilancio d'esercizio deve esporre solo quelle informazioni che hanno un effetto significativo e rilevante sui dati di bilancio o sul processo decisionale dei destinatari. Il principio di significatività trova anche riscontro in numerose norme relative alla redazione e al contenuto del bilancio. Il procedimento di formazione del bilancio implica delle stime o previsioni. </w:t>
      </w:r>
      <w:r w:rsidRPr="00E25ED2">
        <w:rPr>
          <w:rFonts w:ascii="Segoe UI" w:hAnsi="Segoe UI" w:cs="Segoe UI"/>
          <w:szCs w:val="20"/>
        </w:rPr>
        <w:t>[…]</w:t>
      </w:r>
      <w:r w:rsidRPr="00E25ED2">
        <w:rPr>
          <w:rFonts w:ascii="Segoe UI" w:hAnsi="Segoe UI" w:cs="Segoe UI"/>
          <w:i/>
          <w:szCs w:val="20"/>
        </w:rPr>
        <w:t xml:space="preserve"> Errori, semplificazioni e arrotondamenti sono tecnicamente inevitabili e trovano il loro limite nel concetto di rilevanza; essi cioè non devono essere di portata tale da avere un effetto rilevante sui dati di bilancio e sul loro significato per i destinatari</w:t>
      </w:r>
      <w:r w:rsidRPr="00E25ED2">
        <w:rPr>
          <w:rFonts w:ascii="Segoe UI" w:hAnsi="Segoe UI" w:cs="Segoe UI"/>
          <w:szCs w:val="20"/>
        </w:rPr>
        <w:t>”.</w:t>
      </w:r>
    </w:p>
    <w:p w14:paraId="47BA20FC" w14:textId="77777777" w:rsidR="005B5C57" w:rsidRPr="00E25ED2" w:rsidRDefault="005B5C57" w:rsidP="005B5C57">
      <w:pPr>
        <w:autoSpaceDE w:val="0"/>
        <w:autoSpaceDN w:val="0"/>
        <w:adjustRightInd w:val="0"/>
        <w:spacing w:before="120" w:after="120" w:line="240" w:lineRule="auto"/>
        <w:jc w:val="both"/>
        <w:rPr>
          <w:rFonts w:ascii="Segoe UI" w:hAnsi="Segoe UI" w:cs="Segoe UI"/>
          <w:szCs w:val="20"/>
        </w:rPr>
      </w:pPr>
      <w:r w:rsidRPr="00E25ED2">
        <w:rPr>
          <w:rFonts w:ascii="Segoe UI" w:hAnsi="Segoe UI" w:cs="Segoe UI"/>
          <w:szCs w:val="20"/>
        </w:rPr>
        <w:t xml:space="preserve">In termini generali, nell’informativa </w:t>
      </w:r>
      <w:r w:rsidRPr="00E25ED2">
        <w:rPr>
          <w:rFonts w:ascii="Segoe UI" w:hAnsi="Segoe UI" w:cs="Segoe UI"/>
          <w:i/>
          <w:szCs w:val="20"/>
        </w:rPr>
        <w:t xml:space="preserve">financial </w:t>
      </w:r>
      <w:r w:rsidRPr="00E25ED2">
        <w:rPr>
          <w:rFonts w:ascii="Segoe UI" w:hAnsi="Segoe UI" w:cs="Segoe UI"/>
          <w:szCs w:val="20"/>
        </w:rPr>
        <w:t xml:space="preserve">il concetto di rilevanza poggia sul riferimento ai destinatari del </w:t>
      </w:r>
      <w:r w:rsidRPr="00B07622">
        <w:rPr>
          <w:rFonts w:ascii="Segoe UI" w:hAnsi="Segoe UI" w:cs="Segoe UI"/>
          <w:i/>
          <w:szCs w:val="20"/>
        </w:rPr>
        <w:t>report</w:t>
      </w:r>
      <w:r w:rsidRPr="00E25ED2">
        <w:rPr>
          <w:rFonts w:ascii="Segoe UI" w:hAnsi="Segoe UI" w:cs="Segoe UI"/>
          <w:szCs w:val="20"/>
        </w:rPr>
        <w:t xml:space="preserve"> e alle potenziali ripercussioni sul loro processo decisionale tramite i contenuti forniti dall’impresa nella rendicontazione.</w:t>
      </w:r>
    </w:p>
    <w:p w14:paraId="4A903EF6" w14:textId="67A8E79A" w:rsidR="005B5C57" w:rsidRDefault="005B5C57" w:rsidP="005B5C57">
      <w:pPr>
        <w:autoSpaceDE w:val="0"/>
        <w:autoSpaceDN w:val="0"/>
        <w:adjustRightInd w:val="0"/>
        <w:spacing w:before="120" w:after="120" w:line="240" w:lineRule="auto"/>
        <w:jc w:val="both"/>
        <w:rPr>
          <w:rFonts w:ascii="Segoe UI" w:hAnsi="Segoe UI" w:cs="Segoe UI"/>
          <w:szCs w:val="20"/>
        </w:rPr>
      </w:pPr>
      <w:r w:rsidRPr="00E25ED2">
        <w:rPr>
          <w:rFonts w:ascii="Segoe UI" w:hAnsi="Segoe UI" w:cs="Segoe UI"/>
          <w:szCs w:val="20"/>
        </w:rPr>
        <w:t>Calando la definizione degli IAS/IFRS nel contesto della rendicontazione non finanziaria, si potrebbe dunque in prima approssimazione sostenere che</w:t>
      </w:r>
      <w:r w:rsidR="00D1479C">
        <w:rPr>
          <w:rFonts w:ascii="Segoe UI" w:hAnsi="Segoe UI" w:cs="Segoe UI"/>
          <w:szCs w:val="20"/>
        </w:rPr>
        <w:t xml:space="preserve"> in quella sede </w:t>
      </w:r>
      <w:r w:rsidRPr="00E25ED2">
        <w:rPr>
          <w:rFonts w:ascii="Segoe UI" w:hAnsi="Segoe UI" w:cs="Segoe UI"/>
          <w:szCs w:val="20"/>
        </w:rPr>
        <w:t>debbano esser fornite informazioni economiche, sociali ed ambientali quando la loro mancanza o la loro inesatta indicazione possano influenzare giudizi, decisioni, azioni degli</w:t>
      </w:r>
      <w:r w:rsidRPr="00E25ED2">
        <w:rPr>
          <w:rFonts w:ascii="Segoe UI" w:hAnsi="Segoe UI" w:cs="Segoe UI"/>
          <w:i/>
          <w:szCs w:val="20"/>
        </w:rPr>
        <w:t xml:space="preserve"> stakeholder</w:t>
      </w:r>
      <w:r w:rsidRPr="00E25ED2">
        <w:rPr>
          <w:rFonts w:ascii="Segoe UI" w:hAnsi="Segoe UI" w:cs="Segoe UI"/>
          <w:szCs w:val="20"/>
        </w:rPr>
        <w:t xml:space="preserve"> di riferimento; tale definizione, tuttavia, come si vedrà in seguito, non è scevra di elementi di complessità, riguardo ad aspetti soprattutto di carattere qualitativo che rendono di fatto difficilmente praticabile un approccio esclusivamente quantitativo nell’individuazione di una soglia per la determinazione della </w:t>
      </w:r>
      <w:r w:rsidRPr="00E25ED2">
        <w:rPr>
          <w:rFonts w:ascii="Segoe UI" w:hAnsi="Segoe UI" w:cs="Segoe UI"/>
          <w:i/>
          <w:szCs w:val="20"/>
        </w:rPr>
        <w:t>materiality</w:t>
      </w:r>
      <w:r w:rsidRPr="00E25ED2">
        <w:rPr>
          <w:rFonts w:ascii="Segoe UI" w:hAnsi="Segoe UI" w:cs="Segoe UI"/>
          <w:szCs w:val="20"/>
        </w:rPr>
        <w:t xml:space="preserve"> mutuando, in pratica, l’approccio adottato dalla prassi </w:t>
      </w:r>
      <w:r w:rsidRPr="00E25ED2">
        <w:rPr>
          <w:rFonts w:ascii="Segoe UI" w:hAnsi="Segoe UI" w:cs="Segoe UI"/>
          <w:i/>
          <w:szCs w:val="20"/>
        </w:rPr>
        <w:t>financial</w:t>
      </w:r>
      <w:r w:rsidRPr="00E25ED2">
        <w:rPr>
          <w:rFonts w:ascii="Segoe UI" w:hAnsi="Segoe UI" w:cs="Segoe UI"/>
          <w:szCs w:val="20"/>
        </w:rPr>
        <w:t>.</w:t>
      </w:r>
    </w:p>
    <w:p w14:paraId="409F98CD" w14:textId="612ADBFE" w:rsidR="00E03169" w:rsidRPr="009E47F2" w:rsidRDefault="00623F83" w:rsidP="00623F83">
      <w:pPr>
        <w:keepNext/>
        <w:keepLines/>
        <w:tabs>
          <w:tab w:val="left" w:pos="567"/>
        </w:tabs>
        <w:spacing w:before="1080" w:after="720" w:line="240" w:lineRule="auto"/>
        <w:ind w:left="567" w:hanging="567"/>
        <w:outlineLvl w:val="1"/>
        <w:rPr>
          <w:rFonts w:ascii="Segoe UI" w:eastAsiaTheme="minorHAnsi" w:hAnsi="Segoe UI" w:cs="Segoe UI"/>
          <w:bCs/>
          <w:sz w:val="28"/>
          <w:szCs w:val="28"/>
          <w:lang w:val="en-US"/>
        </w:rPr>
      </w:pPr>
      <w:bookmarkStart w:id="24" w:name="_Toc507973957"/>
      <w:r w:rsidRPr="009E47F2">
        <w:rPr>
          <w:rFonts w:ascii="Segoe UI" w:eastAsiaTheme="minorHAnsi" w:hAnsi="Segoe UI" w:cs="Segoe UI"/>
          <w:bCs/>
          <w:sz w:val="28"/>
          <w:szCs w:val="28"/>
          <w:lang w:val="en-US"/>
        </w:rPr>
        <w:t>5</w:t>
      </w:r>
      <w:r w:rsidR="00E03169" w:rsidRPr="009E47F2">
        <w:rPr>
          <w:rFonts w:ascii="Segoe UI" w:eastAsiaTheme="minorHAnsi" w:hAnsi="Segoe UI" w:cs="Segoe UI"/>
          <w:bCs/>
          <w:sz w:val="28"/>
          <w:szCs w:val="28"/>
          <w:lang w:val="en-US"/>
        </w:rPr>
        <w:t>.1</w:t>
      </w:r>
      <w:r w:rsidR="00E03169" w:rsidRPr="009E47F2">
        <w:rPr>
          <w:rFonts w:ascii="Segoe UI" w:eastAsiaTheme="minorHAnsi" w:hAnsi="Segoe UI" w:cs="Segoe UI"/>
          <w:bCs/>
          <w:sz w:val="28"/>
          <w:szCs w:val="28"/>
          <w:lang w:val="en-US"/>
        </w:rPr>
        <w:tab/>
      </w:r>
      <w:r w:rsidR="00A25DF8" w:rsidRPr="009E47F2">
        <w:rPr>
          <w:rFonts w:ascii="Segoe UI" w:eastAsiaTheme="minorHAnsi" w:hAnsi="Segoe UI" w:cs="Segoe UI"/>
          <w:bCs/>
          <w:sz w:val="28"/>
          <w:szCs w:val="28"/>
          <w:lang w:val="en-US"/>
        </w:rPr>
        <w:t>Approccio dell’International Accounting Standards Board</w:t>
      </w:r>
      <w:r w:rsidR="003E7D7B" w:rsidRPr="009E47F2">
        <w:rPr>
          <w:rFonts w:ascii="Segoe UI" w:eastAsiaTheme="minorHAnsi" w:hAnsi="Segoe UI" w:cs="Segoe UI"/>
          <w:bCs/>
          <w:sz w:val="28"/>
          <w:szCs w:val="28"/>
          <w:lang w:val="en-US"/>
        </w:rPr>
        <w:t xml:space="preserve"> (IASB)</w:t>
      </w:r>
      <w:bookmarkEnd w:id="24"/>
    </w:p>
    <w:p w14:paraId="6C8E42FA" w14:textId="308D12B7" w:rsidR="007132A3" w:rsidRPr="00FE7783" w:rsidRDefault="007132A3" w:rsidP="00FE7783">
      <w:pPr>
        <w:autoSpaceDE w:val="0"/>
        <w:autoSpaceDN w:val="0"/>
        <w:adjustRightInd w:val="0"/>
        <w:spacing w:before="120" w:after="120" w:line="240" w:lineRule="auto"/>
        <w:jc w:val="both"/>
        <w:rPr>
          <w:rFonts w:ascii="Segoe UI" w:hAnsi="Segoe UI" w:cs="Segoe UI"/>
        </w:rPr>
      </w:pPr>
      <w:r w:rsidRPr="00FE7783">
        <w:rPr>
          <w:rFonts w:ascii="Segoe UI" w:hAnsi="Segoe UI" w:cs="Segoe UI"/>
        </w:rPr>
        <w:t>Come illustrato, il tema della definizione de</w:t>
      </w:r>
      <w:r w:rsidR="00D1479C">
        <w:rPr>
          <w:rFonts w:ascii="Segoe UI" w:hAnsi="Segoe UI" w:cs="Segoe UI"/>
        </w:rPr>
        <w:t xml:space="preserve">i </w:t>
      </w:r>
      <w:r w:rsidRPr="00FE7783">
        <w:rPr>
          <w:rFonts w:ascii="Segoe UI" w:hAnsi="Segoe UI" w:cs="Segoe UI"/>
        </w:rPr>
        <w:t>principi d</w:t>
      </w:r>
      <w:r w:rsidR="00D1479C">
        <w:rPr>
          <w:rFonts w:ascii="Segoe UI" w:hAnsi="Segoe UI" w:cs="Segoe UI"/>
        </w:rPr>
        <w:t>i “</w:t>
      </w:r>
      <w:r w:rsidRPr="00EF7EAF">
        <w:rPr>
          <w:rFonts w:ascii="Segoe UI" w:hAnsi="Segoe UI" w:cs="Segoe UI"/>
          <w:i/>
        </w:rPr>
        <w:t>r</w:t>
      </w:r>
      <w:r w:rsidR="00D1479C" w:rsidRPr="00EF7EAF">
        <w:rPr>
          <w:rFonts w:ascii="Segoe UI" w:hAnsi="Segoe UI" w:cs="Segoe UI"/>
          <w:i/>
        </w:rPr>
        <w:t>elevance</w:t>
      </w:r>
      <w:r w:rsidR="00D1479C">
        <w:rPr>
          <w:rFonts w:ascii="Segoe UI" w:hAnsi="Segoe UI" w:cs="Segoe UI"/>
        </w:rPr>
        <w:t>” e “</w:t>
      </w:r>
      <w:r w:rsidR="00D1479C" w:rsidRPr="00EF7EAF">
        <w:rPr>
          <w:rFonts w:ascii="Segoe UI" w:hAnsi="Segoe UI" w:cs="Segoe UI"/>
          <w:i/>
        </w:rPr>
        <w:t>materiality</w:t>
      </w:r>
      <w:r w:rsidR="00D1479C">
        <w:rPr>
          <w:rFonts w:ascii="Segoe UI" w:hAnsi="Segoe UI" w:cs="Segoe UI"/>
        </w:rPr>
        <w:t xml:space="preserve">” </w:t>
      </w:r>
      <w:r w:rsidRPr="00FE7783">
        <w:rPr>
          <w:rFonts w:ascii="Segoe UI" w:hAnsi="Segoe UI" w:cs="Segoe UI"/>
        </w:rPr>
        <w:t>de</w:t>
      </w:r>
      <w:r w:rsidR="00D1479C">
        <w:rPr>
          <w:rFonts w:ascii="Segoe UI" w:hAnsi="Segoe UI" w:cs="Segoe UI"/>
        </w:rPr>
        <w:t>i temi e del</w:t>
      </w:r>
      <w:r w:rsidRPr="00FE7783">
        <w:rPr>
          <w:rFonts w:ascii="Segoe UI" w:hAnsi="Segoe UI" w:cs="Segoe UI"/>
        </w:rPr>
        <w:t>le informazioni ha origini, ben lontane, nella informativa finanziaria e, ancora oggi, viene sottoposto a revisioni e modifiche con l’obiettiv</w:t>
      </w:r>
      <w:r w:rsidR="00E13F8C" w:rsidRPr="00FE7783">
        <w:rPr>
          <w:rFonts w:ascii="Segoe UI" w:hAnsi="Segoe UI" w:cs="Segoe UI"/>
        </w:rPr>
        <w:t>o</w:t>
      </w:r>
      <w:r w:rsidRPr="00FE7783">
        <w:rPr>
          <w:rFonts w:ascii="Segoe UI" w:hAnsi="Segoe UI" w:cs="Segoe UI"/>
        </w:rPr>
        <w:t xml:space="preserve"> di aumentare il livello di chiarezza e trasparenza delle informazioni rivolte a</w:t>
      </w:r>
      <w:r w:rsidR="00D1479C">
        <w:rPr>
          <w:rFonts w:ascii="Segoe UI" w:hAnsi="Segoe UI" w:cs="Segoe UI"/>
        </w:rPr>
        <w:t xml:space="preserve">gli </w:t>
      </w:r>
      <w:r w:rsidRPr="00042EC5">
        <w:rPr>
          <w:rFonts w:ascii="Segoe UI" w:hAnsi="Segoe UI" w:cs="Segoe UI"/>
          <w:i/>
        </w:rPr>
        <w:t>stakeholder</w:t>
      </w:r>
      <w:r w:rsidRPr="00FE7783">
        <w:rPr>
          <w:rFonts w:ascii="Segoe UI" w:hAnsi="Segoe UI" w:cs="Segoe UI"/>
        </w:rPr>
        <w:t xml:space="preserve"> esterni. </w:t>
      </w:r>
      <w:r w:rsidRPr="00D1479C">
        <w:rPr>
          <w:rFonts w:ascii="Segoe UI" w:hAnsi="Segoe UI" w:cs="Segoe UI"/>
          <w:lang w:val="en-US"/>
        </w:rPr>
        <w:t xml:space="preserve">In tale ambito, </w:t>
      </w:r>
      <w:r w:rsidR="00D1479C" w:rsidRPr="00D1479C">
        <w:rPr>
          <w:rFonts w:ascii="Segoe UI" w:hAnsi="Segoe UI" w:cs="Segoe UI"/>
          <w:lang w:val="en-US"/>
        </w:rPr>
        <w:t>l’</w:t>
      </w:r>
      <w:r w:rsidRPr="00D1479C">
        <w:rPr>
          <w:rFonts w:ascii="Segoe UI" w:hAnsi="Segoe UI" w:cs="Segoe UI"/>
          <w:lang w:val="en-US"/>
        </w:rPr>
        <w:t>lnternational Accounting Standards Board (IASB) ha recentemente emanat</w:t>
      </w:r>
      <w:r w:rsidR="00121DC7" w:rsidRPr="00D1479C">
        <w:rPr>
          <w:rFonts w:ascii="Segoe UI" w:hAnsi="Segoe UI" w:cs="Segoe UI"/>
          <w:lang w:val="en-US"/>
        </w:rPr>
        <w:t>o</w:t>
      </w:r>
      <w:r w:rsidRPr="00D1479C">
        <w:rPr>
          <w:rFonts w:ascii="Segoe UI" w:hAnsi="Segoe UI" w:cs="Segoe UI"/>
          <w:lang w:val="en-US"/>
        </w:rPr>
        <w:t xml:space="preserve"> </w:t>
      </w:r>
      <w:r w:rsidR="00121DC7" w:rsidRPr="00D1479C">
        <w:rPr>
          <w:rFonts w:ascii="Segoe UI" w:hAnsi="Segoe UI" w:cs="Segoe UI"/>
          <w:lang w:val="en-US"/>
        </w:rPr>
        <w:t>l’</w:t>
      </w:r>
      <w:r w:rsidR="00121DC7" w:rsidRPr="00D1479C">
        <w:rPr>
          <w:rFonts w:ascii="Segoe UI" w:hAnsi="Segoe UI" w:cs="Segoe UI"/>
          <w:i/>
          <w:lang w:val="en-US"/>
        </w:rPr>
        <w:t>e</w:t>
      </w:r>
      <w:r w:rsidRPr="00D1479C">
        <w:rPr>
          <w:rFonts w:ascii="Segoe UI" w:hAnsi="Segoe UI" w:cs="Segoe UI"/>
          <w:i/>
          <w:lang w:val="en-US"/>
        </w:rPr>
        <w:t xml:space="preserve">xposure </w:t>
      </w:r>
      <w:r w:rsidR="00121DC7" w:rsidRPr="00D1479C">
        <w:rPr>
          <w:rFonts w:ascii="Segoe UI" w:hAnsi="Segoe UI" w:cs="Segoe UI"/>
          <w:i/>
          <w:lang w:val="en-US"/>
        </w:rPr>
        <w:t>d</w:t>
      </w:r>
      <w:r w:rsidRPr="00D1479C">
        <w:rPr>
          <w:rFonts w:ascii="Segoe UI" w:hAnsi="Segoe UI" w:cs="Segoe UI"/>
          <w:i/>
          <w:lang w:val="en-US"/>
        </w:rPr>
        <w:t>raft</w:t>
      </w:r>
      <w:r w:rsidRPr="00D1479C">
        <w:rPr>
          <w:rFonts w:ascii="Segoe UI" w:hAnsi="Segoe UI" w:cs="Segoe UI"/>
          <w:lang w:val="en-US"/>
        </w:rPr>
        <w:t xml:space="preserve"> </w:t>
      </w:r>
      <w:r w:rsidR="00D1479C" w:rsidRPr="00D1479C">
        <w:rPr>
          <w:rStyle w:val="Rimandonotaapidipagina"/>
          <w:rFonts w:cs="Segoe UI"/>
          <w:sz w:val="22"/>
          <w:vertAlign w:val="baseline"/>
          <w:lang w:val="en-US"/>
        </w:rPr>
        <w:t>“</w:t>
      </w:r>
      <w:r w:rsidR="00D1479C" w:rsidRPr="00D1479C">
        <w:rPr>
          <w:rFonts w:ascii="Segoe UI" w:hAnsi="Segoe UI" w:cs="Segoe UI"/>
          <w:lang w:val="en-US"/>
        </w:rPr>
        <w:t xml:space="preserve">Definition of Material. </w:t>
      </w:r>
      <w:r w:rsidR="00D1479C" w:rsidRPr="00D1479C">
        <w:rPr>
          <w:rFonts w:ascii="Segoe UI" w:hAnsi="Segoe UI" w:cs="Segoe UI"/>
        </w:rPr>
        <w:t>Proposed amendments to IAS 1 and IAS 8”</w:t>
      </w:r>
      <w:r w:rsidR="00D1479C" w:rsidRPr="00FE7783">
        <w:rPr>
          <w:rFonts w:ascii="Segoe UI" w:hAnsi="Segoe UI" w:cs="Segoe UI"/>
        </w:rPr>
        <w:t xml:space="preserve">, nel quale viene fornita una ridefinizione della </w:t>
      </w:r>
      <w:r w:rsidR="00D1479C" w:rsidRPr="00FE7783">
        <w:rPr>
          <w:rFonts w:ascii="Segoe UI" w:hAnsi="Segoe UI" w:cs="Segoe UI"/>
          <w:i/>
        </w:rPr>
        <w:t>material</w:t>
      </w:r>
      <w:r w:rsidR="00D1479C">
        <w:rPr>
          <w:rFonts w:ascii="Segoe UI" w:hAnsi="Segoe UI" w:cs="Segoe UI"/>
          <w:i/>
        </w:rPr>
        <w:t xml:space="preserve">ity </w:t>
      </w:r>
      <w:r w:rsidR="00D1479C">
        <w:rPr>
          <w:rFonts w:ascii="Segoe UI" w:hAnsi="Segoe UI" w:cs="Segoe UI"/>
        </w:rPr>
        <w:t>(</w:t>
      </w:r>
      <w:r w:rsidR="00D1479C" w:rsidRPr="00FE7783">
        <w:rPr>
          <w:rFonts w:ascii="Segoe UI" w:hAnsi="Segoe UI" w:cs="Segoe UI"/>
        </w:rPr>
        <w:t>rilevanza) nell’ambito dell’informativa finanziaria</w:t>
      </w:r>
      <w:r w:rsidRPr="00FE7783">
        <w:rPr>
          <w:rStyle w:val="Rimandonotaapidipagina"/>
          <w:rFonts w:cs="Segoe UI"/>
          <w:sz w:val="22"/>
        </w:rPr>
        <w:footnoteReference w:id="25"/>
      </w:r>
      <w:r w:rsidR="000F437E" w:rsidRPr="00FE7783">
        <w:rPr>
          <w:rFonts w:ascii="Segoe UI" w:hAnsi="Segoe UI" w:cs="Segoe UI"/>
        </w:rPr>
        <w:t xml:space="preserve">. </w:t>
      </w:r>
    </w:p>
    <w:p w14:paraId="286EDC0C" w14:textId="72F10CF3" w:rsidR="00E537CC" w:rsidRPr="00FE7783" w:rsidRDefault="00A627AF" w:rsidP="00FE7783">
      <w:pPr>
        <w:autoSpaceDE w:val="0"/>
        <w:autoSpaceDN w:val="0"/>
        <w:adjustRightInd w:val="0"/>
        <w:spacing w:before="120" w:after="120" w:line="240" w:lineRule="auto"/>
        <w:jc w:val="both"/>
        <w:rPr>
          <w:rFonts w:ascii="Segoe UI" w:hAnsi="Segoe UI" w:cs="Segoe UI"/>
        </w:rPr>
      </w:pPr>
      <w:r w:rsidRPr="00FE7783">
        <w:rPr>
          <w:rFonts w:ascii="Segoe UI" w:hAnsi="Segoe UI" w:cs="Segoe UI"/>
        </w:rPr>
        <w:t>Più specificatamente, lo IASB si pone l’obiettivo di uniformare</w:t>
      </w:r>
      <w:r w:rsidR="00D1479C">
        <w:rPr>
          <w:rFonts w:ascii="Segoe UI" w:hAnsi="Segoe UI" w:cs="Segoe UI"/>
        </w:rPr>
        <w:t>,</w:t>
      </w:r>
      <w:r w:rsidRPr="00FE7783">
        <w:rPr>
          <w:rFonts w:ascii="Segoe UI" w:hAnsi="Segoe UI" w:cs="Segoe UI"/>
        </w:rPr>
        <w:t xml:space="preserve"> </w:t>
      </w:r>
      <w:r w:rsidR="00D1479C">
        <w:rPr>
          <w:rFonts w:ascii="Segoe UI" w:hAnsi="Segoe UI" w:cs="Segoe UI"/>
        </w:rPr>
        <w:t>a</w:t>
      </w:r>
      <w:r w:rsidR="00D1479C" w:rsidRPr="00E25ED2">
        <w:rPr>
          <w:rFonts w:ascii="Segoe UI" w:hAnsi="Segoe UI" w:cs="Segoe UI"/>
        </w:rPr>
        <w:t xml:space="preserve"> quella prevista nel Conceptual Framework</w:t>
      </w:r>
      <w:r w:rsidR="00D1479C">
        <w:rPr>
          <w:rFonts w:ascii="Segoe UI" w:hAnsi="Segoe UI" w:cs="Segoe UI"/>
        </w:rPr>
        <w:t>,</w:t>
      </w:r>
      <w:r w:rsidR="00D1479C" w:rsidRPr="00FE7783">
        <w:rPr>
          <w:rFonts w:ascii="Segoe UI" w:hAnsi="Segoe UI" w:cs="Segoe UI"/>
        </w:rPr>
        <w:t xml:space="preserve"> </w:t>
      </w:r>
      <w:r w:rsidRPr="00FE7783">
        <w:rPr>
          <w:rFonts w:ascii="Segoe UI" w:hAnsi="Segoe UI" w:cs="Segoe UI"/>
        </w:rPr>
        <w:t>la seguente definizione di “</w:t>
      </w:r>
      <w:r w:rsidRPr="00FE7783">
        <w:rPr>
          <w:rFonts w:ascii="Segoe UI" w:hAnsi="Segoe UI" w:cs="Segoe UI"/>
          <w:i/>
        </w:rPr>
        <w:t>materiality</w:t>
      </w:r>
      <w:r w:rsidRPr="00FE7783">
        <w:rPr>
          <w:rFonts w:ascii="Segoe UI" w:hAnsi="Segoe UI" w:cs="Segoe UI"/>
        </w:rPr>
        <w:t xml:space="preserve">” richiamata </w:t>
      </w:r>
      <w:r w:rsidR="00E13F8C" w:rsidRPr="00FE7783">
        <w:rPr>
          <w:rFonts w:ascii="Segoe UI" w:hAnsi="Segoe UI" w:cs="Segoe UI"/>
        </w:rPr>
        <w:t>sia nello</w:t>
      </w:r>
      <w:r w:rsidRPr="00FE7783">
        <w:rPr>
          <w:rFonts w:ascii="Segoe UI" w:hAnsi="Segoe UI" w:cs="Segoe UI"/>
        </w:rPr>
        <w:t xml:space="preserve"> IAS 1 </w:t>
      </w:r>
      <w:r w:rsidR="00D1479C">
        <w:rPr>
          <w:rFonts w:ascii="Segoe UI" w:hAnsi="Segoe UI" w:cs="Segoe UI"/>
        </w:rPr>
        <w:t xml:space="preserve">sia </w:t>
      </w:r>
      <w:r w:rsidR="00E13F8C" w:rsidRPr="00FE7783">
        <w:rPr>
          <w:rFonts w:ascii="Segoe UI" w:hAnsi="Segoe UI" w:cs="Segoe UI"/>
        </w:rPr>
        <w:t>nello</w:t>
      </w:r>
      <w:r w:rsidRPr="00FE7783">
        <w:rPr>
          <w:rFonts w:ascii="Segoe UI" w:hAnsi="Segoe UI" w:cs="Segoe UI"/>
        </w:rPr>
        <w:t xml:space="preserve"> IAS 8:</w:t>
      </w:r>
    </w:p>
    <w:p w14:paraId="34D303F6" w14:textId="77777777" w:rsidR="00D7540F" w:rsidRPr="00943901" w:rsidRDefault="00D7540F" w:rsidP="0064394F">
      <w:pPr>
        <w:autoSpaceDE w:val="0"/>
        <w:autoSpaceDN w:val="0"/>
        <w:adjustRightInd w:val="0"/>
        <w:spacing w:before="120" w:after="120" w:line="240" w:lineRule="auto"/>
        <w:ind w:left="284" w:right="284"/>
        <w:jc w:val="both"/>
        <w:rPr>
          <w:rFonts w:ascii="Segoe UI" w:hAnsi="Segoe UI" w:cs="Segoe UI"/>
          <w:i/>
          <w:color w:val="525252" w:themeColor="accent3" w:themeShade="80"/>
          <w:sz w:val="20"/>
          <w:szCs w:val="20"/>
          <w:lang w:val="en-GB"/>
        </w:rPr>
      </w:pPr>
      <w:r w:rsidRPr="00943901">
        <w:rPr>
          <w:rFonts w:ascii="Segoe UI" w:hAnsi="Segoe UI" w:cs="Segoe UI"/>
          <w:color w:val="525252" w:themeColor="accent3" w:themeShade="80"/>
          <w:sz w:val="20"/>
          <w:szCs w:val="20"/>
          <w:lang w:val="en-US"/>
        </w:rPr>
        <w:t>“</w:t>
      </w:r>
      <w:r w:rsidRPr="00943901">
        <w:rPr>
          <w:rFonts w:ascii="Segoe UI" w:hAnsi="Segoe UI" w:cs="Segoe UI"/>
          <w:i/>
          <w:color w:val="525252" w:themeColor="accent3" w:themeShade="80"/>
          <w:sz w:val="20"/>
          <w:szCs w:val="20"/>
          <w:lang w:val="en-GB"/>
        </w:rPr>
        <w:t>Material:</w:t>
      </w:r>
    </w:p>
    <w:p w14:paraId="1E4BB662" w14:textId="77777777" w:rsidR="00D7540F" w:rsidRPr="00943901" w:rsidRDefault="00D7540F" w:rsidP="0064394F">
      <w:pPr>
        <w:autoSpaceDE w:val="0"/>
        <w:autoSpaceDN w:val="0"/>
        <w:adjustRightInd w:val="0"/>
        <w:spacing w:before="120" w:after="120" w:line="240" w:lineRule="auto"/>
        <w:ind w:left="284" w:right="284"/>
        <w:jc w:val="both"/>
        <w:rPr>
          <w:rFonts w:ascii="Segoe UI" w:hAnsi="Segoe UI" w:cs="Segoe UI"/>
          <w:i/>
          <w:color w:val="525252" w:themeColor="accent3" w:themeShade="80"/>
          <w:sz w:val="20"/>
          <w:szCs w:val="20"/>
          <w:lang w:val="en-GB"/>
        </w:rPr>
      </w:pPr>
      <w:r w:rsidRPr="00943901">
        <w:rPr>
          <w:rFonts w:ascii="Segoe UI" w:hAnsi="Segoe UI" w:cs="Segoe UI"/>
          <w:i/>
          <w:color w:val="525252" w:themeColor="accent3" w:themeShade="80"/>
          <w:sz w:val="20"/>
          <w:szCs w:val="20"/>
          <w:lang w:val="en-GB"/>
        </w:rPr>
        <w:t>Omissions or misstatements of items are material if they could, individually or collectively, influence the economic decisions that users make on the basis of the financial statements.</w:t>
      </w:r>
    </w:p>
    <w:p w14:paraId="59A0820D" w14:textId="77777777" w:rsidR="00D7540F" w:rsidRPr="00943901" w:rsidRDefault="00D7540F" w:rsidP="0064394F">
      <w:pPr>
        <w:autoSpaceDE w:val="0"/>
        <w:autoSpaceDN w:val="0"/>
        <w:adjustRightInd w:val="0"/>
        <w:spacing w:before="120" w:after="120" w:line="240" w:lineRule="auto"/>
        <w:ind w:left="284" w:right="284"/>
        <w:jc w:val="both"/>
        <w:rPr>
          <w:rFonts w:ascii="Segoe UI" w:hAnsi="Segoe UI" w:cs="Segoe UI"/>
          <w:i/>
          <w:color w:val="525252" w:themeColor="accent3" w:themeShade="80"/>
          <w:sz w:val="20"/>
          <w:szCs w:val="20"/>
          <w:lang w:val="en-GB"/>
        </w:rPr>
      </w:pPr>
      <w:r w:rsidRPr="00943901">
        <w:rPr>
          <w:rFonts w:ascii="Segoe UI" w:hAnsi="Segoe UI" w:cs="Segoe UI"/>
          <w:i/>
          <w:color w:val="525252" w:themeColor="accent3" w:themeShade="80"/>
          <w:sz w:val="20"/>
          <w:szCs w:val="20"/>
          <w:lang w:val="en-GB"/>
        </w:rPr>
        <w:t>Materiality depends on the size and nature of the omission or misstatement judged in the surrounding circumstances. The size or nature of the item, or a combination of both, could be the determining factor.</w:t>
      </w:r>
    </w:p>
    <w:p w14:paraId="7DAA0C41" w14:textId="77777777" w:rsidR="00D7540F" w:rsidRPr="00943901" w:rsidRDefault="00D7540F" w:rsidP="0064394F">
      <w:pPr>
        <w:autoSpaceDE w:val="0"/>
        <w:autoSpaceDN w:val="0"/>
        <w:adjustRightInd w:val="0"/>
        <w:spacing w:before="120" w:after="120" w:line="240" w:lineRule="auto"/>
        <w:ind w:left="284" w:right="284"/>
        <w:jc w:val="both"/>
        <w:rPr>
          <w:rFonts w:ascii="Segoe UI" w:hAnsi="Segoe UI" w:cs="Segoe UI"/>
          <w:color w:val="525252" w:themeColor="accent3" w:themeShade="80"/>
          <w:sz w:val="20"/>
          <w:szCs w:val="20"/>
          <w:lang w:val="en-GB"/>
        </w:rPr>
      </w:pPr>
      <w:r w:rsidRPr="00943901">
        <w:rPr>
          <w:rFonts w:ascii="Segoe UI" w:hAnsi="Segoe UI" w:cs="Segoe UI"/>
          <w:i/>
          <w:color w:val="525252" w:themeColor="accent3" w:themeShade="80"/>
          <w:sz w:val="20"/>
          <w:szCs w:val="20"/>
          <w:lang w:val="en-GB"/>
        </w:rPr>
        <w:t>Assessing whether an omission or misstatement could influence economic decisions of users, and so be material, requires consideration of the characteristics of those users.</w:t>
      </w:r>
      <w:r w:rsidRPr="00943901">
        <w:rPr>
          <w:rFonts w:ascii="Segoe UI" w:hAnsi="Segoe UI" w:cs="Segoe UI"/>
          <w:color w:val="525252" w:themeColor="accent3" w:themeShade="80"/>
          <w:sz w:val="20"/>
          <w:szCs w:val="20"/>
          <w:lang w:val="en-GB"/>
        </w:rPr>
        <w:t>”.</w:t>
      </w:r>
    </w:p>
    <w:p w14:paraId="1DDEE467" w14:textId="027AD4F5" w:rsidR="00E537CC" w:rsidRPr="00E25ED2" w:rsidRDefault="00A627AF" w:rsidP="00FE7783">
      <w:pPr>
        <w:autoSpaceDE w:val="0"/>
        <w:autoSpaceDN w:val="0"/>
        <w:adjustRightInd w:val="0"/>
        <w:spacing w:before="120" w:after="120" w:line="240" w:lineRule="auto"/>
        <w:jc w:val="both"/>
        <w:rPr>
          <w:rFonts w:ascii="Segoe UI" w:hAnsi="Segoe UI" w:cs="Segoe UI"/>
        </w:rPr>
      </w:pPr>
      <w:r w:rsidRPr="00E25ED2">
        <w:rPr>
          <w:rFonts w:ascii="Segoe UI" w:hAnsi="Segoe UI" w:cs="Segoe UI"/>
        </w:rPr>
        <w:t>Le modifiche proposte dall’</w:t>
      </w:r>
      <w:r w:rsidR="000D1809" w:rsidRPr="00E25ED2">
        <w:rPr>
          <w:rFonts w:ascii="Segoe UI" w:hAnsi="Segoe UI" w:cs="Segoe UI"/>
          <w:i/>
        </w:rPr>
        <w:t>e</w:t>
      </w:r>
      <w:r w:rsidRPr="00E25ED2">
        <w:rPr>
          <w:rFonts w:ascii="Segoe UI" w:hAnsi="Segoe UI" w:cs="Segoe UI"/>
          <w:i/>
        </w:rPr>
        <w:t xml:space="preserve">xposure </w:t>
      </w:r>
      <w:r w:rsidR="000D1809" w:rsidRPr="00E25ED2">
        <w:rPr>
          <w:rFonts w:ascii="Segoe UI" w:hAnsi="Segoe UI" w:cs="Segoe UI"/>
          <w:i/>
        </w:rPr>
        <w:t>d</w:t>
      </w:r>
      <w:r w:rsidRPr="00E25ED2">
        <w:rPr>
          <w:rFonts w:ascii="Segoe UI" w:hAnsi="Segoe UI" w:cs="Segoe UI"/>
          <w:i/>
        </w:rPr>
        <w:t>raft</w:t>
      </w:r>
      <w:r w:rsidR="00E13F8C" w:rsidRPr="00E25ED2">
        <w:rPr>
          <w:rFonts w:ascii="Segoe UI" w:hAnsi="Segoe UI" w:cs="Segoe UI"/>
        </w:rPr>
        <w:t xml:space="preserve">, relative allo </w:t>
      </w:r>
      <w:r w:rsidRPr="00E25ED2">
        <w:rPr>
          <w:rFonts w:ascii="Segoe UI" w:hAnsi="Segoe UI" w:cs="Segoe UI"/>
        </w:rPr>
        <w:t>IAS 1 e allo IAS 8, volte ad allineare la definizione</w:t>
      </w:r>
      <w:r w:rsidR="00E13F8C" w:rsidRPr="00E25ED2">
        <w:rPr>
          <w:rFonts w:ascii="Segoe UI" w:hAnsi="Segoe UI" w:cs="Segoe UI"/>
        </w:rPr>
        <w:t xml:space="preserve"> di “</w:t>
      </w:r>
      <w:r w:rsidR="00E13F8C" w:rsidRPr="00E25ED2">
        <w:rPr>
          <w:rFonts w:ascii="Segoe UI" w:hAnsi="Segoe UI" w:cs="Segoe UI"/>
          <w:i/>
        </w:rPr>
        <w:t>materiality</w:t>
      </w:r>
      <w:r w:rsidR="00E13F8C" w:rsidRPr="00E25ED2">
        <w:rPr>
          <w:rFonts w:ascii="Segoe UI" w:hAnsi="Segoe UI" w:cs="Segoe UI"/>
        </w:rPr>
        <w:t>”</w:t>
      </w:r>
      <w:r w:rsidRPr="00E25ED2">
        <w:rPr>
          <w:rFonts w:ascii="Segoe UI" w:hAnsi="Segoe UI" w:cs="Segoe UI"/>
        </w:rPr>
        <w:t xml:space="preserve"> con quella del Conceptual Framework</w:t>
      </w:r>
      <w:r w:rsidR="00D1479C">
        <w:rPr>
          <w:rFonts w:ascii="Segoe UI" w:hAnsi="Segoe UI" w:cs="Segoe UI"/>
        </w:rPr>
        <w:t>, ambiscono</w:t>
      </w:r>
      <w:r w:rsidRPr="00E25ED2">
        <w:rPr>
          <w:rFonts w:ascii="Segoe UI" w:hAnsi="Segoe UI" w:cs="Segoe UI"/>
        </w:rPr>
        <w:t xml:space="preserve">, più specificatamente, a facilitare l’applicazione operativa del principio in questione nell’informativa finanziaria. La revisione in questione prevede la seguente </w:t>
      </w:r>
      <w:r w:rsidR="00D1479C">
        <w:rPr>
          <w:rFonts w:ascii="Segoe UI" w:hAnsi="Segoe UI" w:cs="Segoe UI"/>
        </w:rPr>
        <w:t xml:space="preserve">nuova </w:t>
      </w:r>
      <w:r w:rsidRPr="00E25ED2">
        <w:rPr>
          <w:rFonts w:ascii="Segoe UI" w:hAnsi="Segoe UI" w:cs="Segoe UI"/>
        </w:rPr>
        <w:t>definizione di “</w:t>
      </w:r>
      <w:r w:rsidRPr="00E25ED2">
        <w:rPr>
          <w:rFonts w:ascii="Segoe UI" w:hAnsi="Segoe UI" w:cs="Segoe UI"/>
          <w:i/>
        </w:rPr>
        <w:t>materiality</w:t>
      </w:r>
      <w:r w:rsidRPr="00E25ED2">
        <w:rPr>
          <w:rFonts w:ascii="Segoe UI" w:hAnsi="Segoe UI" w:cs="Segoe UI"/>
        </w:rPr>
        <w:t>”:</w:t>
      </w:r>
    </w:p>
    <w:p w14:paraId="11F722E7" w14:textId="4EBD627D" w:rsidR="00D7540F" w:rsidRPr="00943901" w:rsidRDefault="00D7540F" w:rsidP="0064394F">
      <w:pPr>
        <w:autoSpaceDE w:val="0"/>
        <w:autoSpaceDN w:val="0"/>
        <w:adjustRightInd w:val="0"/>
        <w:spacing w:before="120" w:after="120" w:line="240" w:lineRule="auto"/>
        <w:ind w:left="284" w:right="284"/>
        <w:jc w:val="both"/>
        <w:rPr>
          <w:rFonts w:ascii="Segoe UI" w:hAnsi="Segoe UI" w:cs="Segoe UI"/>
          <w:i/>
          <w:color w:val="525252" w:themeColor="accent3" w:themeShade="80"/>
          <w:sz w:val="20"/>
          <w:szCs w:val="20"/>
          <w:lang w:val="en-GB"/>
        </w:rPr>
      </w:pPr>
      <w:r w:rsidRPr="00943901">
        <w:rPr>
          <w:rFonts w:ascii="Segoe UI" w:hAnsi="Segoe UI" w:cs="Segoe UI"/>
          <w:color w:val="525252" w:themeColor="accent3" w:themeShade="80"/>
          <w:sz w:val="20"/>
          <w:szCs w:val="20"/>
          <w:lang w:val="en-GB"/>
        </w:rPr>
        <w:t>“</w:t>
      </w:r>
      <w:r w:rsidRPr="00943901">
        <w:rPr>
          <w:rFonts w:ascii="Segoe UI" w:hAnsi="Segoe UI" w:cs="Segoe UI"/>
          <w:i/>
          <w:color w:val="525252" w:themeColor="accent3" w:themeShade="80"/>
          <w:sz w:val="20"/>
          <w:szCs w:val="20"/>
          <w:lang w:val="en-GB"/>
        </w:rPr>
        <w:t>Information is material if omitting, misstating or obscuring it could reasonably be expected to influence decisions that the primary users of a specific reporting entity’s general purpose financial statements make on the basis of those financial statement.</w:t>
      </w:r>
    </w:p>
    <w:p w14:paraId="5102BAAE" w14:textId="77777777" w:rsidR="00D7540F" w:rsidRPr="00943901" w:rsidRDefault="00D7540F" w:rsidP="0064394F">
      <w:pPr>
        <w:autoSpaceDE w:val="0"/>
        <w:autoSpaceDN w:val="0"/>
        <w:adjustRightInd w:val="0"/>
        <w:spacing w:before="120" w:after="120" w:line="240" w:lineRule="auto"/>
        <w:ind w:left="284" w:right="284"/>
        <w:jc w:val="both"/>
        <w:rPr>
          <w:rFonts w:ascii="Segoe UI" w:hAnsi="Segoe UI" w:cs="Segoe UI"/>
          <w:i/>
          <w:color w:val="525252" w:themeColor="accent3" w:themeShade="80"/>
          <w:sz w:val="20"/>
          <w:szCs w:val="20"/>
          <w:lang w:val="en-GB"/>
        </w:rPr>
      </w:pPr>
      <w:r w:rsidRPr="00943901">
        <w:rPr>
          <w:rFonts w:ascii="Segoe UI" w:hAnsi="Segoe UI" w:cs="Segoe UI"/>
          <w:i/>
          <w:color w:val="525252" w:themeColor="accent3" w:themeShade="80"/>
          <w:sz w:val="20"/>
          <w:szCs w:val="20"/>
          <w:lang w:val="en-GB"/>
        </w:rPr>
        <w:t>Materiality depends on the nature or magnitude of information, or both. An entity assesses whether information, either individually or in combination with other information, is material in the context of its financial statements. Material information might be obscured if it is not communicated clearly—for example, if it is obscured by immaterial information. A misstatement of information is material if it could reasonably be expected to influence decisions made by the primary users.</w:t>
      </w:r>
    </w:p>
    <w:p w14:paraId="70C078FA" w14:textId="4682AE21" w:rsidR="00D7540F" w:rsidRPr="00943901" w:rsidRDefault="00D7540F" w:rsidP="0064394F">
      <w:pPr>
        <w:autoSpaceDE w:val="0"/>
        <w:autoSpaceDN w:val="0"/>
        <w:adjustRightInd w:val="0"/>
        <w:spacing w:before="120" w:after="120" w:line="240" w:lineRule="auto"/>
        <w:ind w:left="284" w:right="284"/>
        <w:jc w:val="both"/>
        <w:rPr>
          <w:rFonts w:ascii="Segoe UI" w:hAnsi="Segoe UI" w:cs="Segoe UI"/>
          <w:i/>
          <w:color w:val="525252" w:themeColor="accent3" w:themeShade="80"/>
          <w:sz w:val="20"/>
          <w:szCs w:val="20"/>
          <w:lang w:val="en-GB"/>
        </w:rPr>
      </w:pPr>
      <w:r w:rsidRPr="00943901">
        <w:rPr>
          <w:rFonts w:ascii="Segoe UI" w:hAnsi="Segoe UI" w:cs="Segoe UI"/>
          <w:i/>
          <w:color w:val="525252" w:themeColor="accent3" w:themeShade="80"/>
          <w:sz w:val="20"/>
          <w:szCs w:val="20"/>
          <w:lang w:val="en-GB"/>
        </w:rPr>
        <w:t>Assessing whether information could reasonably be expected to influence decisions of the primary users of general purpose financial statements requires consideration of the characteristics of those users judged in the entity’s circumstances.</w:t>
      </w:r>
      <w:r w:rsidRPr="00943901">
        <w:rPr>
          <w:rFonts w:ascii="Segoe UI" w:hAnsi="Segoe UI" w:cs="Segoe UI"/>
          <w:color w:val="525252" w:themeColor="accent3" w:themeShade="80"/>
          <w:sz w:val="20"/>
          <w:szCs w:val="20"/>
          <w:lang w:val="en-GB"/>
        </w:rPr>
        <w:t>”.</w:t>
      </w:r>
    </w:p>
    <w:p w14:paraId="172A6DCE" w14:textId="41C6D049" w:rsidR="00DB1872" w:rsidRPr="00FE7783" w:rsidRDefault="00D1479C" w:rsidP="00EF7EAF">
      <w:pPr>
        <w:keepNext/>
        <w:keepLines/>
        <w:autoSpaceDE w:val="0"/>
        <w:autoSpaceDN w:val="0"/>
        <w:adjustRightInd w:val="0"/>
        <w:spacing w:before="120" w:after="120" w:line="240" w:lineRule="auto"/>
        <w:jc w:val="both"/>
        <w:rPr>
          <w:rFonts w:ascii="Segoe UI" w:hAnsi="Segoe UI" w:cs="Segoe UI"/>
        </w:rPr>
      </w:pPr>
      <w:r>
        <w:rPr>
          <w:rFonts w:ascii="Segoe UI" w:hAnsi="Segoe UI" w:cs="Segoe UI"/>
        </w:rPr>
        <w:t xml:space="preserve">Di pari passo alla revisione dei concetti e dei contenuti del </w:t>
      </w:r>
      <w:r w:rsidR="00F44AAE" w:rsidRPr="00FE7783">
        <w:rPr>
          <w:rFonts w:ascii="Segoe UI" w:hAnsi="Segoe UI" w:cs="Segoe UI"/>
        </w:rPr>
        <w:t>principio di rilevanza</w:t>
      </w:r>
      <w:r w:rsidR="00E13F8C" w:rsidRPr="00FE7783">
        <w:rPr>
          <w:rFonts w:ascii="Segoe UI" w:hAnsi="Segoe UI" w:cs="Segoe UI"/>
        </w:rPr>
        <w:t xml:space="preserve"> (</w:t>
      </w:r>
      <w:r w:rsidR="00E13F8C" w:rsidRPr="00FE7783">
        <w:rPr>
          <w:rFonts w:ascii="Segoe UI" w:hAnsi="Segoe UI" w:cs="Segoe UI"/>
          <w:i/>
        </w:rPr>
        <w:t>material</w:t>
      </w:r>
      <w:r>
        <w:rPr>
          <w:rFonts w:ascii="Segoe UI" w:hAnsi="Segoe UI" w:cs="Segoe UI"/>
          <w:i/>
        </w:rPr>
        <w:t>ity</w:t>
      </w:r>
      <w:r w:rsidR="00E13F8C" w:rsidRPr="00FE7783">
        <w:rPr>
          <w:rFonts w:ascii="Segoe UI" w:hAnsi="Segoe UI" w:cs="Segoe UI"/>
        </w:rPr>
        <w:t>)</w:t>
      </w:r>
      <w:r>
        <w:rPr>
          <w:rFonts w:ascii="Segoe UI" w:hAnsi="Segoe UI" w:cs="Segoe UI"/>
        </w:rPr>
        <w:t>,</w:t>
      </w:r>
      <w:r w:rsidR="00F44AAE" w:rsidRPr="00FE7783">
        <w:rPr>
          <w:rFonts w:ascii="Segoe UI" w:hAnsi="Segoe UI" w:cs="Segoe UI"/>
        </w:rPr>
        <w:t xml:space="preserve"> lo IASB </w:t>
      </w:r>
      <w:r>
        <w:rPr>
          <w:rFonts w:ascii="Segoe UI" w:hAnsi="Segoe UI" w:cs="Segoe UI"/>
        </w:rPr>
        <w:t xml:space="preserve">ha ritenuto opportuno iniziare ad </w:t>
      </w:r>
      <w:r w:rsidR="00F44AAE" w:rsidRPr="00FE7783">
        <w:rPr>
          <w:rFonts w:ascii="Segoe UI" w:hAnsi="Segoe UI" w:cs="Segoe UI"/>
        </w:rPr>
        <w:t>affronta</w:t>
      </w:r>
      <w:r>
        <w:rPr>
          <w:rFonts w:ascii="Segoe UI" w:hAnsi="Segoe UI" w:cs="Segoe UI"/>
        </w:rPr>
        <w:t xml:space="preserve">re il problema di una individuazione dei processi (e delle loro fasi specifiche) volti </w:t>
      </w:r>
      <w:r w:rsidR="00DB1872" w:rsidRPr="00FE7783">
        <w:rPr>
          <w:rFonts w:ascii="Segoe UI" w:hAnsi="Segoe UI" w:cs="Segoe UI"/>
        </w:rPr>
        <w:t>all</w:t>
      </w:r>
      <w:r>
        <w:rPr>
          <w:rFonts w:ascii="Segoe UI" w:hAnsi="Segoe UI" w:cs="Segoe UI"/>
        </w:rPr>
        <w:t xml:space="preserve">’applicazione del </w:t>
      </w:r>
      <w:r w:rsidR="00DB1872" w:rsidRPr="00FE7783">
        <w:rPr>
          <w:rFonts w:ascii="Segoe UI" w:hAnsi="Segoe UI" w:cs="Segoe UI"/>
        </w:rPr>
        <w:t xml:space="preserve">principio </w:t>
      </w:r>
      <w:r>
        <w:rPr>
          <w:rFonts w:ascii="Segoe UI" w:hAnsi="Segoe UI" w:cs="Segoe UI"/>
        </w:rPr>
        <w:t xml:space="preserve">e alla determinazione concreta dei temi e degli elementi, che in suo ossequio, debbano essere oggetto di </w:t>
      </w:r>
      <w:r w:rsidRPr="00D1479C">
        <w:rPr>
          <w:rFonts w:ascii="Segoe UI" w:hAnsi="Segoe UI" w:cs="Segoe UI"/>
          <w:i/>
        </w:rPr>
        <w:t>disclosure</w:t>
      </w:r>
      <w:r w:rsidR="00F44AAE" w:rsidRPr="00FE7783">
        <w:rPr>
          <w:rStyle w:val="Rimandonotaapidipagina"/>
          <w:rFonts w:cs="Segoe UI"/>
          <w:sz w:val="22"/>
        </w:rPr>
        <w:footnoteReference w:id="26"/>
      </w:r>
      <w:r w:rsidR="00E13F8C" w:rsidRPr="00FE7783">
        <w:rPr>
          <w:rFonts w:ascii="Segoe UI" w:hAnsi="Segoe UI" w:cs="Segoe UI"/>
        </w:rPr>
        <w:t>.</w:t>
      </w:r>
      <w:r w:rsidR="00DB1872" w:rsidRPr="00FE7783">
        <w:rPr>
          <w:rFonts w:ascii="Segoe UI" w:hAnsi="Segoe UI" w:cs="Segoe UI"/>
        </w:rPr>
        <w:t xml:space="preserve"> </w:t>
      </w:r>
      <w:r w:rsidR="00E13F8C" w:rsidRPr="00FE7783">
        <w:rPr>
          <w:rFonts w:ascii="Segoe UI" w:hAnsi="Segoe UI" w:cs="Segoe UI"/>
        </w:rPr>
        <w:t>C</w:t>
      </w:r>
      <w:r w:rsidR="00DB1872" w:rsidRPr="00FE7783">
        <w:rPr>
          <w:rFonts w:ascii="Segoe UI" w:hAnsi="Segoe UI" w:cs="Segoe UI"/>
        </w:rPr>
        <w:t>on l’obiettivo</w:t>
      </w:r>
      <w:r w:rsidR="00E13F8C" w:rsidRPr="00FE7783">
        <w:rPr>
          <w:rFonts w:ascii="Segoe UI" w:hAnsi="Segoe UI" w:cs="Segoe UI"/>
        </w:rPr>
        <w:t>, infatti,</w:t>
      </w:r>
      <w:r w:rsidR="00DB1872" w:rsidRPr="00FE7783">
        <w:rPr>
          <w:rFonts w:ascii="Segoe UI" w:hAnsi="Segoe UI" w:cs="Segoe UI"/>
        </w:rPr>
        <w:t xml:space="preserve"> di facilitare l</w:t>
      </w:r>
      <w:r>
        <w:rPr>
          <w:rFonts w:ascii="Segoe UI" w:hAnsi="Segoe UI" w:cs="Segoe UI"/>
        </w:rPr>
        <w:t xml:space="preserve">a sua </w:t>
      </w:r>
      <w:r w:rsidR="00DB1872" w:rsidRPr="00FE7783">
        <w:rPr>
          <w:rFonts w:ascii="Segoe UI" w:hAnsi="Segoe UI" w:cs="Segoe UI"/>
        </w:rPr>
        <w:t>applicazione operativa</w:t>
      </w:r>
      <w:r>
        <w:rPr>
          <w:rFonts w:ascii="Segoe UI" w:hAnsi="Segoe UI" w:cs="Segoe UI"/>
        </w:rPr>
        <w:t xml:space="preserve"> – più esplicitamente, di </w:t>
      </w:r>
      <w:r w:rsidRPr="00FE7783">
        <w:rPr>
          <w:rFonts w:ascii="Segoe UI" w:hAnsi="Segoe UI" w:cs="Segoe UI"/>
        </w:rPr>
        <w:t xml:space="preserve">fornire indicazioni </w:t>
      </w:r>
      <w:r>
        <w:rPr>
          <w:rFonts w:ascii="Segoe UI" w:hAnsi="Segoe UI" w:cs="Segoe UI"/>
        </w:rPr>
        <w:t xml:space="preserve">al </w:t>
      </w:r>
      <w:r w:rsidRPr="00D1479C">
        <w:rPr>
          <w:rFonts w:ascii="Segoe UI" w:hAnsi="Segoe UI" w:cs="Segoe UI"/>
          <w:i/>
        </w:rPr>
        <w:t>management</w:t>
      </w:r>
      <w:r w:rsidRPr="00FE7783">
        <w:rPr>
          <w:rFonts w:ascii="Segoe UI" w:hAnsi="Segoe UI" w:cs="Segoe UI"/>
        </w:rPr>
        <w:t xml:space="preserve"> nella presentazione di informazioni </w:t>
      </w:r>
      <w:r>
        <w:rPr>
          <w:rFonts w:ascii="Segoe UI" w:hAnsi="Segoe UI" w:cs="Segoe UI"/>
        </w:rPr>
        <w:t xml:space="preserve">non </w:t>
      </w:r>
      <w:r w:rsidRPr="00FE7783">
        <w:rPr>
          <w:rFonts w:ascii="Segoe UI" w:hAnsi="Segoe UI" w:cs="Segoe UI"/>
        </w:rPr>
        <w:t>finanziari</w:t>
      </w:r>
      <w:r>
        <w:rPr>
          <w:rFonts w:ascii="Segoe UI" w:hAnsi="Segoe UI" w:cs="Segoe UI"/>
        </w:rPr>
        <w:t>e</w:t>
      </w:r>
      <w:r w:rsidRPr="00FE7783">
        <w:rPr>
          <w:rFonts w:ascii="Segoe UI" w:hAnsi="Segoe UI" w:cs="Segoe UI"/>
        </w:rPr>
        <w:t xml:space="preserve"> </w:t>
      </w:r>
      <w:r>
        <w:rPr>
          <w:rFonts w:ascii="Segoe UI" w:hAnsi="Segoe UI" w:cs="Segoe UI"/>
        </w:rPr>
        <w:t xml:space="preserve">per </w:t>
      </w:r>
      <w:r w:rsidRPr="00FE7783">
        <w:rPr>
          <w:rFonts w:ascii="Segoe UI" w:hAnsi="Segoe UI" w:cs="Segoe UI"/>
        </w:rPr>
        <w:t>orientare investitori esistenti e potenziali, finanziatori e altri creditori nel processo decisionale relativo alle risorse economiche da destinare all’organizzazione</w:t>
      </w:r>
      <w:r>
        <w:rPr>
          <w:rFonts w:ascii="Segoe UI" w:hAnsi="Segoe UI" w:cs="Segoe UI"/>
        </w:rPr>
        <w:t xml:space="preserve"> –</w:t>
      </w:r>
      <w:r w:rsidR="00DB1872" w:rsidRPr="00FE7783">
        <w:rPr>
          <w:rFonts w:ascii="Segoe UI" w:hAnsi="Segoe UI" w:cs="Segoe UI"/>
        </w:rPr>
        <w:t>,</w:t>
      </w:r>
      <w:r>
        <w:rPr>
          <w:rFonts w:ascii="Segoe UI" w:hAnsi="Segoe UI" w:cs="Segoe UI"/>
        </w:rPr>
        <w:t xml:space="preserve"> nel documento di recente pubblicazione </w:t>
      </w:r>
      <w:r w:rsidRPr="00D1479C">
        <w:rPr>
          <w:rFonts w:ascii="Segoe UI" w:hAnsi="Segoe UI" w:cs="Segoe UI"/>
        </w:rPr>
        <w:t>“Making Materiality Judgement. Practice</w:t>
      </w:r>
      <w:r>
        <w:rPr>
          <w:rFonts w:ascii="Segoe UI" w:hAnsi="Segoe UI" w:cs="Segoe UI"/>
        </w:rPr>
        <w:t xml:space="preserve"> Statement 2”,</w:t>
      </w:r>
      <w:r w:rsidR="00DB1872" w:rsidRPr="00FE7783">
        <w:rPr>
          <w:rFonts w:ascii="Segoe UI" w:hAnsi="Segoe UI" w:cs="Segoe UI"/>
        </w:rPr>
        <w:t xml:space="preserve"> </w:t>
      </w:r>
      <w:r w:rsidR="00E13F8C" w:rsidRPr="00FE7783">
        <w:rPr>
          <w:rFonts w:ascii="Segoe UI" w:hAnsi="Segoe UI" w:cs="Segoe UI"/>
        </w:rPr>
        <w:t xml:space="preserve">lo IASB suggerisce </w:t>
      </w:r>
      <w:r>
        <w:rPr>
          <w:rFonts w:ascii="Segoe UI" w:hAnsi="Segoe UI" w:cs="Segoe UI"/>
        </w:rPr>
        <w:t xml:space="preserve">alle </w:t>
      </w:r>
      <w:r w:rsidR="00DB1872" w:rsidRPr="00FE7783">
        <w:rPr>
          <w:rFonts w:ascii="Segoe UI" w:hAnsi="Segoe UI" w:cs="Segoe UI"/>
        </w:rPr>
        <w:t xml:space="preserve">organizzazioni </w:t>
      </w:r>
      <w:r>
        <w:rPr>
          <w:rFonts w:ascii="Segoe UI" w:hAnsi="Segoe UI" w:cs="Segoe UI"/>
        </w:rPr>
        <w:t xml:space="preserve">l’utilità di un </w:t>
      </w:r>
      <w:r w:rsidR="00DB1872" w:rsidRPr="00FE7783">
        <w:rPr>
          <w:rFonts w:ascii="Segoe UI" w:hAnsi="Segoe UI" w:cs="Segoe UI"/>
        </w:rPr>
        <w:t xml:space="preserve">processo </w:t>
      </w:r>
      <w:r>
        <w:rPr>
          <w:rFonts w:ascii="Segoe UI" w:hAnsi="Segoe UI" w:cs="Segoe UI"/>
        </w:rPr>
        <w:t xml:space="preserve">di determinazione </w:t>
      </w:r>
      <w:r w:rsidR="005D3A56">
        <w:rPr>
          <w:rFonts w:ascii="Segoe UI" w:hAnsi="Segoe UI" w:cs="Segoe UI"/>
        </w:rPr>
        <w:t xml:space="preserve">della </w:t>
      </w:r>
      <w:r>
        <w:rPr>
          <w:rFonts w:ascii="Segoe UI" w:hAnsi="Segoe UI" w:cs="Segoe UI"/>
        </w:rPr>
        <w:t xml:space="preserve">rilevanza articolato sulla base di diverse </w:t>
      </w:r>
      <w:r w:rsidR="00DB1872" w:rsidRPr="00FE7783">
        <w:rPr>
          <w:rFonts w:ascii="Segoe UI" w:hAnsi="Segoe UI" w:cs="Segoe UI"/>
        </w:rPr>
        <w:t>fasi</w:t>
      </w:r>
      <w:r w:rsidR="00E13F8C" w:rsidRPr="00FE7783">
        <w:rPr>
          <w:rFonts w:ascii="Segoe UI" w:hAnsi="Segoe UI" w:cs="Segoe UI"/>
        </w:rPr>
        <w:t xml:space="preserve"> che</w:t>
      </w:r>
      <w:r w:rsidR="00DB1872" w:rsidRPr="00FE7783">
        <w:rPr>
          <w:rFonts w:ascii="Segoe UI" w:hAnsi="Segoe UI" w:cs="Segoe UI"/>
        </w:rPr>
        <w:t xml:space="preserve"> vengono </w:t>
      </w:r>
      <w:r>
        <w:rPr>
          <w:rFonts w:ascii="Segoe UI" w:hAnsi="Segoe UI" w:cs="Segoe UI"/>
        </w:rPr>
        <w:t xml:space="preserve">di seguito </w:t>
      </w:r>
      <w:r w:rsidR="00DB1872" w:rsidRPr="00FE7783">
        <w:rPr>
          <w:rFonts w:ascii="Segoe UI" w:hAnsi="Segoe UI" w:cs="Segoe UI"/>
        </w:rPr>
        <w:t>sinteticamente riportate:</w:t>
      </w:r>
    </w:p>
    <w:p w14:paraId="4AEA9B7F" w14:textId="7B7D1FC6" w:rsidR="00DB1872" w:rsidRPr="00FE7783" w:rsidRDefault="00DB1872" w:rsidP="004623CF">
      <w:pPr>
        <w:pStyle w:val="Paragrafoelenco"/>
        <w:numPr>
          <w:ilvl w:val="0"/>
          <w:numId w:val="39"/>
        </w:numPr>
        <w:tabs>
          <w:tab w:val="left" w:pos="567"/>
        </w:tabs>
        <w:autoSpaceDE w:val="0"/>
        <w:autoSpaceDN w:val="0"/>
        <w:adjustRightInd w:val="0"/>
        <w:spacing w:before="120" w:after="120" w:line="240" w:lineRule="auto"/>
        <w:ind w:left="568" w:hanging="284"/>
        <w:contextualSpacing w:val="0"/>
        <w:jc w:val="both"/>
        <w:rPr>
          <w:rFonts w:ascii="Segoe UI" w:hAnsi="Segoe UI" w:cs="Segoe UI"/>
        </w:rPr>
      </w:pPr>
      <w:r w:rsidRPr="00FE7783">
        <w:rPr>
          <w:rFonts w:ascii="Segoe UI" w:hAnsi="Segoe UI" w:cs="Segoe UI"/>
          <w:b/>
        </w:rPr>
        <w:t>Identificazione delle informazioni</w:t>
      </w:r>
      <w:r w:rsidRPr="00FE7783">
        <w:rPr>
          <w:rFonts w:ascii="Segoe UI" w:hAnsi="Segoe UI" w:cs="Segoe UI"/>
        </w:rPr>
        <w:t xml:space="preserve">. Nella prima fase, l’organizzazione identifica le informazioni che possono essere potenzialmente </w:t>
      </w:r>
      <w:r w:rsidR="005D3A56">
        <w:rPr>
          <w:rFonts w:ascii="Segoe UI" w:hAnsi="Segoe UI" w:cs="Segoe UI"/>
        </w:rPr>
        <w:t xml:space="preserve">significative </w:t>
      </w:r>
      <w:r w:rsidRPr="00FE7783">
        <w:rPr>
          <w:rFonts w:ascii="Segoe UI" w:hAnsi="Segoe UI" w:cs="Segoe UI"/>
        </w:rPr>
        <w:t xml:space="preserve">in base ai requisiti previsti dai </w:t>
      </w:r>
      <w:r w:rsidR="005D3A56">
        <w:rPr>
          <w:rFonts w:ascii="Segoe UI" w:hAnsi="Segoe UI" w:cs="Segoe UI"/>
        </w:rPr>
        <w:t>P</w:t>
      </w:r>
      <w:r w:rsidRPr="00FE7783">
        <w:rPr>
          <w:rFonts w:ascii="Segoe UI" w:hAnsi="Segoe UI" w:cs="Segoe UI"/>
        </w:rPr>
        <w:t xml:space="preserve">rincipi contabili internazionali, per le singole transazioni, eventi o situazioni. I requisiti richiesti dai </w:t>
      </w:r>
      <w:r w:rsidR="005D3A56">
        <w:rPr>
          <w:rFonts w:ascii="Segoe UI" w:hAnsi="Segoe UI" w:cs="Segoe UI"/>
        </w:rPr>
        <w:t>P</w:t>
      </w:r>
      <w:r w:rsidRPr="00FE7783">
        <w:rPr>
          <w:rFonts w:ascii="Segoe UI" w:hAnsi="Segoe UI" w:cs="Segoe UI"/>
        </w:rPr>
        <w:t xml:space="preserve">rincipi contabili internazionali, quindi, rappresentano un primo </w:t>
      </w:r>
      <w:r w:rsidRPr="00042EC5">
        <w:rPr>
          <w:rFonts w:ascii="Segoe UI" w:hAnsi="Segoe UI" w:cs="Segoe UI"/>
          <w:i/>
        </w:rPr>
        <w:t>set</w:t>
      </w:r>
      <w:r w:rsidRPr="00FE7783">
        <w:rPr>
          <w:rFonts w:ascii="Segoe UI" w:hAnsi="Segoe UI" w:cs="Segoe UI"/>
        </w:rPr>
        <w:t xml:space="preserve"> comune di informazioni</w:t>
      </w:r>
      <w:r w:rsidR="005D3A56">
        <w:rPr>
          <w:rFonts w:ascii="Segoe UI" w:hAnsi="Segoe UI" w:cs="Segoe UI"/>
        </w:rPr>
        <w:t xml:space="preserve"> (e valutazioni)</w:t>
      </w:r>
      <w:r w:rsidR="00042EC5">
        <w:rPr>
          <w:rFonts w:ascii="Segoe UI" w:hAnsi="Segoe UI" w:cs="Segoe UI"/>
        </w:rPr>
        <w:t>.</w:t>
      </w:r>
    </w:p>
    <w:p w14:paraId="75A94F15" w14:textId="189B86B5" w:rsidR="00B1782C" w:rsidRPr="00FE7783" w:rsidRDefault="00EF7EAF" w:rsidP="004623CF">
      <w:pPr>
        <w:pStyle w:val="Paragrafoelenco"/>
        <w:numPr>
          <w:ilvl w:val="0"/>
          <w:numId w:val="39"/>
        </w:numPr>
        <w:tabs>
          <w:tab w:val="left" w:pos="567"/>
        </w:tabs>
        <w:autoSpaceDE w:val="0"/>
        <w:autoSpaceDN w:val="0"/>
        <w:adjustRightInd w:val="0"/>
        <w:spacing w:before="120" w:after="120" w:line="240" w:lineRule="auto"/>
        <w:ind w:left="568" w:hanging="284"/>
        <w:contextualSpacing w:val="0"/>
        <w:jc w:val="both"/>
        <w:rPr>
          <w:rFonts w:ascii="Segoe UI" w:hAnsi="Segoe UI" w:cs="Segoe UI"/>
        </w:rPr>
      </w:pPr>
      <w:r>
        <w:rPr>
          <w:rFonts w:ascii="Segoe UI" w:hAnsi="Segoe UI" w:cs="Segoe UI"/>
          <w:b/>
        </w:rPr>
        <w:t>Valutazione della</w:t>
      </w:r>
      <w:r w:rsidR="003552EB" w:rsidRPr="00FE7783">
        <w:rPr>
          <w:rFonts w:ascii="Segoe UI" w:hAnsi="Segoe UI" w:cs="Segoe UI"/>
          <w:b/>
        </w:rPr>
        <w:t xml:space="preserve"> rilevanza delle informazioni</w:t>
      </w:r>
      <w:r w:rsidR="003552EB" w:rsidRPr="00FE7783">
        <w:rPr>
          <w:rFonts w:ascii="Segoe UI" w:hAnsi="Segoe UI" w:cs="Segoe UI"/>
        </w:rPr>
        <w:t xml:space="preserve">. </w:t>
      </w:r>
      <w:r w:rsidR="005D3A56">
        <w:rPr>
          <w:rFonts w:ascii="Segoe UI" w:hAnsi="Segoe UI" w:cs="Segoe UI"/>
        </w:rPr>
        <w:t xml:space="preserve">Nella </w:t>
      </w:r>
      <w:r w:rsidR="003552EB" w:rsidRPr="00FE7783">
        <w:rPr>
          <w:rFonts w:ascii="Segoe UI" w:hAnsi="Segoe UI" w:cs="Segoe UI"/>
        </w:rPr>
        <w:t xml:space="preserve">seconda fase, l’organizzazione deve stabilire </w:t>
      </w:r>
      <w:r w:rsidR="00B1782C" w:rsidRPr="00FE7783">
        <w:rPr>
          <w:rFonts w:ascii="Segoe UI" w:hAnsi="Segoe UI" w:cs="Segoe UI"/>
        </w:rPr>
        <w:t>se le informazioni identificate nella fase precedente sono rilevanti (</w:t>
      </w:r>
      <w:r w:rsidR="00B1782C" w:rsidRPr="00FE7783">
        <w:rPr>
          <w:rFonts w:ascii="Segoe UI" w:hAnsi="Segoe UI" w:cs="Segoe UI"/>
          <w:i/>
        </w:rPr>
        <w:t>material</w:t>
      </w:r>
      <w:r w:rsidR="00B1782C" w:rsidRPr="00FE7783">
        <w:rPr>
          <w:rFonts w:ascii="Segoe UI" w:hAnsi="Segoe UI" w:cs="Segoe UI"/>
        </w:rPr>
        <w:t>) analizza</w:t>
      </w:r>
      <w:r w:rsidR="003552EB" w:rsidRPr="00FE7783">
        <w:rPr>
          <w:rFonts w:ascii="Segoe UI" w:hAnsi="Segoe UI" w:cs="Segoe UI"/>
        </w:rPr>
        <w:t>ndo</w:t>
      </w:r>
      <w:r w:rsidR="00B1782C" w:rsidRPr="00FE7783">
        <w:rPr>
          <w:rFonts w:ascii="Segoe UI" w:hAnsi="Segoe UI" w:cs="Segoe UI"/>
        </w:rPr>
        <w:t xml:space="preserve"> i fattori quantitativi (dimensione) e qualitativi (natura). Nella Guida Operativa viene evidenziato che la presenza di fattori qualitativi riduce il limite (</w:t>
      </w:r>
      <w:r w:rsidR="00B1782C" w:rsidRPr="00FE7783">
        <w:rPr>
          <w:rFonts w:ascii="Segoe UI" w:hAnsi="Segoe UI" w:cs="Segoe UI"/>
          <w:i/>
        </w:rPr>
        <w:t>threshold</w:t>
      </w:r>
      <w:r w:rsidR="00B1782C" w:rsidRPr="00FE7783">
        <w:rPr>
          <w:rFonts w:ascii="Segoe UI" w:hAnsi="Segoe UI" w:cs="Segoe UI"/>
        </w:rPr>
        <w:t>) per la definizione dei fattori quantitativi (i</w:t>
      </w:r>
      <w:r w:rsidR="005D3A56">
        <w:rPr>
          <w:rFonts w:ascii="Segoe UI" w:hAnsi="Segoe UI" w:cs="Segoe UI"/>
        </w:rPr>
        <w:t xml:space="preserve">n altri termini, </w:t>
      </w:r>
      <w:r w:rsidR="00B1782C" w:rsidRPr="00FE7783">
        <w:rPr>
          <w:rFonts w:ascii="Segoe UI" w:hAnsi="Segoe UI" w:cs="Segoe UI"/>
        </w:rPr>
        <w:t xml:space="preserve">più sono rilevanti i fattori qualitativi, minore sarà il limite per </w:t>
      </w:r>
      <w:r w:rsidR="005D3A56">
        <w:rPr>
          <w:rFonts w:ascii="Segoe UI" w:hAnsi="Segoe UI" w:cs="Segoe UI"/>
        </w:rPr>
        <w:t xml:space="preserve">i fattori </w:t>
      </w:r>
      <w:r w:rsidR="00B1782C" w:rsidRPr="00FE7783">
        <w:rPr>
          <w:rFonts w:ascii="Segoe UI" w:hAnsi="Segoe UI" w:cs="Segoe UI"/>
        </w:rPr>
        <w:t>quantitativi</w:t>
      </w:r>
      <w:r w:rsidR="005D3A56">
        <w:rPr>
          <w:rFonts w:ascii="Segoe UI" w:hAnsi="Segoe UI" w:cs="Segoe UI"/>
        </w:rPr>
        <w:t>)</w:t>
      </w:r>
      <w:r w:rsidR="00042EC5">
        <w:rPr>
          <w:rFonts w:ascii="Segoe UI" w:hAnsi="Segoe UI" w:cs="Segoe UI"/>
        </w:rPr>
        <w:t>.</w:t>
      </w:r>
    </w:p>
    <w:p w14:paraId="67753EDA" w14:textId="4E27560D" w:rsidR="00B1782C" w:rsidRPr="00FE7783" w:rsidRDefault="003552EB" w:rsidP="004623CF">
      <w:pPr>
        <w:pStyle w:val="Paragrafoelenco"/>
        <w:keepNext/>
        <w:keepLines/>
        <w:numPr>
          <w:ilvl w:val="0"/>
          <w:numId w:val="39"/>
        </w:numPr>
        <w:tabs>
          <w:tab w:val="left" w:pos="567"/>
        </w:tabs>
        <w:autoSpaceDE w:val="0"/>
        <w:autoSpaceDN w:val="0"/>
        <w:adjustRightInd w:val="0"/>
        <w:spacing w:before="120" w:after="120" w:line="240" w:lineRule="auto"/>
        <w:ind w:left="568" w:hanging="284"/>
        <w:contextualSpacing w:val="0"/>
        <w:jc w:val="both"/>
        <w:rPr>
          <w:rFonts w:ascii="Segoe UI" w:hAnsi="Segoe UI" w:cs="Segoe UI"/>
        </w:rPr>
      </w:pPr>
      <w:r w:rsidRPr="00FE7783">
        <w:rPr>
          <w:rFonts w:ascii="Segoe UI" w:hAnsi="Segoe UI" w:cs="Segoe UI"/>
          <w:b/>
        </w:rPr>
        <w:t>Esposizione delle informazioni</w:t>
      </w:r>
      <w:r w:rsidRPr="00FE7783">
        <w:rPr>
          <w:rFonts w:ascii="Segoe UI" w:hAnsi="Segoe UI" w:cs="Segoe UI"/>
        </w:rPr>
        <w:t xml:space="preserve">. Nella terza fase, </w:t>
      </w:r>
      <w:r w:rsidR="00B1782C" w:rsidRPr="00FE7783">
        <w:rPr>
          <w:rFonts w:ascii="Segoe UI" w:hAnsi="Segoe UI" w:cs="Segoe UI"/>
        </w:rPr>
        <w:t xml:space="preserve">l’organizzazione deve esporre le informazioni nei bilanci in modo tale da prevede una comunicazione chiara e coincisa. A tal proposito, la Guida Operativa </w:t>
      </w:r>
      <w:r w:rsidRPr="00FE7783">
        <w:rPr>
          <w:rFonts w:ascii="Segoe UI" w:hAnsi="Segoe UI" w:cs="Segoe UI"/>
        </w:rPr>
        <w:t>suggerisce di</w:t>
      </w:r>
      <w:r w:rsidR="00B1782C" w:rsidRPr="00FE7783">
        <w:rPr>
          <w:rFonts w:ascii="Segoe UI" w:hAnsi="Segoe UI" w:cs="Segoe UI"/>
        </w:rPr>
        <w:t>:</w:t>
      </w:r>
      <w:r w:rsidR="00377287">
        <w:rPr>
          <w:rFonts w:ascii="Segoe UI" w:hAnsi="Segoe UI" w:cs="Segoe UI"/>
        </w:rPr>
        <w:t xml:space="preserve"> </w:t>
      </w:r>
    </w:p>
    <w:p w14:paraId="41D622E4" w14:textId="7D3294B8" w:rsidR="00B1782C" w:rsidRPr="00FE7783" w:rsidRDefault="00B1782C" w:rsidP="004623CF">
      <w:pPr>
        <w:pStyle w:val="Paragrafoelenco"/>
        <w:numPr>
          <w:ilvl w:val="2"/>
          <w:numId w:val="39"/>
        </w:numPr>
        <w:tabs>
          <w:tab w:val="left" w:pos="851"/>
        </w:tabs>
        <w:autoSpaceDE w:val="0"/>
        <w:autoSpaceDN w:val="0"/>
        <w:adjustRightInd w:val="0"/>
        <w:spacing w:before="120" w:after="120" w:line="240" w:lineRule="auto"/>
        <w:ind w:left="851" w:hanging="284"/>
        <w:contextualSpacing w:val="0"/>
        <w:jc w:val="both"/>
        <w:rPr>
          <w:rFonts w:ascii="Segoe UI" w:hAnsi="Segoe UI" w:cs="Segoe UI"/>
        </w:rPr>
      </w:pPr>
      <w:r w:rsidRPr="00FE7783">
        <w:rPr>
          <w:rFonts w:ascii="Segoe UI" w:hAnsi="Segoe UI" w:cs="Segoe UI"/>
        </w:rPr>
        <w:t>enfatizzare le questioni rilevanti (</w:t>
      </w:r>
      <w:r w:rsidRPr="00FE7783">
        <w:rPr>
          <w:rFonts w:ascii="Segoe UI" w:hAnsi="Segoe UI" w:cs="Segoe UI"/>
          <w:i/>
        </w:rPr>
        <w:t>material</w:t>
      </w:r>
      <w:r w:rsidRPr="00FE7783">
        <w:rPr>
          <w:rFonts w:ascii="Segoe UI" w:hAnsi="Segoe UI" w:cs="Segoe UI"/>
        </w:rPr>
        <w:t>);</w:t>
      </w:r>
    </w:p>
    <w:p w14:paraId="18805B8B" w14:textId="27F3AC39" w:rsidR="00B1782C" w:rsidRPr="00FE7783" w:rsidRDefault="00B1782C" w:rsidP="004623CF">
      <w:pPr>
        <w:pStyle w:val="Paragrafoelenco"/>
        <w:numPr>
          <w:ilvl w:val="2"/>
          <w:numId w:val="39"/>
        </w:numPr>
        <w:tabs>
          <w:tab w:val="left" w:pos="851"/>
        </w:tabs>
        <w:autoSpaceDE w:val="0"/>
        <w:autoSpaceDN w:val="0"/>
        <w:adjustRightInd w:val="0"/>
        <w:spacing w:before="120" w:after="120" w:line="240" w:lineRule="auto"/>
        <w:ind w:left="851" w:hanging="284"/>
        <w:contextualSpacing w:val="0"/>
        <w:jc w:val="both"/>
        <w:rPr>
          <w:rFonts w:ascii="Segoe UI" w:hAnsi="Segoe UI" w:cs="Segoe UI"/>
        </w:rPr>
      </w:pPr>
      <w:r w:rsidRPr="00FE7783">
        <w:rPr>
          <w:rFonts w:ascii="Segoe UI" w:hAnsi="Segoe UI" w:cs="Segoe UI"/>
        </w:rPr>
        <w:t>adattare le informazioni alle circostanze proprie dell’organizzazione;</w:t>
      </w:r>
    </w:p>
    <w:p w14:paraId="4A22D768" w14:textId="4B8A2277" w:rsidR="00B1782C" w:rsidRPr="00FE7783" w:rsidRDefault="00B1782C" w:rsidP="004623CF">
      <w:pPr>
        <w:pStyle w:val="Paragrafoelenco"/>
        <w:numPr>
          <w:ilvl w:val="2"/>
          <w:numId w:val="39"/>
        </w:numPr>
        <w:tabs>
          <w:tab w:val="left" w:pos="851"/>
        </w:tabs>
        <w:autoSpaceDE w:val="0"/>
        <w:autoSpaceDN w:val="0"/>
        <w:adjustRightInd w:val="0"/>
        <w:spacing w:before="120" w:after="120" w:line="240" w:lineRule="auto"/>
        <w:ind w:left="851" w:hanging="284"/>
        <w:contextualSpacing w:val="0"/>
        <w:jc w:val="both"/>
        <w:rPr>
          <w:rFonts w:ascii="Segoe UI" w:hAnsi="Segoe UI" w:cs="Segoe UI"/>
        </w:rPr>
      </w:pPr>
      <w:r w:rsidRPr="00FE7783">
        <w:rPr>
          <w:rFonts w:ascii="Segoe UI" w:hAnsi="Segoe UI" w:cs="Segoe UI"/>
        </w:rPr>
        <w:t>descrivere le transazioni, gli eventi e le situazioni in modo semplice e diretto;</w:t>
      </w:r>
    </w:p>
    <w:p w14:paraId="0D591BCE" w14:textId="559E990F" w:rsidR="00B1782C" w:rsidRPr="00FE7783" w:rsidRDefault="00B1782C" w:rsidP="004623CF">
      <w:pPr>
        <w:pStyle w:val="Paragrafoelenco"/>
        <w:numPr>
          <w:ilvl w:val="2"/>
          <w:numId w:val="39"/>
        </w:numPr>
        <w:tabs>
          <w:tab w:val="left" w:pos="851"/>
        </w:tabs>
        <w:autoSpaceDE w:val="0"/>
        <w:autoSpaceDN w:val="0"/>
        <w:adjustRightInd w:val="0"/>
        <w:spacing w:before="120" w:after="120" w:line="240" w:lineRule="auto"/>
        <w:ind w:left="851" w:hanging="284"/>
        <w:contextualSpacing w:val="0"/>
        <w:jc w:val="both"/>
        <w:rPr>
          <w:rFonts w:ascii="Segoe UI" w:hAnsi="Segoe UI" w:cs="Segoe UI"/>
        </w:rPr>
      </w:pPr>
      <w:r w:rsidRPr="00FE7783">
        <w:rPr>
          <w:rFonts w:ascii="Segoe UI" w:hAnsi="Segoe UI" w:cs="Segoe UI"/>
        </w:rPr>
        <w:t xml:space="preserve">sottolineare eventuali relazioni </w:t>
      </w:r>
      <w:r w:rsidR="005D3A56">
        <w:rPr>
          <w:rFonts w:ascii="Segoe UI" w:hAnsi="Segoe UI" w:cs="Segoe UI"/>
        </w:rPr>
        <w:t xml:space="preserve">e </w:t>
      </w:r>
      <w:r w:rsidRPr="00FE7783">
        <w:rPr>
          <w:rFonts w:ascii="Segoe UI" w:hAnsi="Segoe UI" w:cs="Segoe UI"/>
        </w:rPr>
        <w:t>connessioni tra le diverse informazioni;</w:t>
      </w:r>
    </w:p>
    <w:p w14:paraId="673BCB7E" w14:textId="4EF008BD" w:rsidR="00B1782C" w:rsidRPr="00FE7783" w:rsidRDefault="00B1782C" w:rsidP="004623CF">
      <w:pPr>
        <w:pStyle w:val="Paragrafoelenco"/>
        <w:numPr>
          <w:ilvl w:val="2"/>
          <w:numId w:val="39"/>
        </w:numPr>
        <w:tabs>
          <w:tab w:val="left" w:pos="851"/>
        </w:tabs>
        <w:autoSpaceDE w:val="0"/>
        <w:autoSpaceDN w:val="0"/>
        <w:adjustRightInd w:val="0"/>
        <w:spacing w:before="120" w:after="120" w:line="240" w:lineRule="auto"/>
        <w:ind w:left="851" w:hanging="284"/>
        <w:contextualSpacing w:val="0"/>
        <w:jc w:val="both"/>
        <w:rPr>
          <w:rFonts w:ascii="Segoe UI" w:hAnsi="Segoe UI" w:cs="Segoe UI"/>
        </w:rPr>
      </w:pPr>
      <w:r w:rsidRPr="00FE7783">
        <w:rPr>
          <w:rFonts w:ascii="Segoe UI" w:hAnsi="Segoe UI" w:cs="Segoe UI"/>
        </w:rPr>
        <w:t>fornire le informazioni in prospetti appropriati;</w:t>
      </w:r>
    </w:p>
    <w:p w14:paraId="698C1D1D" w14:textId="7B5870CB" w:rsidR="00B1782C" w:rsidRPr="00FE7783" w:rsidRDefault="00B1782C" w:rsidP="004623CF">
      <w:pPr>
        <w:pStyle w:val="Paragrafoelenco"/>
        <w:numPr>
          <w:ilvl w:val="2"/>
          <w:numId w:val="39"/>
        </w:numPr>
        <w:tabs>
          <w:tab w:val="left" w:pos="851"/>
        </w:tabs>
        <w:autoSpaceDE w:val="0"/>
        <w:autoSpaceDN w:val="0"/>
        <w:adjustRightInd w:val="0"/>
        <w:spacing w:before="120" w:after="120" w:line="240" w:lineRule="auto"/>
        <w:ind w:left="851" w:hanging="284"/>
        <w:contextualSpacing w:val="0"/>
        <w:jc w:val="both"/>
        <w:rPr>
          <w:rFonts w:ascii="Segoe UI" w:hAnsi="Segoe UI" w:cs="Segoe UI"/>
        </w:rPr>
      </w:pPr>
      <w:r w:rsidRPr="00FE7783">
        <w:rPr>
          <w:rFonts w:ascii="Segoe UI" w:hAnsi="Segoe UI" w:cs="Segoe UI"/>
        </w:rPr>
        <w:t>fornire le informazioni in un modo che increment</w:t>
      </w:r>
      <w:r w:rsidR="005D3A56">
        <w:rPr>
          <w:rFonts w:ascii="Segoe UI" w:hAnsi="Segoe UI" w:cs="Segoe UI"/>
        </w:rPr>
        <w:t xml:space="preserve">ino </w:t>
      </w:r>
      <w:r w:rsidRPr="00FE7783">
        <w:rPr>
          <w:rFonts w:ascii="Segoe UI" w:hAnsi="Segoe UI" w:cs="Segoe UI"/>
        </w:rPr>
        <w:t>la comparabilità</w:t>
      </w:r>
      <w:r w:rsidR="005D3A56">
        <w:rPr>
          <w:rFonts w:ascii="Segoe UI" w:hAnsi="Segoe UI" w:cs="Segoe UI"/>
        </w:rPr>
        <w:t xml:space="preserve"> </w:t>
      </w:r>
      <w:r w:rsidR="005D3A56" w:rsidRPr="00FE7783">
        <w:rPr>
          <w:rFonts w:ascii="Segoe UI" w:hAnsi="Segoe UI" w:cs="Segoe UI"/>
        </w:rPr>
        <w:t>quanto più sia possibile</w:t>
      </w:r>
      <w:r w:rsidRPr="00FE7783">
        <w:rPr>
          <w:rFonts w:ascii="Segoe UI" w:hAnsi="Segoe UI" w:cs="Segoe UI"/>
        </w:rPr>
        <w:t>;</w:t>
      </w:r>
    </w:p>
    <w:p w14:paraId="2D40F468" w14:textId="3D2DC7BE" w:rsidR="00507D9A" w:rsidRPr="00FE7783" w:rsidRDefault="00507D9A" w:rsidP="004623CF">
      <w:pPr>
        <w:pStyle w:val="Paragrafoelenco"/>
        <w:numPr>
          <w:ilvl w:val="2"/>
          <w:numId w:val="39"/>
        </w:numPr>
        <w:tabs>
          <w:tab w:val="left" w:pos="851"/>
        </w:tabs>
        <w:autoSpaceDE w:val="0"/>
        <w:autoSpaceDN w:val="0"/>
        <w:adjustRightInd w:val="0"/>
        <w:spacing w:before="120" w:after="120" w:line="240" w:lineRule="auto"/>
        <w:ind w:left="851" w:hanging="284"/>
        <w:contextualSpacing w:val="0"/>
        <w:jc w:val="both"/>
        <w:rPr>
          <w:rFonts w:ascii="Segoe UI" w:hAnsi="Segoe UI" w:cs="Segoe UI"/>
        </w:rPr>
      </w:pPr>
      <w:r w:rsidRPr="00FE7783">
        <w:rPr>
          <w:rFonts w:ascii="Segoe UI" w:hAnsi="Segoe UI" w:cs="Segoe UI"/>
        </w:rPr>
        <w:t>minimizzare la duplicazione delle informazioni.</w:t>
      </w:r>
    </w:p>
    <w:p w14:paraId="36578195" w14:textId="730672E2" w:rsidR="00507D9A" w:rsidRPr="008C0F1B" w:rsidRDefault="003552EB" w:rsidP="004623CF">
      <w:pPr>
        <w:pStyle w:val="Paragrafoelenco"/>
        <w:numPr>
          <w:ilvl w:val="0"/>
          <w:numId w:val="39"/>
        </w:numPr>
        <w:tabs>
          <w:tab w:val="left" w:pos="567"/>
        </w:tabs>
        <w:autoSpaceDE w:val="0"/>
        <w:autoSpaceDN w:val="0"/>
        <w:adjustRightInd w:val="0"/>
        <w:spacing w:before="120" w:after="120" w:line="240" w:lineRule="auto"/>
        <w:ind w:left="568" w:hanging="284"/>
        <w:contextualSpacing w:val="0"/>
        <w:jc w:val="both"/>
        <w:rPr>
          <w:rFonts w:ascii="Segoe UI" w:hAnsi="Segoe UI" w:cs="Segoe UI"/>
        </w:rPr>
      </w:pPr>
      <w:r w:rsidRPr="00FE7783">
        <w:rPr>
          <w:rFonts w:ascii="Segoe UI" w:hAnsi="Segoe UI" w:cs="Segoe UI"/>
          <w:b/>
        </w:rPr>
        <w:t xml:space="preserve">Revisione delle informazioni. </w:t>
      </w:r>
      <w:r w:rsidR="00507D9A" w:rsidRPr="00FE7783">
        <w:rPr>
          <w:rFonts w:ascii="Segoe UI" w:hAnsi="Segoe UI" w:cs="Segoe UI"/>
        </w:rPr>
        <w:t>Nell</w:t>
      </w:r>
      <w:r w:rsidR="005D3A56">
        <w:rPr>
          <w:rFonts w:ascii="Segoe UI" w:hAnsi="Segoe UI" w:cs="Segoe UI"/>
        </w:rPr>
        <w:t xml:space="preserve">a quarta </w:t>
      </w:r>
      <w:r w:rsidR="00507D9A" w:rsidRPr="00FE7783">
        <w:rPr>
          <w:rFonts w:ascii="Segoe UI" w:hAnsi="Segoe UI" w:cs="Segoe UI"/>
        </w:rPr>
        <w:t xml:space="preserve">fase, l’organizzazione dovrebbe </w:t>
      </w:r>
      <w:r w:rsidRPr="00FE7783">
        <w:rPr>
          <w:rFonts w:ascii="Segoe UI" w:hAnsi="Segoe UI" w:cs="Segoe UI"/>
        </w:rPr>
        <w:t>procedere alla revisione di</w:t>
      </w:r>
      <w:r w:rsidR="00507D9A" w:rsidRPr="00FE7783">
        <w:rPr>
          <w:rFonts w:ascii="Segoe UI" w:hAnsi="Segoe UI" w:cs="Segoe UI"/>
        </w:rPr>
        <w:t xml:space="preserve"> tutte le informazioni inserite nei </w:t>
      </w:r>
      <w:r w:rsidR="00507D9A" w:rsidRPr="00042EC5">
        <w:rPr>
          <w:rFonts w:ascii="Segoe UI" w:hAnsi="Segoe UI" w:cs="Segoe UI"/>
          <w:i/>
        </w:rPr>
        <w:t>report</w:t>
      </w:r>
      <w:r w:rsidR="00507D9A" w:rsidRPr="00FE7783">
        <w:rPr>
          <w:rFonts w:ascii="Segoe UI" w:hAnsi="Segoe UI" w:cs="Segoe UI"/>
        </w:rPr>
        <w:t xml:space="preserve"> finanziari</w:t>
      </w:r>
      <w:r w:rsidRPr="00FE7783">
        <w:rPr>
          <w:rFonts w:ascii="Segoe UI" w:hAnsi="Segoe UI" w:cs="Segoe UI"/>
        </w:rPr>
        <w:t xml:space="preserve">, con l’obiettivo di </w:t>
      </w:r>
      <w:r w:rsidR="005D3A56">
        <w:rPr>
          <w:rFonts w:ascii="Segoe UI" w:hAnsi="Segoe UI" w:cs="Segoe UI"/>
        </w:rPr>
        <w:t xml:space="preserve">stabilire </w:t>
      </w:r>
      <w:r w:rsidRPr="00FE7783">
        <w:rPr>
          <w:rFonts w:ascii="Segoe UI" w:hAnsi="Segoe UI" w:cs="Segoe UI"/>
        </w:rPr>
        <w:t>se queste s</w:t>
      </w:r>
      <w:r w:rsidR="005D3A56">
        <w:rPr>
          <w:rFonts w:ascii="Segoe UI" w:hAnsi="Segoe UI" w:cs="Segoe UI"/>
        </w:rPr>
        <w:t xml:space="preserve">iano </w:t>
      </w:r>
      <w:r w:rsidRPr="00FE7783">
        <w:rPr>
          <w:rFonts w:ascii="Segoe UI" w:hAnsi="Segoe UI" w:cs="Segoe UI"/>
        </w:rPr>
        <w:t>rilevanti in forma autonoma</w:t>
      </w:r>
      <w:r w:rsidR="00507D9A" w:rsidRPr="00FE7783">
        <w:rPr>
          <w:rFonts w:ascii="Segoe UI" w:hAnsi="Segoe UI" w:cs="Segoe UI"/>
        </w:rPr>
        <w:t xml:space="preserve"> o in connessione con altre informazioni fornite. </w:t>
      </w:r>
      <w:r w:rsidR="003E4ABB">
        <w:rPr>
          <w:rFonts w:ascii="Segoe UI" w:hAnsi="Segoe UI" w:cs="Segoe UI"/>
        </w:rPr>
        <w:t xml:space="preserve">In questa attività ci si potrebbe rendere conto della necessità di </w:t>
      </w:r>
      <w:r w:rsidR="00507D9A" w:rsidRPr="00FE7783">
        <w:rPr>
          <w:rFonts w:ascii="Segoe UI" w:hAnsi="Segoe UI" w:cs="Segoe UI"/>
        </w:rPr>
        <w:t xml:space="preserve">includere </w:t>
      </w:r>
      <w:r w:rsidR="003E4ABB">
        <w:rPr>
          <w:rFonts w:ascii="Segoe UI" w:hAnsi="Segoe UI" w:cs="Segoe UI"/>
        </w:rPr>
        <w:t xml:space="preserve">nella </w:t>
      </w:r>
      <w:r w:rsidR="003E4ABB" w:rsidRPr="003E4ABB">
        <w:rPr>
          <w:rFonts w:ascii="Segoe UI" w:hAnsi="Segoe UI" w:cs="Segoe UI"/>
          <w:i/>
        </w:rPr>
        <w:t>disclosure</w:t>
      </w:r>
      <w:r w:rsidR="003E4ABB">
        <w:rPr>
          <w:rFonts w:ascii="Segoe UI" w:hAnsi="Segoe UI" w:cs="Segoe UI"/>
        </w:rPr>
        <w:t xml:space="preserve"> </w:t>
      </w:r>
      <w:r w:rsidR="005D3A56">
        <w:rPr>
          <w:rFonts w:ascii="Segoe UI" w:hAnsi="Segoe UI" w:cs="Segoe UI"/>
        </w:rPr>
        <w:t xml:space="preserve">informazioni precedentemente considerate </w:t>
      </w:r>
      <w:r w:rsidR="003E4ABB">
        <w:rPr>
          <w:rFonts w:ascii="Segoe UI" w:hAnsi="Segoe UI" w:cs="Segoe UI"/>
        </w:rPr>
        <w:t>ir</w:t>
      </w:r>
      <w:r w:rsidR="005D3A56">
        <w:rPr>
          <w:rFonts w:ascii="Segoe UI" w:hAnsi="Segoe UI" w:cs="Segoe UI"/>
        </w:rPr>
        <w:t xml:space="preserve">rilevanti o </w:t>
      </w:r>
      <w:r w:rsidR="00507D9A" w:rsidRPr="00FE7783">
        <w:rPr>
          <w:rFonts w:ascii="Segoe UI" w:hAnsi="Segoe UI" w:cs="Segoe UI"/>
        </w:rPr>
        <w:t xml:space="preserve">eliminare informazioni precedentemente considerate rilevanti, aggregando, disaggregando o riorganizzando le informazioni incluse nei </w:t>
      </w:r>
      <w:r w:rsidR="00507D9A" w:rsidRPr="003F6C53">
        <w:rPr>
          <w:rFonts w:ascii="Segoe UI" w:hAnsi="Segoe UI" w:cs="Segoe UI"/>
          <w:i/>
        </w:rPr>
        <w:t>report</w:t>
      </w:r>
      <w:r w:rsidR="00507D9A" w:rsidRPr="00FE7783">
        <w:rPr>
          <w:rFonts w:ascii="Segoe UI" w:hAnsi="Segoe UI" w:cs="Segoe UI"/>
        </w:rPr>
        <w:t xml:space="preserve"> finanziari.</w:t>
      </w:r>
    </w:p>
    <w:p w14:paraId="47D1BC11" w14:textId="62DE0517" w:rsidR="00345B56" w:rsidRDefault="001A6086" w:rsidP="00FE7783">
      <w:pPr>
        <w:autoSpaceDE w:val="0"/>
        <w:autoSpaceDN w:val="0"/>
        <w:adjustRightInd w:val="0"/>
        <w:spacing w:before="120" w:after="120" w:line="240" w:lineRule="auto"/>
        <w:jc w:val="both"/>
        <w:rPr>
          <w:rFonts w:ascii="Segoe UI" w:hAnsi="Segoe UI" w:cs="Segoe UI"/>
        </w:rPr>
      </w:pPr>
      <w:r w:rsidRPr="00FE7783">
        <w:rPr>
          <w:rFonts w:ascii="Segoe UI" w:hAnsi="Segoe UI" w:cs="Segoe UI"/>
        </w:rPr>
        <w:t>Da quanto precedentemente illustrato, emerge che</w:t>
      </w:r>
      <w:r w:rsidR="003E4ABB">
        <w:rPr>
          <w:rFonts w:ascii="Segoe UI" w:hAnsi="Segoe UI" w:cs="Segoe UI"/>
        </w:rPr>
        <w:t>,</w:t>
      </w:r>
      <w:r w:rsidRPr="00FE7783">
        <w:rPr>
          <w:rFonts w:ascii="Segoe UI" w:hAnsi="Segoe UI" w:cs="Segoe UI"/>
        </w:rPr>
        <w:t xml:space="preserve"> anche </w:t>
      </w:r>
      <w:r w:rsidR="003E4ABB">
        <w:rPr>
          <w:rFonts w:ascii="Segoe UI" w:hAnsi="Segoe UI" w:cs="Segoe UI"/>
        </w:rPr>
        <w:t>i</w:t>
      </w:r>
      <w:r w:rsidRPr="00FE7783">
        <w:rPr>
          <w:rFonts w:ascii="Segoe UI" w:hAnsi="Segoe UI" w:cs="Segoe UI"/>
        </w:rPr>
        <w:t xml:space="preserve">n riferimento alla definizione del principio della rilevanza per l’informativa di carattere finanziario, vi siano diverse fonti </w:t>
      </w:r>
      <w:r w:rsidR="00856A8D" w:rsidRPr="00FE7783">
        <w:rPr>
          <w:rFonts w:ascii="Segoe UI" w:hAnsi="Segoe UI" w:cs="Segoe UI"/>
        </w:rPr>
        <w:t>di riferimento,</w:t>
      </w:r>
      <w:r w:rsidRPr="00FE7783">
        <w:rPr>
          <w:rFonts w:ascii="Segoe UI" w:hAnsi="Segoe UI" w:cs="Segoe UI"/>
        </w:rPr>
        <w:t xml:space="preserve"> </w:t>
      </w:r>
      <w:r w:rsidR="00856A8D" w:rsidRPr="00FE7783">
        <w:rPr>
          <w:rFonts w:ascii="Segoe UI" w:hAnsi="Segoe UI" w:cs="Segoe UI"/>
        </w:rPr>
        <w:t xml:space="preserve">che si differenziano </w:t>
      </w:r>
      <w:r w:rsidRPr="00FE7783">
        <w:rPr>
          <w:rFonts w:ascii="Segoe UI" w:hAnsi="Segoe UI" w:cs="Segoe UI"/>
        </w:rPr>
        <w:t xml:space="preserve">in termini </w:t>
      </w:r>
      <w:r w:rsidR="003E7333">
        <w:rPr>
          <w:rFonts w:ascii="Segoe UI" w:hAnsi="Segoe UI" w:cs="Segoe UI"/>
        </w:rPr>
        <w:t xml:space="preserve">sia </w:t>
      </w:r>
      <w:r w:rsidRPr="00FE7783">
        <w:rPr>
          <w:rFonts w:ascii="Segoe UI" w:hAnsi="Segoe UI" w:cs="Segoe UI"/>
        </w:rPr>
        <w:t>di “</w:t>
      </w:r>
      <w:r w:rsidRPr="00FE7783">
        <w:rPr>
          <w:rFonts w:ascii="Segoe UI" w:hAnsi="Segoe UI" w:cs="Segoe UI"/>
          <w:i/>
        </w:rPr>
        <w:t>wording</w:t>
      </w:r>
      <w:r w:rsidRPr="00FE7783">
        <w:rPr>
          <w:rFonts w:ascii="Segoe UI" w:hAnsi="Segoe UI" w:cs="Segoe UI"/>
        </w:rPr>
        <w:t xml:space="preserve">” </w:t>
      </w:r>
      <w:r w:rsidR="003E7333">
        <w:rPr>
          <w:rFonts w:ascii="Segoe UI" w:hAnsi="Segoe UI" w:cs="Segoe UI"/>
        </w:rPr>
        <w:t xml:space="preserve">sia </w:t>
      </w:r>
      <w:r w:rsidRPr="00FE7783">
        <w:rPr>
          <w:rFonts w:ascii="Segoe UI" w:hAnsi="Segoe UI" w:cs="Segoe UI"/>
        </w:rPr>
        <w:t>di significato implicito nell’applicazione del concetto di “</w:t>
      </w:r>
      <w:r w:rsidRPr="00FE7783">
        <w:rPr>
          <w:rFonts w:ascii="Segoe UI" w:hAnsi="Segoe UI" w:cs="Segoe UI"/>
          <w:i/>
        </w:rPr>
        <w:t>materiality</w:t>
      </w:r>
      <w:r w:rsidRPr="00FE7783">
        <w:rPr>
          <w:rFonts w:ascii="Segoe UI" w:hAnsi="Segoe UI" w:cs="Segoe UI"/>
        </w:rPr>
        <w:t>”</w:t>
      </w:r>
      <w:r w:rsidR="003E7333">
        <w:rPr>
          <w:rFonts w:ascii="Segoe UI" w:hAnsi="Segoe UI" w:cs="Segoe UI"/>
        </w:rPr>
        <w:t xml:space="preserve">; in definitiva è questa la ragione per la quale </w:t>
      </w:r>
      <w:r w:rsidRPr="00FE7783">
        <w:rPr>
          <w:rFonts w:ascii="Segoe UI" w:hAnsi="Segoe UI" w:cs="Segoe UI"/>
        </w:rPr>
        <w:t xml:space="preserve">lo IASB sta procedendo ad una ridefinizione del principio </w:t>
      </w:r>
      <w:r w:rsidR="00856A8D" w:rsidRPr="00FE7783">
        <w:rPr>
          <w:rFonts w:ascii="Segoe UI" w:hAnsi="Segoe UI" w:cs="Segoe UI"/>
        </w:rPr>
        <w:t xml:space="preserve">di rilevanza </w:t>
      </w:r>
      <w:r w:rsidR="003E7333">
        <w:rPr>
          <w:rFonts w:ascii="Segoe UI" w:hAnsi="Segoe UI" w:cs="Segoe UI"/>
        </w:rPr>
        <w:t xml:space="preserve">negli </w:t>
      </w:r>
      <w:r w:rsidR="003A54AA" w:rsidRPr="00FE7783">
        <w:rPr>
          <w:rFonts w:ascii="Segoe UI" w:hAnsi="Segoe UI" w:cs="Segoe UI"/>
        </w:rPr>
        <w:t>IAS 1 e IAS 8</w:t>
      </w:r>
      <w:r w:rsidR="00DE7705" w:rsidRPr="00FE7783">
        <w:rPr>
          <w:rFonts w:ascii="Segoe UI" w:hAnsi="Segoe UI" w:cs="Segoe UI"/>
        </w:rPr>
        <w:t xml:space="preserve"> per giungere ad una determinazione univoca del concetto di “</w:t>
      </w:r>
      <w:r w:rsidR="00DE7705" w:rsidRPr="00FE7783">
        <w:rPr>
          <w:rFonts w:ascii="Segoe UI" w:hAnsi="Segoe UI" w:cs="Segoe UI"/>
          <w:i/>
        </w:rPr>
        <w:t>materiality</w:t>
      </w:r>
      <w:r w:rsidR="00DE7705" w:rsidRPr="00FE7783">
        <w:rPr>
          <w:rFonts w:ascii="Segoe UI" w:hAnsi="Segoe UI" w:cs="Segoe UI"/>
        </w:rPr>
        <w:t>”.</w:t>
      </w:r>
    </w:p>
    <w:p w14:paraId="31B498D5" w14:textId="77777777" w:rsidR="00937917" w:rsidRDefault="00937917" w:rsidP="00937917">
      <w:pPr>
        <w:autoSpaceDE w:val="0"/>
        <w:autoSpaceDN w:val="0"/>
        <w:adjustRightInd w:val="0"/>
        <w:spacing w:before="120" w:after="120" w:line="240" w:lineRule="auto"/>
        <w:jc w:val="both"/>
        <w:rPr>
          <w:rFonts w:ascii="Segoe UI" w:hAnsi="Segoe UI" w:cs="Segoe UI"/>
        </w:rPr>
        <w:sectPr w:rsidR="00937917" w:rsidSect="005F0C40">
          <w:pgSz w:w="11906" w:h="16838" w:code="9"/>
          <w:pgMar w:top="1985" w:right="1134" w:bottom="1134" w:left="1134" w:header="709" w:footer="709" w:gutter="0"/>
          <w:cols w:space="708"/>
          <w:docGrid w:linePitch="360"/>
        </w:sectPr>
      </w:pPr>
    </w:p>
    <w:p w14:paraId="5A1D323D" w14:textId="0D991914" w:rsidR="00F270C0" w:rsidRPr="00623F83" w:rsidRDefault="008F2FB9" w:rsidP="00623F83">
      <w:pPr>
        <w:keepNext/>
        <w:keepLines/>
        <w:tabs>
          <w:tab w:val="left" w:pos="567"/>
        </w:tabs>
        <w:spacing w:before="1080" w:after="1080" w:line="240" w:lineRule="auto"/>
        <w:ind w:left="567" w:hanging="567"/>
        <w:outlineLvl w:val="0"/>
        <w:rPr>
          <w:rFonts w:ascii="Segoe UI" w:eastAsiaTheme="minorHAnsi" w:hAnsi="Segoe UI" w:cs="Segoe UI"/>
          <w:sz w:val="32"/>
          <w:szCs w:val="32"/>
        </w:rPr>
      </w:pPr>
      <w:bookmarkStart w:id="25" w:name="_Toc456618303"/>
      <w:bookmarkStart w:id="26" w:name="_Toc507973958"/>
      <w:r>
        <w:rPr>
          <w:rFonts w:ascii="Segoe UI" w:eastAsiaTheme="minorHAnsi" w:hAnsi="Segoe UI" w:cs="Segoe UI"/>
          <w:sz w:val="32"/>
          <w:szCs w:val="32"/>
        </w:rPr>
        <w:t>6</w:t>
      </w:r>
      <w:r w:rsidR="00597104" w:rsidRPr="00623F83">
        <w:rPr>
          <w:rFonts w:ascii="Segoe UI" w:eastAsiaTheme="minorHAnsi" w:hAnsi="Segoe UI" w:cs="Segoe UI"/>
          <w:sz w:val="32"/>
          <w:szCs w:val="32"/>
        </w:rPr>
        <w:tab/>
      </w:r>
      <w:r w:rsidR="00EF148F" w:rsidRPr="00EF148F">
        <w:rPr>
          <w:rFonts w:ascii="Segoe UI" w:eastAsiaTheme="minorHAnsi" w:hAnsi="Segoe UI" w:cs="Segoe UI"/>
          <w:i/>
          <w:sz w:val="32"/>
          <w:szCs w:val="32"/>
        </w:rPr>
        <w:t>Relevance</w:t>
      </w:r>
      <w:r w:rsidR="00EF148F">
        <w:rPr>
          <w:rFonts w:ascii="Segoe UI" w:eastAsiaTheme="minorHAnsi" w:hAnsi="Segoe UI" w:cs="Segoe UI"/>
          <w:sz w:val="32"/>
          <w:szCs w:val="32"/>
        </w:rPr>
        <w:t xml:space="preserve"> e </w:t>
      </w:r>
      <w:r w:rsidR="00EF148F" w:rsidRPr="00EF148F">
        <w:rPr>
          <w:rFonts w:ascii="Segoe UI" w:eastAsiaTheme="minorHAnsi" w:hAnsi="Segoe UI" w:cs="Segoe UI"/>
          <w:i/>
          <w:sz w:val="32"/>
          <w:szCs w:val="32"/>
        </w:rPr>
        <w:t>materiality</w:t>
      </w:r>
      <w:r w:rsidR="00EF148F">
        <w:rPr>
          <w:rFonts w:ascii="Segoe UI" w:eastAsiaTheme="minorHAnsi" w:hAnsi="Segoe UI" w:cs="Segoe UI"/>
          <w:sz w:val="32"/>
          <w:szCs w:val="32"/>
        </w:rPr>
        <w:t xml:space="preserve"> </w:t>
      </w:r>
      <w:r w:rsidR="00F270C0" w:rsidRPr="00FB32F4">
        <w:rPr>
          <w:rFonts w:ascii="Segoe UI" w:eastAsiaTheme="minorHAnsi" w:hAnsi="Segoe UI" w:cs="Segoe UI"/>
          <w:sz w:val="32"/>
          <w:szCs w:val="32"/>
        </w:rPr>
        <w:t>nella</w:t>
      </w:r>
      <w:r w:rsidR="00F270C0" w:rsidRPr="00623F83">
        <w:rPr>
          <w:rFonts w:ascii="Segoe UI" w:eastAsiaTheme="minorHAnsi" w:hAnsi="Segoe UI" w:cs="Segoe UI"/>
          <w:sz w:val="32"/>
          <w:szCs w:val="32"/>
        </w:rPr>
        <w:t xml:space="preserve"> </w:t>
      </w:r>
      <w:r w:rsidR="00F270C0" w:rsidRPr="00623F83">
        <w:rPr>
          <w:rFonts w:ascii="Segoe UI" w:eastAsiaTheme="minorHAnsi" w:hAnsi="Segoe UI" w:cs="Segoe UI"/>
          <w:i/>
          <w:sz w:val="32"/>
          <w:szCs w:val="32"/>
        </w:rPr>
        <w:t>non-financial disclosure</w:t>
      </w:r>
      <w:r w:rsidR="00F270C0" w:rsidRPr="00623F83">
        <w:rPr>
          <w:rFonts w:ascii="Segoe UI" w:eastAsiaTheme="minorHAnsi" w:hAnsi="Segoe UI" w:cs="Segoe UI"/>
          <w:sz w:val="32"/>
          <w:szCs w:val="32"/>
        </w:rPr>
        <w:t xml:space="preserve">: </w:t>
      </w:r>
      <w:bookmarkEnd w:id="25"/>
      <w:r w:rsidR="00891365">
        <w:rPr>
          <w:rFonts w:ascii="Segoe UI" w:eastAsiaTheme="minorHAnsi" w:hAnsi="Segoe UI" w:cs="Segoe UI"/>
          <w:sz w:val="32"/>
          <w:szCs w:val="32"/>
        </w:rPr>
        <w:t xml:space="preserve">varietà degli </w:t>
      </w:r>
      <w:r w:rsidR="00F270C0" w:rsidRPr="00623F83">
        <w:rPr>
          <w:rFonts w:ascii="Segoe UI" w:eastAsiaTheme="minorHAnsi" w:hAnsi="Segoe UI" w:cs="Segoe UI"/>
          <w:sz w:val="32"/>
          <w:szCs w:val="32"/>
        </w:rPr>
        <w:t xml:space="preserve">approcci </w:t>
      </w:r>
      <w:r w:rsidR="005C504A" w:rsidRPr="00623F83">
        <w:rPr>
          <w:rFonts w:ascii="Segoe UI" w:eastAsiaTheme="minorHAnsi" w:hAnsi="Segoe UI" w:cs="Segoe UI"/>
          <w:sz w:val="32"/>
          <w:szCs w:val="32"/>
        </w:rPr>
        <w:t xml:space="preserve">per la </w:t>
      </w:r>
      <w:r w:rsidR="00891365">
        <w:rPr>
          <w:rFonts w:ascii="Segoe UI" w:eastAsiaTheme="minorHAnsi" w:hAnsi="Segoe UI" w:cs="Segoe UI"/>
          <w:sz w:val="32"/>
          <w:szCs w:val="32"/>
        </w:rPr>
        <w:t xml:space="preserve">loro </w:t>
      </w:r>
      <w:r w:rsidR="005C504A" w:rsidRPr="00623F83">
        <w:rPr>
          <w:rFonts w:ascii="Segoe UI" w:eastAsiaTheme="minorHAnsi" w:hAnsi="Segoe UI" w:cs="Segoe UI"/>
          <w:sz w:val="32"/>
          <w:szCs w:val="32"/>
        </w:rPr>
        <w:t>applicazione</w:t>
      </w:r>
      <w:bookmarkEnd w:id="26"/>
    </w:p>
    <w:p w14:paraId="2D1D4094" w14:textId="6E1A503F" w:rsidR="00F270C0" w:rsidRPr="0062207D" w:rsidRDefault="00F270C0" w:rsidP="00F270C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L’aspetto centrale di ogni confronto sulle disposizioni normative è connesso alla quantità e alla qualità delle informazioni oggetto di </w:t>
      </w:r>
      <w:r w:rsidRPr="0062207D">
        <w:rPr>
          <w:rFonts w:ascii="Segoe UI" w:hAnsi="Segoe UI" w:cs="Segoe UI"/>
          <w:i/>
          <w:szCs w:val="20"/>
        </w:rPr>
        <w:t>disclosure</w:t>
      </w:r>
      <w:r w:rsidRPr="0062207D">
        <w:rPr>
          <w:rFonts w:ascii="Segoe UI" w:hAnsi="Segoe UI" w:cs="Segoe UI"/>
          <w:szCs w:val="20"/>
        </w:rPr>
        <w:t xml:space="preserve"> obbligatoria.</w:t>
      </w:r>
    </w:p>
    <w:p w14:paraId="56432F40" w14:textId="74397EB6" w:rsidR="00F270C0" w:rsidRPr="0062207D" w:rsidRDefault="00F270C0" w:rsidP="00F270C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Il d</w:t>
      </w:r>
      <w:r w:rsidR="007C29F8" w:rsidRPr="0062207D">
        <w:rPr>
          <w:rFonts w:ascii="Segoe UI" w:hAnsi="Segoe UI" w:cs="Segoe UI"/>
          <w:szCs w:val="20"/>
        </w:rPr>
        <w:t>.lgs. n. 254/2016</w:t>
      </w:r>
      <w:r w:rsidRPr="0062207D">
        <w:rPr>
          <w:rFonts w:ascii="Segoe UI" w:hAnsi="Segoe UI" w:cs="Segoe UI"/>
          <w:szCs w:val="20"/>
        </w:rPr>
        <w:t xml:space="preserve"> prevede che la dichiarazione di carattere non finanziario includa almeno informazioni ambientali, sociali, attinenti al personale, al rispetto dei diritti umani e alla lotta contro la corruzione attiva e passiva; tra queste informazioni devono esservi la descrizione della politica applicata dall’impresa in merito ai predetti aspetti, i risultati di tali politiche, e i rischi connessi a tali aspetti nonché le relative modalità di gestione adottate dalla società.</w:t>
      </w:r>
    </w:p>
    <w:p w14:paraId="6A78A102" w14:textId="2D13C3A4" w:rsidR="00F270C0" w:rsidRPr="0062207D" w:rsidRDefault="00F270C0" w:rsidP="00F270C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In sintesi, ricordando sempre che l’obiettivo comunitario è quello di perseguire un approccio flessibile e poco oneroso per le imprese, non ci si può non chiedere quali informazioni di minima occorra fornire per dimostrarsi </w:t>
      </w:r>
      <w:r w:rsidRPr="0062207D">
        <w:rPr>
          <w:rFonts w:ascii="Segoe UI" w:hAnsi="Segoe UI" w:cs="Segoe UI"/>
          <w:i/>
          <w:szCs w:val="20"/>
        </w:rPr>
        <w:t>compliant</w:t>
      </w:r>
      <w:r w:rsidRPr="0062207D">
        <w:rPr>
          <w:rFonts w:ascii="Segoe UI" w:hAnsi="Segoe UI" w:cs="Segoe UI"/>
          <w:szCs w:val="20"/>
        </w:rPr>
        <w:t xml:space="preserve"> alla norma, con quale livello di approfondimento e, soprattutto, come valutare l’adeguatezza e la rilevanza delle stesse, in base a quali parametri, o sulla base del giudizio di quali eventuali operatori di settore.</w:t>
      </w:r>
    </w:p>
    <w:p w14:paraId="30C5C61C" w14:textId="553A24BB" w:rsidR="00F270C0" w:rsidRPr="0062207D" w:rsidRDefault="00F270C0" w:rsidP="00F270C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La prima osservazione riguarda la locuzione </w:t>
      </w:r>
      <w:r w:rsidR="00956FEB" w:rsidRPr="0062207D">
        <w:rPr>
          <w:rFonts w:ascii="Segoe UI" w:hAnsi="Segoe UI" w:cs="Segoe UI"/>
          <w:szCs w:val="20"/>
        </w:rPr>
        <w:t>“</w:t>
      </w:r>
      <w:r w:rsidR="003E7333" w:rsidRPr="003E7333">
        <w:rPr>
          <w:rFonts w:ascii="Segoe UI" w:hAnsi="Segoe UI" w:cs="Segoe UI"/>
          <w:i/>
          <w:szCs w:val="20"/>
        </w:rPr>
        <w:t>n</w:t>
      </w:r>
      <w:r w:rsidR="00956FEB" w:rsidRPr="0062207D">
        <w:rPr>
          <w:rFonts w:ascii="Segoe UI" w:hAnsi="Segoe UI" w:cs="Segoe UI"/>
          <w:i/>
          <w:szCs w:val="20"/>
        </w:rPr>
        <w:t>on-financial statement</w:t>
      </w:r>
      <w:r w:rsidR="00956FEB" w:rsidRPr="0062207D">
        <w:rPr>
          <w:rFonts w:ascii="Segoe UI" w:hAnsi="Segoe UI" w:cs="Segoe UI"/>
          <w:szCs w:val="20"/>
        </w:rPr>
        <w:t>” (“</w:t>
      </w:r>
      <w:r w:rsidRPr="0062207D">
        <w:rPr>
          <w:rFonts w:ascii="Segoe UI" w:hAnsi="Segoe UI" w:cs="Segoe UI"/>
          <w:i/>
          <w:szCs w:val="20"/>
        </w:rPr>
        <w:t>dichiarazione di carattere non finanziario</w:t>
      </w:r>
      <w:r w:rsidRPr="0062207D">
        <w:rPr>
          <w:rFonts w:ascii="Segoe UI" w:hAnsi="Segoe UI" w:cs="Segoe UI"/>
          <w:szCs w:val="20"/>
        </w:rPr>
        <w:t>”; si tratta di un annoso problema terminologico</w:t>
      </w:r>
      <w:r w:rsidR="007C29F8" w:rsidRPr="0062207D">
        <w:rPr>
          <w:rFonts w:ascii="Segoe UI" w:hAnsi="Segoe UI" w:cs="Segoe UI"/>
          <w:szCs w:val="20"/>
        </w:rPr>
        <w:t xml:space="preserve"> ma</w:t>
      </w:r>
      <w:r w:rsidRPr="0062207D">
        <w:rPr>
          <w:rFonts w:ascii="Segoe UI" w:hAnsi="Segoe UI" w:cs="Segoe UI"/>
          <w:szCs w:val="20"/>
        </w:rPr>
        <w:t xml:space="preserve"> non secondario, che rende la locuzione </w:t>
      </w:r>
      <w:r w:rsidR="003F6C53">
        <w:rPr>
          <w:rFonts w:ascii="Segoe UI" w:hAnsi="Segoe UI" w:cs="Segoe UI"/>
          <w:szCs w:val="20"/>
        </w:rPr>
        <w:t>alquanto</w:t>
      </w:r>
      <w:r w:rsidRPr="0062207D">
        <w:rPr>
          <w:rFonts w:ascii="Segoe UI" w:hAnsi="Segoe UI" w:cs="Segoe UI"/>
          <w:szCs w:val="20"/>
        </w:rPr>
        <w:t xml:space="preserve"> ambigua e la traduzione in italiano </w:t>
      </w:r>
      <w:r w:rsidR="00A81D77">
        <w:rPr>
          <w:rFonts w:ascii="Segoe UI" w:hAnsi="Segoe UI" w:cs="Segoe UI"/>
          <w:szCs w:val="20"/>
        </w:rPr>
        <w:t xml:space="preserve">(in una certa misura) </w:t>
      </w:r>
      <w:r w:rsidRPr="0062207D">
        <w:rPr>
          <w:rFonts w:ascii="Segoe UI" w:hAnsi="Segoe UI" w:cs="Segoe UI"/>
          <w:szCs w:val="20"/>
        </w:rPr>
        <w:t>inadeguata allo scopo e meno efficace di quanto sarebbe possibile nel definire la fattispecie cui si riferisce. In ambito anglosassone, infatti, il termine “</w:t>
      </w:r>
      <w:r w:rsidRPr="0062207D">
        <w:rPr>
          <w:rFonts w:ascii="Segoe UI" w:hAnsi="Segoe UI" w:cs="Segoe UI"/>
          <w:i/>
          <w:szCs w:val="20"/>
        </w:rPr>
        <w:t>financial</w:t>
      </w:r>
      <w:r w:rsidRPr="0062207D">
        <w:rPr>
          <w:rFonts w:ascii="Segoe UI" w:hAnsi="Segoe UI" w:cs="Segoe UI"/>
          <w:szCs w:val="20"/>
        </w:rPr>
        <w:t xml:space="preserve">” in relazione ai documenti obbligatori di comunicazione aziendale ha una valenza che potremmo tradurre, nel nostro contesto nazionale, con la locuzione “economico-finanziario” (o anche economico-contabile); </w:t>
      </w:r>
      <w:r w:rsidR="003E7333">
        <w:rPr>
          <w:rFonts w:ascii="Segoe UI" w:hAnsi="Segoe UI" w:cs="Segoe UI"/>
          <w:szCs w:val="20"/>
        </w:rPr>
        <w:t>nella versione italiana della direttiva 2014/95/UE</w:t>
      </w:r>
      <w:r w:rsidRPr="0062207D">
        <w:rPr>
          <w:rFonts w:ascii="Segoe UI" w:hAnsi="Segoe UI" w:cs="Segoe UI"/>
          <w:szCs w:val="20"/>
        </w:rPr>
        <w:t xml:space="preserve"> e poi </w:t>
      </w:r>
      <w:r w:rsidR="003E7333">
        <w:rPr>
          <w:rFonts w:ascii="Segoe UI" w:hAnsi="Segoe UI" w:cs="Segoe UI"/>
          <w:szCs w:val="20"/>
        </w:rPr>
        <w:t xml:space="preserve">in sede </w:t>
      </w:r>
      <w:r w:rsidRPr="0062207D">
        <w:rPr>
          <w:rFonts w:ascii="Segoe UI" w:hAnsi="Segoe UI" w:cs="Segoe UI"/>
          <w:szCs w:val="20"/>
        </w:rPr>
        <w:t>di recepimento e traduzione, in ambito nazionale, delle direttive contabili (dalla direttiva 2003/51/CE fino alla 2013/34/UE), si è scelto sempre di non discostarsi da una traduzione letterale del termine “</w:t>
      </w:r>
      <w:r w:rsidRPr="0062207D">
        <w:rPr>
          <w:rFonts w:ascii="Segoe UI" w:hAnsi="Segoe UI" w:cs="Segoe UI"/>
          <w:i/>
          <w:szCs w:val="20"/>
        </w:rPr>
        <w:t>financial</w:t>
      </w:r>
      <w:r w:rsidRPr="0062207D">
        <w:rPr>
          <w:rFonts w:ascii="Segoe UI" w:hAnsi="Segoe UI" w:cs="Segoe UI"/>
          <w:szCs w:val="20"/>
        </w:rPr>
        <w:t xml:space="preserve">”; d’altro canto, sembra evidente l’esigenza di fornire informazioni di carattere finanziario o economico quando occorra procedere alla </w:t>
      </w:r>
      <w:r w:rsidRPr="0062207D">
        <w:rPr>
          <w:rFonts w:ascii="Segoe UI" w:hAnsi="Segoe UI" w:cs="Segoe UI"/>
          <w:i/>
          <w:szCs w:val="20"/>
        </w:rPr>
        <w:t>disclosure</w:t>
      </w:r>
      <w:r w:rsidRPr="0062207D">
        <w:rPr>
          <w:rFonts w:ascii="Segoe UI" w:hAnsi="Segoe UI" w:cs="Segoe UI"/>
          <w:szCs w:val="20"/>
        </w:rPr>
        <w:t xml:space="preserve"> ambientale e sociale o relativa alle dinamiche di corruzione, con riguardo alla</w:t>
      </w:r>
      <w:r w:rsidRPr="0062207D">
        <w:rPr>
          <w:rFonts w:ascii="Segoe UI" w:hAnsi="Segoe UI" w:cs="Segoe UI"/>
          <w:i/>
          <w:szCs w:val="20"/>
        </w:rPr>
        <w:t xml:space="preserve"> </w:t>
      </w:r>
      <w:r w:rsidRPr="0062207D">
        <w:rPr>
          <w:rFonts w:ascii="Segoe UI" w:hAnsi="Segoe UI" w:cs="Segoe UI"/>
          <w:szCs w:val="20"/>
        </w:rPr>
        <w:t>descrizione</w:t>
      </w:r>
      <w:r w:rsidRPr="0062207D">
        <w:rPr>
          <w:rFonts w:ascii="Segoe UI" w:hAnsi="Segoe UI" w:cs="Segoe UI"/>
          <w:i/>
          <w:szCs w:val="20"/>
        </w:rPr>
        <w:t xml:space="preserve"> </w:t>
      </w:r>
      <w:r w:rsidRPr="0062207D">
        <w:rPr>
          <w:rFonts w:ascii="Segoe UI" w:hAnsi="Segoe UI" w:cs="Segoe UI"/>
          <w:szCs w:val="20"/>
        </w:rPr>
        <w:t>delle “</w:t>
      </w:r>
      <w:r w:rsidRPr="0062207D">
        <w:rPr>
          <w:rFonts w:ascii="Segoe UI" w:hAnsi="Segoe UI" w:cs="Segoe UI"/>
          <w:i/>
          <w:szCs w:val="20"/>
        </w:rPr>
        <w:t>politiche praticate dall’impresa</w:t>
      </w:r>
      <w:r w:rsidRPr="0062207D">
        <w:rPr>
          <w:rFonts w:ascii="Segoe UI" w:hAnsi="Segoe UI" w:cs="Segoe UI"/>
          <w:szCs w:val="20"/>
        </w:rPr>
        <w:t xml:space="preserve">” in merito ai predetti aspetti (e, quindi, progetti, risorse, fondi riservati ai relativi </w:t>
      </w:r>
      <w:r w:rsidRPr="0062207D">
        <w:rPr>
          <w:rFonts w:ascii="Segoe UI" w:hAnsi="Segoe UI" w:cs="Segoe UI"/>
          <w:i/>
          <w:szCs w:val="20"/>
        </w:rPr>
        <w:t>stakeholder</w:t>
      </w:r>
      <w:r w:rsidR="00956FEB" w:rsidRPr="0062207D">
        <w:rPr>
          <w:rFonts w:ascii="Segoe UI" w:hAnsi="Segoe UI" w:cs="Segoe UI"/>
          <w:szCs w:val="20"/>
        </w:rPr>
        <w:t>,</w:t>
      </w:r>
      <w:r w:rsidRPr="0062207D">
        <w:rPr>
          <w:rFonts w:ascii="Segoe UI" w:hAnsi="Segoe UI" w:cs="Segoe UI"/>
          <w:szCs w:val="20"/>
        </w:rPr>
        <w:t xml:space="preserve"> ecc.), ai</w:t>
      </w:r>
      <w:r w:rsidRPr="0062207D">
        <w:rPr>
          <w:rFonts w:ascii="Segoe UI" w:hAnsi="Segoe UI" w:cs="Segoe UI"/>
          <w:i/>
          <w:szCs w:val="20"/>
        </w:rPr>
        <w:t xml:space="preserve"> “risultati conseguiti</w:t>
      </w:r>
      <w:r w:rsidRPr="0062207D">
        <w:rPr>
          <w:rFonts w:ascii="Segoe UI" w:hAnsi="Segoe UI" w:cs="Segoe UI"/>
          <w:szCs w:val="20"/>
        </w:rPr>
        <w:t>”</w:t>
      </w:r>
      <w:r w:rsidRPr="0062207D">
        <w:rPr>
          <w:rFonts w:ascii="Segoe UI" w:hAnsi="Segoe UI" w:cs="Segoe UI"/>
          <w:i/>
          <w:szCs w:val="20"/>
        </w:rPr>
        <w:t xml:space="preserve"> </w:t>
      </w:r>
      <w:r w:rsidRPr="0062207D">
        <w:rPr>
          <w:rFonts w:ascii="Segoe UI" w:hAnsi="Segoe UI" w:cs="Segoe UI"/>
          <w:szCs w:val="20"/>
        </w:rPr>
        <w:t>tramite tali politiche</w:t>
      </w:r>
      <w:r w:rsidRPr="0062207D">
        <w:rPr>
          <w:rFonts w:ascii="Segoe UI" w:hAnsi="Segoe UI" w:cs="Segoe UI"/>
          <w:i/>
          <w:szCs w:val="20"/>
        </w:rPr>
        <w:t xml:space="preserve"> </w:t>
      </w:r>
      <w:r w:rsidRPr="0062207D">
        <w:rPr>
          <w:rFonts w:ascii="Segoe UI" w:hAnsi="Segoe UI" w:cs="Segoe UI"/>
          <w:szCs w:val="20"/>
        </w:rPr>
        <w:t xml:space="preserve">(e, quindi, target nella dimensione quantitativa e qualitativa, ma anche costi e benefici legati a tali </w:t>
      </w:r>
      <w:r w:rsidRPr="00500B94">
        <w:rPr>
          <w:rFonts w:ascii="Segoe UI" w:hAnsi="Segoe UI" w:cs="Segoe UI"/>
          <w:i/>
          <w:szCs w:val="20"/>
        </w:rPr>
        <w:t>target</w:t>
      </w:r>
      <w:r w:rsidRPr="0062207D">
        <w:rPr>
          <w:rFonts w:ascii="Segoe UI" w:hAnsi="Segoe UI" w:cs="Segoe UI"/>
          <w:szCs w:val="20"/>
        </w:rPr>
        <w:t xml:space="preserve">, impatti della iniziative intraprese, </w:t>
      </w:r>
      <w:r w:rsidRPr="00500B94">
        <w:rPr>
          <w:rFonts w:ascii="Segoe UI" w:hAnsi="Segoe UI" w:cs="Segoe UI"/>
          <w:i/>
          <w:szCs w:val="20"/>
        </w:rPr>
        <w:t>target</w:t>
      </w:r>
      <w:r w:rsidRPr="0062207D">
        <w:rPr>
          <w:rFonts w:ascii="Segoe UI" w:hAnsi="Segoe UI" w:cs="Segoe UI"/>
          <w:szCs w:val="20"/>
        </w:rPr>
        <w:t xml:space="preserve"> per i prossimi anni, ecc.) e ai “</w:t>
      </w:r>
      <w:r w:rsidRPr="0062207D">
        <w:rPr>
          <w:rFonts w:ascii="Segoe UI" w:hAnsi="Segoe UI" w:cs="Segoe UI"/>
          <w:i/>
          <w:szCs w:val="20"/>
        </w:rPr>
        <w:t>principali rischi, generati o subiti, connessi ai suddetti temi e che derivano dalle attività dell'impresa, dai suoi prodotti, servizi o rapporti commerciali, incluse, ove rilevanti, le catene di fornitura e subappalto</w:t>
      </w:r>
      <w:r w:rsidRPr="0062207D">
        <w:rPr>
          <w:rFonts w:ascii="Segoe UI" w:hAnsi="Segoe UI" w:cs="Segoe UI"/>
          <w:szCs w:val="20"/>
        </w:rPr>
        <w:t>”</w:t>
      </w:r>
      <w:r w:rsidRPr="009841BA">
        <w:rPr>
          <w:sz w:val="18"/>
          <w:szCs w:val="18"/>
        </w:rPr>
        <w:t xml:space="preserve"> </w:t>
      </w:r>
      <w:r w:rsidRPr="0062207D">
        <w:rPr>
          <w:rFonts w:ascii="Segoe UI" w:hAnsi="Segoe UI" w:cs="Segoe UI"/>
          <w:szCs w:val="20"/>
        </w:rPr>
        <w:t>(e, quindi, quantificazione degli stessi, tanto in termini probabilistici quanto nella potenziale dimensione economico-finanziar</w:t>
      </w:r>
      <w:r w:rsidR="00F03CD2">
        <w:rPr>
          <w:rFonts w:ascii="Segoe UI" w:hAnsi="Segoe UI" w:cs="Segoe UI"/>
          <w:szCs w:val="20"/>
        </w:rPr>
        <w:t>i</w:t>
      </w:r>
      <w:r w:rsidRPr="0062207D">
        <w:rPr>
          <w:rFonts w:ascii="Segoe UI" w:hAnsi="Segoe UI" w:cs="Segoe UI"/>
          <w:szCs w:val="20"/>
        </w:rPr>
        <w:t>a, azioni correttive per la mitigazione dei rischi, stanziamenti, fonti, impieghi, ecc.).</w:t>
      </w:r>
    </w:p>
    <w:p w14:paraId="2E4DE7BB" w14:textId="472AEB36" w:rsidR="00F270C0" w:rsidRPr="0062207D" w:rsidRDefault="00F270C0" w:rsidP="00F270C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Nell’ambito della </w:t>
      </w:r>
      <w:r w:rsidRPr="0062207D">
        <w:rPr>
          <w:rFonts w:ascii="Segoe UI" w:hAnsi="Segoe UI" w:cs="Segoe UI"/>
          <w:i/>
          <w:szCs w:val="20"/>
        </w:rPr>
        <w:t>disclosure</w:t>
      </w:r>
      <w:r w:rsidRPr="0062207D">
        <w:rPr>
          <w:rFonts w:ascii="Segoe UI" w:hAnsi="Segoe UI" w:cs="Segoe UI"/>
          <w:szCs w:val="20"/>
        </w:rPr>
        <w:t xml:space="preserve"> non</w:t>
      </w:r>
      <w:r w:rsidR="00DB0A39">
        <w:rPr>
          <w:rFonts w:ascii="Segoe UI" w:hAnsi="Segoe UI" w:cs="Segoe UI"/>
          <w:szCs w:val="20"/>
        </w:rPr>
        <w:t xml:space="preserve"> </w:t>
      </w:r>
      <w:r w:rsidRPr="0062207D">
        <w:rPr>
          <w:rFonts w:ascii="Segoe UI" w:hAnsi="Segoe UI" w:cs="Segoe UI"/>
          <w:szCs w:val="20"/>
        </w:rPr>
        <w:t xml:space="preserve">finanziaria, assume particolare </w:t>
      </w:r>
      <w:r w:rsidR="00956FEB" w:rsidRPr="0062207D">
        <w:rPr>
          <w:rFonts w:ascii="Segoe UI" w:hAnsi="Segoe UI" w:cs="Segoe UI"/>
          <w:szCs w:val="20"/>
        </w:rPr>
        <w:t xml:space="preserve">importanza </w:t>
      </w:r>
      <w:r w:rsidRPr="0062207D">
        <w:rPr>
          <w:rFonts w:ascii="Segoe UI" w:hAnsi="Segoe UI" w:cs="Segoe UI"/>
          <w:szCs w:val="20"/>
        </w:rPr>
        <w:t xml:space="preserve">la definizione del principio della </w:t>
      </w:r>
      <w:r w:rsidR="001D4CD6" w:rsidRPr="0062207D">
        <w:rPr>
          <w:rFonts w:ascii="Segoe UI" w:hAnsi="Segoe UI" w:cs="Segoe UI"/>
          <w:szCs w:val="20"/>
        </w:rPr>
        <w:t>rilevanza</w:t>
      </w:r>
      <w:r w:rsidRPr="0062207D">
        <w:rPr>
          <w:rFonts w:ascii="Segoe UI" w:hAnsi="Segoe UI" w:cs="Segoe UI"/>
          <w:szCs w:val="20"/>
        </w:rPr>
        <w:t xml:space="preserve">, poiché la declinazione di questo principio nelle sue diverse accezioni </w:t>
      </w:r>
      <w:r w:rsidR="00956FEB" w:rsidRPr="0062207D">
        <w:rPr>
          <w:rFonts w:ascii="Segoe UI" w:hAnsi="Segoe UI" w:cs="Segoe UI"/>
          <w:szCs w:val="20"/>
        </w:rPr>
        <w:t xml:space="preserve">può </w:t>
      </w:r>
      <w:r w:rsidRPr="0062207D">
        <w:rPr>
          <w:rFonts w:ascii="Segoe UI" w:hAnsi="Segoe UI" w:cs="Segoe UI"/>
          <w:szCs w:val="20"/>
        </w:rPr>
        <w:t>limita</w:t>
      </w:r>
      <w:r w:rsidR="00956FEB" w:rsidRPr="0062207D">
        <w:rPr>
          <w:rFonts w:ascii="Segoe UI" w:hAnsi="Segoe UI" w:cs="Segoe UI"/>
          <w:szCs w:val="20"/>
        </w:rPr>
        <w:t xml:space="preserve">re </w:t>
      </w:r>
      <w:r w:rsidRPr="0062207D">
        <w:rPr>
          <w:rFonts w:ascii="Segoe UI" w:hAnsi="Segoe UI" w:cs="Segoe UI"/>
          <w:szCs w:val="20"/>
        </w:rPr>
        <w:t xml:space="preserve">la possibilità di giungere ad una univoca rappresentazione </w:t>
      </w:r>
      <w:r w:rsidR="00956FEB" w:rsidRPr="0062207D">
        <w:rPr>
          <w:rFonts w:ascii="Segoe UI" w:hAnsi="Segoe UI" w:cs="Segoe UI"/>
          <w:szCs w:val="20"/>
        </w:rPr>
        <w:t xml:space="preserve">dei fenomeni aziendali </w:t>
      </w:r>
      <w:r w:rsidRPr="0062207D">
        <w:rPr>
          <w:rFonts w:ascii="Segoe UI" w:hAnsi="Segoe UI" w:cs="Segoe UI"/>
          <w:szCs w:val="20"/>
        </w:rPr>
        <w:t>media</w:t>
      </w:r>
      <w:r w:rsidR="00956FEB" w:rsidRPr="0062207D">
        <w:rPr>
          <w:rFonts w:ascii="Segoe UI" w:hAnsi="Segoe UI" w:cs="Segoe UI"/>
          <w:szCs w:val="20"/>
        </w:rPr>
        <w:t>n</w:t>
      </w:r>
      <w:r w:rsidRPr="0062207D">
        <w:rPr>
          <w:rFonts w:ascii="Segoe UI" w:hAnsi="Segoe UI" w:cs="Segoe UI"/>
          <w:szCs w:val="20"/>
        </w:rPr>
        <w:t xml:space="preserve">te il </w:t>
      </w:r>
      <w:r w:rsidRPr="0062207D">
        <w:rPr>
          <w:rFonts w:ascii="Segoe UI" w:hAnsi="Segoe UI" w:cs="Segoe UI"/>
          <w:i/>
          <w:szCs w:val="20"/>
        </w:rPr>
        <w:t>repo</w:t>
      </w:r>
      <w:r w:rsidR="00956FEB" w:rsidRPr="0062207D">
        <w:rPr>
          <w:rFonts w:ascii="Segoe UI" w:hAnsi="Segoe UI" w:cs="Segoe UI"/>
          <w:i/>
          <w:szCs w:val="20"/>
        </w:rPr>
        <w:t>r</w:t>
      </w:r>
      <w:r w:rsidRPr="0062207D">
        <w:rPr>
          <w:rFonts w:ascii="Segoe UI" w:hAnsi="Segoe UI" w:cs="Segoe UI"/>
          <w:i/>
          <w:szCs w:val="20"/>
        </w:rPr>
        <w:t>ting</w:t>
      </w:r>
      <w:r w:rsidRPr="0062207D">
        <w:rPr>
          <w:rFonts w:ascii="Segoe UI" w:hAnsi="Segoe UI" w:cs="Segoe UI"/>
          <w:szCs w:val="20"/>
        </w:rPr>
        <w:t>, soprattutto in termini parametrici e dimensionali.</w:t>
      </w:r>
    </w:p>
    <w:p w14:paraId="617238F5" w14:textId="77777777" w:rsidR="00967F54" w:rsidRPr="0062207D" w:rsidRDefault="00F270C0" w:rsidP="00967F54">
      <w:pPr>
        <w:keepNext/>
        <w:keepLines/>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Per ovviare alla questione e, allo stesso tempo, per adempiere le previsioni della direttiva, le imprese posso</w:t>
      </w:r>
      <w:r w:rsidR="00967F54">
        <w:rPr>
          <w:rFonts w:ascii="Segoe UI" w:hAnsi="Segoe UI" w:cs="Segoe UI"/>
          <w:szCs w:val="20"/>
        </w:rPr>
        <w:t>no</w:t>
      </w:r>
      <w:r w:rsidRPr="0062207D">
        <w:rPr>
          <w:rFonts w:ascii="Segoe UI" w:hAnsi="Segoe UI" w:cs="Segoe UI"/>
          <w:szCs w:val="20"/>
        </w:rPr>
        <w:t xml:space="preserve"> riferirsi a </w:t>
      </w:r>
      <w:r w:rsidRPr="00500B94">
        <w:rPr>
          <w:rFonts w:ascii="Segoe UI" w:hAnsi="Segoe UI" w:cs="Segoe UI"/>
          <w:i/>
          <w:szCs w:val="20"/>
        </w:rPr>
        <w:t>standard</w:t>
      </w:r>
      <w:r w:rsidRPr="0062207D">
        <w:rPr>
          <w:rFonts w:ascii="Segoe UI" w:hAnsi="Segoe UI" w:cs="Segoe UI"/>
          <w:szCs w:val="20"/>
        </w:rPr>
        <w:t xml:space="preserve"> e linee guida emanati da autorevoli organismi sovranazionali, internazionali o nazionali, di natura pubblica o privata, alcuni dei quali vengono specificatamente indicati, a titolo esemplificativo, nel paragrafo 9 dei </w:t>
      </w:r>
      <w:r w:rsidRPr="0062207D">
        <w:rPr>
          <w:rFonts w:ascii="Segoe UI" w:hAnsi="Segoe UI" w:cs="Segoe UI"/>
          <w:i/>
          <w:szCs w:val="20"/>
        </w:rPr>
        <w:t>considerando</w:t>
      </w:r>
      <w:r w:rsidRPr="0062207D">
        <w:rPr>
          <w:rFonts w:ascii="Segoe UI" w:hAnsi="Segoe UI" w:cs="Segoe UI"/>
          <w:szCs w:val="20"/>
        </w:rPr>
        <w:t xml:space="preserve"> dell’ultimo testo parlamentare della direttiva, richiamati poi dal d.lgs. n. 254/2016</w:t>
      </w:r>
      <w:r w:rsidR="00967F54" w:rsidRPr="0062207D">
        <w:rPr>
          <w:rFonts w:ascii="Segoe UI" w:hAnsi="Segoe UI" w:cs="Segoe UI"/>
          <w:szCs w:val="20"/>
        </w:rPr>
        <w:t>:</w:t>
      </w:r>
    </w:p>
    <w:p w14:paraId="7600095C" w14:textId="77777777" w:rsidR="00967F54" w:rsidRPr="0062207D" w:rsidRDefault="00967F54" w:rsidP="00967F54">
      <w:pPr>
        <w:pStyle w:val="Paragrafoelenco"/>
        <w:numPr>
          <w:ilvl w:val="0"/>
          <w:numId w:val="10"/>
        </w:numPr>
        <w:autoSpaceDE w:val="0"/>
        <w:autoSpaceDN w:val="0"/>
        <w:adjustRightInd w:val="0"/>
        <w:spacing w:after="0" w:line="240" w:lineRule="auto"/>
        <w:ind w:left="568" w:hanging="284"/>
        <w:contextualSpacing w:val="0"/>
        <w:rPr>
          <w:rFonts w:ascii="Segoe UI" w:hAnsi="Segoe UI" w:cs="Segoe UI"/>
          <w:szCs w:val="20"/>
        </w:rPr>
      </w:pPr>
      <w:r w:rsidRPr="0062207D">
        <w:rPr>
          <w:rFonts w:ascii="Segoe UI" w:hAnsi="Segoe UI" w:cs="Segoe UI"/>
          <w:szCs w:val="20"/>
        </w:rPr>
        <w:t>l’Eco-Management and Audit Scheme (EMAS) dell’Unione europea (ultima versione, 2009);</w:t>
      </w:r>
    </w:p>
    <w:p w14:paraId="7A740003" w14:textId="77777777" w:rsidR="00967F54" w:rsidRPr="0062207D" w:rsidRDefault="00967F54" w:rsidP="00967F54">
      <w:pPr>
        <w:pStyle w:val="Paragrafoelenco"/>
        <w:numPr>
          <w:ilvl w:val="0"/>
          <w:numId w:val="10"/>
        </w:numPr>
        <w:autoSpaceDE w:val="0"/>
        <w:autoSpaceDN w:val="0"/>
        <w:adjustRightInd w:val="0"/>
        <w:spacing w:after="0" w:line="240" w:lineRule="auto"/>
        <w:ind w:left="568" w:hanging="284"/>
        <w:contextualSpacing w:val="0"/>
        <w:rPr>
          <w:rFonts w:ascii="Segoe UI" w:hAnsi="Segoe UI" w:cs="Segoe UI"/>
          <w:szCs w:val="20"/>
        </w:rPr>
      </w:pPr>
      <w:r w:rsidRPr="0062207D">
        <w:rPr>
          <w:rFonts w:ascii="Segoe UI" w:hAnsi="Segoe UI" w:cs="Segoe UI"/>
          <w:szCs w:val="20"/>
        </w:rPr>
        <w:t>il “Global Compact” delle Nazioni unite;</w:t>
      </w:r>
    </w:p>
    <w:p w14:paraId="4F315B04" w14:textId="77777777" w:rsidR="00967F54" w:rsidRPr="0062207D" w:rsidRDefault="00967F54" w:rsidP="00967F54">
      <w:pPr>
        <w:pStyle w:val="Paragrafoelenco"/>
        <w:numPr>
          <w:ilvl w:val="0"/>
          <w:numId w:val="10"/>
        </w:numPr>
        <w:autoSpaceDE w:val="0"/>
        <w:autoSpaceDN w:val="0"/>
        <w:adjustRightInd w:val="0"/>
        <w:spacing w:after="0" w:line="240" w:lineRule="auto"/>
        <w:ind w:left="568" w:hanging="284"/>
        <w:contextualSpacing w:val="0"/>
        <w:rPr>
          <w:rFonts w:ascii="Segoe UI" w:hAnsi="Segoe UI" w:cs="Segoe UI"/>
          <w:szCs w:val="20"/>
          <w:lang w:val="en-US"/>
        </w:rPr>
      </w:pPr>
      <w:r w:rsidRPr="0062207D">
        <w:rPr>
          <w:rFonts w:ascii="Segoe UI" w:hAnsi="Segoe UI" w:cs="Segoe UI"/>
          <w:szCs w:val="20"/>
          <w:lang w:val="en-US"/>
        </w:rPr>
        <w:t>i “Guiding Principles on Business and Human Rights” delle Nazioni unite (2011);</w:t>
      </w:r>
    </w:p>
    <w:p w14:paraId="337D7FE5" w14:textId="77777777" w:rsidR="00967F54" w:rsidRPr="0062207D" w:rsidRDefault="00967F54" w:rsidP="00967F54">
      <w:pPr>
        <w:pStyle w:val="Paragrafoelenco"/>
        <w:numPr>
          <w:ilvl w:val="0"/>
          <w:numId w:val="10"/>
        </w:numPr>
        <w:autoSpaceDE w:val="0"/>
        <w:autoSpaceDN w:val="0"/>
        <w:adjustRightInd w:val="0"/>
        <w:spacing w:after="0" w:line="240" w:lineRule="auto"/>
        <w:ind w:left="568" w:hanging="284"/>
        <w:contextualSpacing w:val="0"/>
        <w:rPr>
          <w:rFonts w:ascii="Segoe UI" w:hAnsi="Segoe UI" w:cs="Segoe UI"/>
          <w:szCs w:val="20"/>
          <w:lang w:val="en-US"/>
        </w:rPr>
      </w:pPr>
      <w:r w:rsidRPr="0062207D">
        <w:rPr>
          <w:rFonts w:ascii="Segoe UI" w:hAnsi="Segoe UI" w:cs="Segoe UI"/>
          <w:szCs w:val="20"/>
          <w:lang w:val="en-US"/>
        </w:rPr>
        <w:t>le “Guidelines for Multinational Enterprises” dell’Organisation for Economic Co-operation and Development (OECD) (ultima versione, 2011);</w:t>
      </w:r>
    </w:p>
    <w:p w14:paraId="70A04D0E" w14:textId="77777777" w:rsidR="00967F54" w:rsidRPr="0062207D" w:rsidRDefault="00967F54" w:rsidP="00967F54">
      <w:pPr>
        <w:pStyle w:val="Paragrafoelenco"/>
        <w:numPr>
          <w:ilvl w:val="0"/>
          <w:numId w:val="10"/>
        </w:numPr>
        <w:autoSpaceDE w:val="0"/>
        <w:autoSpaceDN w:val="0"/>
        <w:adjustRightInd w:val="0"/>
        <w:spacing w:after="0" w:line="240" w:lineRule="auto"/>
        <w:ind w:left="568" w:hanging="284"/>
        <w:contextualSpacing w:val="0"/>
        <w:rPr>
          <w:rFonts w:ascii="Segoe UI" w:hAnsi="Segoe UI" w:cs="Segoe UI"/>
          <w:szCs w:val="20"/>
        </w:rPr>
      </w:pPr>
      <w:r w:rsidRPr="0062207D">
        <w:rPr>
          <w:rFonts w:ascii="Segoe UI" w:hAnsi="Segoe UI" w:cs="Segoe UI"/>
          <w:szCs w:val="20"/>
        </w:rPr>
        <w:t>l’ISO 26000 “Social responsibility” dell’International Organization for Standardization (ISO) (ultima versione, 2010);</w:t>
      </w:r>
    </w:p>
    <w:p w14:paraId="50B8FC42" w14:textId="77777777" w:rsidR="00967F54" w:rsidRPr="0062207D" w:rsidRDefault="00967F54" w:rsidP="00967F54">
      <w:pPr>
        <w:pStyle w:val="Paragrafoelenco"/>
        <w:numPr>
          <w:ilvl w:val="0"/>
          <w:numId w:val="10"/>
        </w:numPr>
        <w:autoSpaceDE w:val="0"/>
        <w:autoSpaceDN w:val="0"/>
        <w:adjustRightInd w:val="0"/>
        <w:spacing w:after="0" w:line="240" w:lineRule="auto"/>
        <w:ind w:left="568" w:hanging="284"/>
        <w:contextualSpacing w:val="0"/>
        <w:rPr>
          <w:rFonts w:ascii="Segoe UI" w:hAnsi="Segoe UI" w:cs="Segoe UI"/>
          <w:szCs w:val="20"/>
          <w:lang w:val="en-GB"/>
        </w:rPr>
      </w:pPr>
      <w:r w:rsidRPr="0062207D">
        <w:rPr>
          <w:rFonts w:ascii="Segoe UI" w:hAnsi="Segoe UI" w:cs="Segoe UI"/>
          <w:szCs w:val="20"/>
          <w:lang w:val="en-GB"/>
        </w:rPr>
        <w:t>la “Tripartite declaration of principles concerning multinational enterprises and social policy” dell’International Labour Organization (ILO) (ultima versione 2006);</w:t>
      </w:r>
    </w:p>
    <w:p w14:paraId="63B258A6" w14:textId="6116B142" w:rsidR="00967F54" w:rsidRPr="003E7333" w:rsidRDefault="00967F54" w:rsidP="00967F54">
      <w:pPr>
        <w:pStyle w:val="Paragrafoelenco"/>
        <w:numPr>
          <w:ilvl w:val="0"/>
          <w:numId w:val="10"/>
        </w:numPr>
        <w:autoSpaceDE w:val="0"/>
        <w:autoSpaceDN w:val="0"/>
        <w:adjustRightInd w:val="0"/>
        <w:spacing w:after="0" w:line="240" w:lineRule="auto"/>
        <w:ind w:left="568" w:hanging="284"/>
        <w:contextualSpacing w:val="0"/>
        <w:rPr>
          <w:rFonts w:ascii="Segoe UI" w:hAnsi="Segoe UI" w:cs="Segoe UI"/>
          <w:szCs w:val="20"/>
          <w:lang w:val="en-US"/>
        </w:rPr>
      </w:pPr>
      <w:r w:rsidRPr="0062207D">
        <w:rPr>
          <w:rFonts w:ascii="Segoe UI" w:hAnsi="Segoe UI" w:cs="Segoe UI"/>
          <w:szCs w:val="20"/>
          <w:lang w:val="en-US"/>
        </w:rPr>
        <w:t>le “GRI Sustainability Reporting Guidelines” del Global Reporting Initiative</w:t>
      </w:r>
      <w:r w:rsidRPr="003E7333">
        <w:rPr>
          <w:rFonts w:ascii="Segoe UI" w:hAnsi="Segoe UI" w:cs="Segoe UI"/>
          <w:szCs w:val="20"/>
          <w:lang w:val="en-US"/>
        </w:rPr>
        <w:t>.</w:t>
      </w:r>
    </w:p>
    <w:p w14:paraId="4F9A0C4B" w14:textId="2693EBDE" w:rsidR="00F270C0" w:rsidRPr="0062207D" w:rsidRDefault="00967F54" w:rsidP="00F270C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Tuttavia, osservando i titoli dei documenti sopra elencati, che sono solo alcuni di quelli poi richiamati da</w:t>
      </w:r>
      <w:r w:rsidR="003E7333">
        <w:rPr>
          <w:rFonts w:ascii="Segoe UI" w:hAnsi="Segoe UI" w:cs="Segoe UI"/>
          <w:szCs w:val="20"/>
        </w:rPr>
        <w:t xml:space="preserve">gli </w:t>
      </w:r>
      <w:r w:rsidRPr="0062207D">
        <w:rPr>
          <w:rFonts w:ascii="Segoe UI" w:hAnsi="Segoe UI" w:cs="Segoe UI"/>
          <w:szCs w:val="20"/>
        </w:rPr>
        <w:t xml:space="preserve">Orientamenti </w:t>
      </w:r>
      <w:r w:rsidR="003E7333">
        <w:rPr>
          <w:rFonts w:ascii="Segoe UI" w:hAnsi="Segoe UI" w:cs="Segoe UI"/>
          <w:szCs w:val="20"/>
        </w:rPr>
        <w:t xml:space="preserve">metodologici </w:t>
      </w:r>
      <w:r w:rsidRPr="0062207D">
        <w:rPr>
          <w:rFonts w:ascii="Segoe UI" w:hAnsi="Segoe UI" w:cs="Segoe UI"/>
          <w:szCs w:val="20"/>
        </w:rPr>
        <w:t xml:space="preserve">della Commissione europea nella comunicazione del 5 luglio 2017, appare evidente la diversità degli stessi, con riguardo ai soggetti cui sono orientati, alle finalità per le quali sono stati elaborati </w:t>
      </w:r>
      <w:r w:rsidR="008004BF">
        <w:rPr>
          <w:rFonts w:ascii="Segoe UI" w:hAnsi="Segoe UI" w:cs="Segoe UI"/>
          <w:szCs w:val="20"/>
        </w:rPr>
        <w:t xml:space="preserve">e, </w:t>
      </w:r>
      <w:r w:rsidRPr="0062207D">
        <w:rPr>
          <w:rFonts w:ascii="Segoe UI" w:hAnsi="Segoe UI" w:cs="Segoe UI"/>
          <w:szCs w:val="20"/>
        </w:rPr>
        <w:t xml:space="preserve">soprattutto, </w:t>
      </w:r>
      <w:r w:rsidR="008004BF">
        <w:rPr>
          <w:rFonts w:ascii="Segoe UI" w:hAnsi="Segoe UI" w:cs="Segoe UI"/>
          <w:szCs w:val="20"/>
        </w:rPr>
        <w:t>ai</w:t>
      </w:r>
      <w:r w:rsidRPr="0062207D">
        <w:rPr>
          <w:rFonts w:ascii="Segoe UI" w:hAnsi="Segoe UI" w:cs="Segoe UI"/>
          <w:szCs w:val="20"/>
        </w:rPr>
        <w:t xml:space="preserve"> loro contenuti</w:t>
      </w:r>
      <w:r w:rsidR="00F270C0" w:rsidRPr="0062207D">
        <w:rPr>
          <w:rStyle w:val="Rimandonotaapidipagina"/>
          <w:rFonts w:cs="Segoe UI"/>
          <w:sz w:val="22"/>
          <w:szCs w:val="20"/>
        </w:rPr>
        <w:footnoteReference w:id="27"/>
      </w:r>
      <w:r w:rsidR="00F270C0" w:rsidRPr="0062207D">
        <w:rPr>
          <w:rFonts w:ascii="Segoe UI" w:hAnsi="Segoe UI" w:cs="Segoe UI"/>
          <w:szCs w:val="20"/>
        </w:rPr>
        <w:t>.</w:t>
      </w:r>
      <w:r w:rsidR="00956FEB" w:rsidRPr="0062207D">
        <w:rPr>
          <w:rFonts w:ascii="Segoe UI" w:hAnsi="Segoe UI" w:cs="Segoe UI"/>
          <w:szCs w:val="20"/>
        </w:rPr>
        <w:t xml:space="preserve"> Inoltre, la direttiva </w:t>
      </w:r>
      <w:r w:rsidR="003E7333">
        <w:rPr>
          <w:rFonts w:ascii="Segoe UI" w:hAnsi="Segoe UI" w:cs="Segoe UI"/>
          <w:szCs w:val="20"/>
        </w:rPr>
        <w:t xml:space="preserve">2014/95/UE </w:t>
      </w:r>
      <w:r w:rsidR="00956FEB" w:rsidRPr="0062207D">
        <w:rPr>
          <w:rFonts w:ascii="Segoe UI" w:hAnsi="Segoe UI" w:cs="Segoe UI"/>
          <w:szCs w:val="20"/>
        </w:rPr>
        <w:t xml:space="preserve">e il d.lgs. n. 254/2016 lasciano alle aziende la possibilità di ricorrere anche a una metodologia di rendicontazione autonoma, o di comporre una metodologia adottando parti diverse di </w:t>
      </w:r>
      <w:r w:rsidR="00956FEB" w:rsidRPr="00500B94">
        <w:rPr>
          <w:rFonts w:ascii="Segoe UI" w:hAnsi="Segoe UI" w:cs="Segoe UI"/>
          <w:i/>
          <w:szCs w:val="20"/>
        </w:rPr>
        <w:t>standard</w:t>
      </w:r>
      <w:r w:rsidR="00956FEB" w:rsidRPr="0062207D">
        <w:rPr>
          <w:rFonts w:ascii="Segoe UI" w:hAnsi="Segoe UI" w:cs="Segoe UI"/>
          <w:szCs w:val="20"/>
        </w:rPr>
        <w:t xml:space="preserve"> diversi.</w:t>
      </w:r>
    </w:p>
    <w:p w14:paraId="63D6867D" w14:textId="65D55F6F" w:rsidR="00F270C0" w:rsidRPr="0062207D" w:rsidRDefault="00F270C0" w:rsidP="00F270C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Per</w:t>
      </w:r>
      <w:r w:rsidR="00956FEB" w:rsidRPr="0062207D">
        <w:rPr>
          <w:rFonts w:ascii="Segoe UI" w:hAnsi="Segoe UI" w:cs="Segoe UI"/>
          <w:szCs w:val="20"/>
        </w:rPr>
        <w:t xml:space="preserve"> questi motivi, </w:t>
      </w:r>
      <w:r w:rsidRPr="0062207D">
        <w:rPr>
          <w:rFonts w:ascii="Segoe UI" w:hAnsi="Segoe UI" w:cs="Segoe UI"/>
          <w:szCs w:val="20"/>
        </w:rPr>
        <w:t xml:space="preserve">nei successivi paragrafi si è ritenuto opportuno illustrare </w:t>
      </w:r>
      <w:r w:rsidR="00956FEB" w:rsidRPr="0062207D">
        <w:rPr>
          <w:rFonts w:ascii="Segoe UI" w:hAnsi="Segoe UI" w:cs="Segoe UI"/>
          <w:szCs w:val="20"/>
        </w:rPr>
        <w:t xml:space="preserve">in sintesi </w:t>
      </w:r>
      <w:r w:rsidRPr="0062207D">
        <w:rPr>
          <w:rFonts w:ascii="Segoe UI" w:hAnsi="Segoe UI" w:cs="Segoe UI"/>
          <w:szCs w:val="20"/>
        </w:rPr>
        <w:t>gli orientamenti e gli approcci proposti da</w:t>
      </w:r>
      <w:r w:rsidR="003E7333">
        <w:rPr>
          <w:rFonts w:ascii="Segoe UI" w:hAnsi="Segoe UI" w:cs="Segoe UI"/>
          <w:szCs w:val="20"/>
        </w:rPr>
        <w:t xml:space="preserve"> principali organismi internazionali </w:t>
      </w:r>
      <w:r w:rsidRPr="0062207D">
        <w:rPr>
          <w:rFonts w:ascii="Segoe UI" w:hAnsi="Segoe UI" w:cs="Segoe UI"/>
          <w:szCs w:val="20"/>
        </w:rPr>
        <w:t>con riferimento alla definizione del</w:t>
      </w:r>
      <w:r w:rsidR="00182728" w:rsidRPr="0062207D">
        <w:rPr>
          <w:rFonts w:ascii="Segoe UI" w:hAnsi="Segoe UI" w:cs="Segoe UI"/>
          <w:szCs w:val="20"/>
        </w:rPr>
        <w:t xml:space="preserve"> principio di </w:t>
      </w:r>
      <w:r w:rsidR="001D4CD6" w:rsidRPr="0062207D">
        <w:rPr>
          <w:rFonts w:ascii="Segoe UI" w:hAnsi="Segoe UI" w:cs="Segoe UI"/>
          <w:szCs w:val="20"/>
        </w:rPr>
        <w:t>rilevanza</w:t>
      </w:r>
      <w:r w:rsidRPr="0062207D">
        <w:rPr>
          <w:rFonts w:ascii="Segoe UI" w:hAnsi="Segoe UI" w:cs="Segoe UI"/>
          <w:szCs w:val="20"/>
        </w:rPr>
        <w:t xml:space="preserve"> </w:t>
      </w:r>
      <w:r w:rsidR="003E7333">
        <w:rPr>
          <w:rFonts w:ascii="Segoe UI" w:hAnsi="Segoe UI" w:cs="Segoe UI"/>
          <w:szCs w:val="20"/>
        </w:rPr>
        <w:t xml:space="preserve">e </w:t>
      </w:r>
      <w:r w:rsidR="00DB2AAE">
        <w:rPr>
          <w:rFonts w:ascii="Segoe UI" w:hAnsi="Segoe UI" w:cs="Segoe UI"/>
          <w:szCs w:val="20"/>
        </w:rPr>
        <w:t xml:space="preserve">alla </w:t>
      </w:r>
      <w:r w:rsidR="003E7333">
        <w:rPr>
          <w:rFonts w:ascii="Segoe UI" w:hAnsi="Segoe UI" w:cs="Segoe UI"/>
          <w:szCs w:val="20"/>
        </w:rPr>
        <w:t xml:space="preserve">determinazione della materialità </w:t>
      </w:r>
      <w:r w:rsidRPr="0062207D">
        <w:rPr>
          <w:rFonts w:ascii="Segoe UI" w:hAnsi="Segoe UI" w:cs="Segoe UI"/>
          <w:szCs w:val="20"/>
        </w:rPr>
        <w:t xml:space="preserve">delle informazioni nella </w:t>
      </w:r>
      <w:r w:rsidRPr="0062207D">
        <w:rPr>
          <w:rFonts w:ascii="Segoe UI" w:hAnsi="Segoe UI" w:cs="Segoe UI"/>
          <w:i/>
          <w:szCs w:val="20"/>
        </w:rPr>
        <w:t>disclosure</w:t>
      </w:r>
      <w:r w:rsidRPr="0062207D">
        <w:rPr>
          <w:rFonts w:ascii="Segoe UI" w:hAnsi="Segoe UI" w:cs="Segoe UI"/>
          <w:szCs w:val="20"/>
        </w:rPr>
        <w:t xml:space="preserve"> non</w:t>
      </w:r>
      <w:r w:rsidR="003E7333">
        <w:rPr>
          <w:rFonts w:ascii="Segoe UI" w:hAnsi="Segoe UI" w:cs="Segoe UI"/>
          <w:szCs w:val="20"/>
        </w:rPr>
        <w:t xml:space="preserve"> </w:t>
      </w:r>
      <w:r w:rsidRPr="0062207D">
        <w:rPr>
          <w:rFonts w:ascii="Segoe UI" w:hAnsi="Segoe UI" w:cs="Segoe UI"/>
          <w:szCs w:val="20"/>
        </w:rPr>
        <w:t>finanziaria.</w:t>
      </w:r>
    </w:p>
    <w:p w14:paraId="37F2632B" w14:textId="7D5DCD6E" w:rsidR="00F270C0" w:rsidRPr="0062207D" w:rsidRDefault="00F270C0" w:rsidP="00F270C0">
      <w:pPr>
        <w:tabs>
          <w:tab w:val="left" w:pos="709"/>
        </w:tabs>
        <w:spacing w:before="120" w:after="120" w:line="240" w:lineRule="auto"/>
        <w:jc w:val="both"/>
        <w:rPr>
          <w:rFonts w:ascii="Segoe UI" w:eastAsia="Times New Roman" w:hAnsi="Segoe UI" w:cs="Segoe UI"/>
          <w:bCs/>
          <w:szCs w:val="20"/>
          <w:lang w:eastAsia="it-IT"/>
        </w:rPr>
      </w:pPr>
      <w:r w:rsidRPr="0062207D">
        <w:rPr>
          <w:rFonts w:ascii="Segoe UI" w:eastAsia="Times New Roman" w:hAnsi="Segoe UI" w:cs="Segoe UI"/>
          <w:bCs/>
          <w:szCs w:val="20"/>
          <w:lang w:eastAsia="it-IT"/>
        </w:rPr>
        <w:t xml:space="preserve">Tra i </w:t>
      </w:r>
      <w:r w:rsidR="00182728" w:rsidRPr="0062207D">
        <w:rPr>
          <w:rFonts w:ascii="Segoe UI" w:eastAsia="Times New Roman" w:hAnsi="Segoe UI" w:cs="Segoe UI"/>
          <w:bCs/>
          <w:szCs w:val="20"/>
          <w:lang w:eastAsia="it-IT"/>
        </w:rPr>
        <w:t xml:space="preserve">vari </w:t>
      </w:r>
      <w:r w:rsidRPr="0062207D">
        <w:rPr>
          <w:rFonts w:ascii="Segoe UI" w:eastAsia="Times New Roman" w:hAnsi="Segoe UI" w:cs="Segoe UI"/>
          <w:bCs/>
          <w:szCs w:val="20"/>
          <w:lang w:eastAsia="it-IT"/>
        </w:rPr>
        <w:t>contributi metodologici che possono supportare l</w:t>
      </w:r>
      <w:r w:rsidR="00182728" w:rsidRPr="0062207D">
        <w:rPr>
          <w:rFonts w:ascii="Segoe UI" w:eastAsia="Times New Roman" w:hAnsi="Segoe UI" w:cs="Segoe UI"/>
          <w:bCs/>
          <w:szCs w:val="20"/>
          <w:lang w:eastAsia="it-IT"/>
        </w:rPr>
        <w:t xml:space="preserve">e </w:t>
      </w:r>
      <w:r w:rsidR="003E7333">
        <w:rPr>
          <w:rFonts w:ascii="Segoe UI" w:eastAsia="Times New Roman" w:hAnsi="Segoe UI" w:cs="Segoe UI"/>
          <w:bCs/>
          <w:szCs w:val="20"/>
          <w:lang w:eastAsia="it-IT"/>
        </w:rPr>
        <w:t xml:space="preserve">organizzazioni </w:t>
      </w:r>
      <w:r w:rsidRPr="0062207D">
        <w:rPr>
          <w:rFonts w:ascii="Segoe UI" w:eastAsia="Times New Roman" w:hAnsi="Segoe UI" w:cs="Segoe UI"/>
          <w:bCs/>
          <w:szCs w:val="20"/>
          <w:lang w:eastAsia="it-IT"/>
        </w:rPr>
        <w:t xml:space="preserve">in tale </w:t>
      </w:r>
      <w:r w:rsidR="00182728" w:rsidRPr="0062207D">
        <w:rPr>
          <w:rFonts w:ascii="Segoe UI" w:eastAsia="Times New Roman" w:hAnsi="Segoe UI" w:cs="Segoe UI"/>
          <w:bCs/>
          <w:szCs w:val="20"/>
          <w:lang w:eastAsia="it-IT"/>
        </w:rPr>
        <w:t xml:space="preserve">tipologia di </w:t>
      </w:r>
      <w:r w:rsidRPr="0062207D">
        <w:rPr>
          <w:rFonts w:ascii="Segoe UI" w:eastAsia="Times New Roman" w:hAnsi="Segoe UI" w:cs="Segoe UI"/>
          <w:bCs/>
          <w:i/>
          <w:szCs w:val="20"/>
          <w:lang w:eastAsia="it-IT"/>
        </w:rPr>
        <w:t>disclosure</w:t>
      </w:r>
      <w:r w:rsidRPr="0062207D">
        <w:rPr>
          <w:rFonts w:ascii="Segoe UI" w:eastAsia="Times New Roman" w:hAnsi="Segoe UI" w:cs="Segoe UI"/>
          <w:bCs/>
          <w:szCs w:val="20"/>
          <w:lang w:eastAsia="it-IT"/>
        </w:rPr>
        <w:t>, si presentano di seguito gli approcci previsti da</w:t>
      </w:r>
      <w:r w:rsidR="003E7333">
        <w:rPr>
          <w:rFonts w:ascii="Segoe UI" w:eastAsia="Times New Roman" w:hAnsi="Segoe UI" w:cs="Segoe UI"/>
          <w:bCs/>
          <w:szCs w:val="20"/>
          <w:lang w:eastAsia="it-IT"/>
        </w:rPr>
        <w:t xml:space="preserve">ll’organismo europeo della professione economico-contabile Accountancy Europe (AE) e dalla Commissione europea e quelli illustrati in </w:t>
      </w:r>
      <w:r w:rsidRPr="0062207D">
        <w:rPr>
          <w:rFonts w:ascii="Segoe UI" w:eastAsia="Times New Roman" w:hAnsi="Segoe UI" w:cs="Segoe UI"/>
          <w:bCs/>
          <w:szCs w:val="20"/>
          <w:lang w:eastAsia="it-IT"/>
        </w:rPr>
        <w:t xml:space="preserve">due </w:t>
      </w:r>
      <w:r w:rsidRPr="00500B94">
        <w:rPr>
          <w:rFonts w:ascii="Segoe UI" w:eastAsia="Times New Roman" w:hAnsi="Segoe UI" w:cs="Segoe UI"/>
          <w:bCs/>
          <w:i/>
          <w:szCs w:val="20"/>
          <w:lang w:eastAsia="it-IT"/>
        </w:rPr>
        <w:t>standard</w:t>
      </w:r>
      <w:r w:rsidRPr="0062207D">
        <w:rPr>
          <w:rFonts w:ascii="Segoe UI" w:eastAsia="Times New Roman" w:hAnsi="Segoe UI" w:cs="Segoe UI"/>
          <w:bCs/>
          <w:szCs w:val="20"/>
          <w:lang w:eastAsia="it-IT"/>
        </w:rPr>
        <w:t xml:space="preserve"> riconosciuti a livello internazionale quali riferimenti sul tema dell’informativa </w:t>
      </w:r>
      <w:r w:rsidRPr="0062207D">
        <w:rPr>
          <w:rFonts w:ascii="Segoe UI" w:eastAsia="Times New Roman" w:hAnsi="Segoe UI" w:cs="Segoe UI"/>
          <w:bCs/>
          <w:i/>
          <w:szCs w:val="20"/>
          <w:lang w:eastAsia="it-IT"/>
        </w:rPr>
        <w:t>non-financial</w:t>
      </w:r>
      <w:r w:rsidRPr="0062207D">
        <w:rPr>
          <w:rFonts w:ascii="Segoe UI" w:eastAsia="Times New Roman" w:hAnsi="Segoe UI" w:cs="Segoe UI"/>
          <w:bCs/>
          <w:szCs w:val="20"/>
          <w:lang w:eastAsia="it-IT"/>
        </w:rPr>
        <w:t>:</w:t>
      </w:r>
      <w:r w:rsidR="003E7333" w:rsidRPr="003E7333">
        <w:rPr>
          <w:rFonts w:ascii="Segoe UI" w:eastAsia="Times New Roman" w:hAnsi="Segoe UI" w:cs="Segoe UI"/>
          <w:bCs/>
          <w:szCs w:val="20"/>
          <w:lang w:eastAsia="it-IT"/>
        </w:rPr>
        <w:t xml:space="preserve"> </w:t>
      </w:r>
      <w:r w:rsidR="003E7333" w:rsidRPr="0062207D">
        <w:rPr>
          <w:rFonts w:ascii="Segoe UI" w:eastAsia="Times New Roman" w:hAnsi="Segoe UI" w:cs="Segoe UI"/>
          <w:bCs/>
          <w:szCs w:val="20"/>
          <w:lang w:eastAsia="it-IT"/>
        </w:rPr>
        <w:t>le Sustainability Reporting (SR) Guidelines della Global Reporting Initiative (GRI)</w:t>
      </w:r>
      <w:r w:rsidR="003E7333" w:rsidRPr="0062207D">
        <w:rPr>
          <w:rStyle w:val="Rimandonotaapidipagina"/>
          <w:sz w:val="22"/>
          <w:szCs w:val="20"/>
          <w:lang w:eastAsia="it-IT"/>
        </w:rPr>
        <w:footnoteReference w:id="28"/>
      </w:r>
      <w:r w:rsidRPr="0062207D">
        <w:rPr>
          <w:rFonts w:ascii="Segoe UI" w:eastAsia="Times New Roman" w:hAnsi="Segoe UI" w:cs="Segoe UI"/>
          <w:bCs/>
          <w:szCs w:val="20"/>
          <w:lang w:eastAsia="it-IT"/>
        </w:rPr>
        <w:t xml:space="preserve"> </w:t>
      </w:r>
      <w:r w:rsidR="003E7333">
        <w:rPr>
          <w:rFonts w:ascii="Segoe UI" w:eastAsia="Times New Roman" w:hAnsi="Segoe UI" w:cs="Segoe UI"/>
          <w:bCs/>
          <w:szCs w:val="20"/>
          <w:lang w:eastAsia="it-IT"/>
        </w:rPr>
        <w:t xml:space="preserve">e </w:t>
      </w:r>
      <w:r w:rsidRPr="0062207D">
        <w:rPr>
          <w:rFonts w:ascii="Segoe UI" w:eastAsia="Times New Roman" w:hAnsi="Segoe UI" w:cs="Segoe UI"/>
          <w:bCs/>
          <w:szCs w:val="20"/>
          <w:lang w:eastAsia="it-IT"/>
        </w:rPr>
        <w:t>l’International Integrated Reporting (IR) Framework 1.0 dell’International Integrated Reporting Council (IIRC)</w:t>
      </w:r>
      <w:r w:rsidRPr="0062207D">
        <w:rPr>
          <w:rStyle w:val="Rimandonotaapidipagina"/>
          <w:rFonts w:cs="Segoe UI"/>
          <w:sz w:val="22"/>
          <w:szCs w:val="20"/>
          <w:lang w:eastAsia="it-IT"/>
        </w:rPr>
        <w:footnoteReference w:id="29"/>
      </w:r>
      <w:r w:rsidRPr="0062207D">
        <w:rPr>
          <w:rFonts w:ascii="Segoe UI" w:eastAsia="Times New Roman" w:hAnsi="Segoe UI" w:cs="Segoe UI"/>
          <w:bCs/>
          <w:szCs w:val="20"/>
          <w:lang w:eastAsia="it-IT"/>
        </w:rPr>
        <w:t xml:space="preserve">. Tali </w:t>
      </w:r>
      <w:r w:rsidRPr="00500B94">
        <w:rPr>
          <w:rFonts w:ascii="Segoe UI" w:eastAsia="Times New Roman" w:hAnsi="Segoe UI" w:cs="Segoe UI"/>
          <w:bCs/>
          <w:i/>
          <w:szCs w:val="20"/>
          <w:lang w:eastAsia="it-IT"/>
        </w:rPr>
        <w:t>standard</w:t>
      </w:r>
      <w:r w:rsidRPr="0062207D">
        <w:rPr>
          <w:rFonts w:ascii="Segoe UI" w:eastAsia="Times New Roman" w:hAnsi="Segoe UI" w:cs="Segoe UI"/>
          <w:bCs/>
          <w:szCs w:val="20"/>
          <w:lang w:eastAsia="it-IT"/>
        </w:rPr>
        <w:t xml:space="preserve">, come di seguito evidenziato, sono sviluppati partendo da prospettive di riferimento diverse: </w:t>
      </w:r>
      <w:r w:rsidR="003E7333" w:rsidRPr="0062207D">
        <w:rPr>
          <w:rFonts w:ascii="Segoe UI" w:eastAsia="Times New Roman" w:hAnsi="Segoe UI" w:cs="Segoe UI"/>
          <w:bCs/>
          <w:szCs w:val="20"/>
          <w:lang w:eastAsia="it-IT"/>
        </w:rPr>
        <w:t>la sostenibilità nel caso delle SR</w:t>
      </w:r>
      <w:r w:rsidR="003E7333" w:rsidRPr="0026382F">
        <w:rPr>
          <w:rFonts w:ascii="Segoe UI" w:eastAsia="Times New Roman" w:hAnsi="Segoe UI" w:cs="Segoe UI"/>
          <w:bCs/>
          <w:szCs w:val="20"/>
          <w:lang w:eastAsia="it-IT"/>
        </w:rPr>
        <w:t xml:space="preserve"> Guidelines </w:t>
      </w:r>
      <w:r w:rsidR="003E7333" w:rsidRPr="0062207D">
        <w:rPr>
          <w:rFonts w:ascii="Segoe UI" w:eastAsia="Times New Roman" w:hAnsi="Segoe UI" w:cs="Segoe UI"/>
          <w:bCs/>
          <w:szCs w:val="20"/>
          <w:lang w:eastAsia="it-IT"/>
        </w:rPr>
        <w:t>del GRI</w:t>
      </w:r>
      <w:r w:rsidR="003E7333">
        <w:rPr>
          <w:rFonts w:ascii="Segoe UI" w:eastAsia="Times New Roman" w:hAnsi="Segoe UI" w:cs="Segoe UI"/>
          <w:bCs/>
          <w:szCs w:val="20"/>
          <w:lang w:eastAsia="it-IT"/>
        </w:rPr>
        <w:t>,</w:t>
      </w:r>
      <w:r w:rsidR="003E7333" w:rsidRPr="0062207D">
        <w:rPr>
          <w:rFonts w:ascii="Segoe UI" w:eastAsia="Times New Roman" w:hAnsi="Segoe UI" w:cs="Segoe UI"/>
          <w:bCs/>
          <w:szCs w:val="20"/>
          <w:lang w:eastAsia="it-IT"/>
        </w:rPr>
        <w:t xml:space="preserve"> </w:t>
      </w:r>
      <w:r w:rsidRPr="0062207D">
        <w:rPr>
          <w:rFonts w:ascii="Segoe UI" w:eastAsia="Times New Roman" w:hAnsi="Segoe UI" w:cs="Segoe UI"/>
          <w:bCs/>
          <w:szCs w:val="20"/>
          <w:lang w:eastAsia="it-IT"/>
        </w:rPr>
        <w:t>la creazione di valore nel caso deIl’IR Framework dell’IIRC.</w:t>
      </w:r>
    </w:p>
    <w:p w14:paraId="2347CD2A" w14:textId="77777777" w:rsidR="000051E8" w:rsidRPr="0062207D" w:rsidRDefault="00700F6F" w:rsidP="00F270C0">
      <w:pPr>
        <w:tabs>
          <w:tab w:val="left" w:pos="709"/>
        </w:tabs>
        <w:spacing w:before="120" w:after="120" w:line="240" w:lineRule="auto"/>
        <w:jc w:val="both"/>
        <w:rPr>
          <w:rFonts w:ascii="Segoe UI" w:eastAsia="Times New Roman" w:hAnsi="Segoe UI" w:cs="Segoe UI"/>
          <w:bCs/>
          <w:szCs w:val="20"/>
          <w:lang w:eastAsia="it-IT"/>
        </w:rPr>
      </w:pPr>
      <w:r w:rsidRPr="0062207D">
        <w:rPr>
          <w:rFonts w:ascii="Segoe UI" w:eastAsia="Times New Roman" w:hAnsi="Segoe UI" w:cs="Segoe UI"/>
          <w:bCs/>
          <w:szCs w:val="20"/>
          <w:lang w:eastAsia="it-IT"/>
        </w:rPr>
        <w:t>La scelta di focalizzarsi, tra i tanti contributi tecnici esistenti, su questi due “strumenti” per la rendicontazione non finanziaria deriva da una serie di motivi.</w:t>
      </w:r>
    </w:p>
    <w:p w14:paraId="7A315F97" w14:textId="77777777" w:rsidR="000051E8" w:rsidRPr="0062207D" w:rsidRDefault="00700F6F" w:rsidP="00F270C0">
      <w:pPr>
        <w:tabs>
          <w:tab w:val="left" w:pos="709"/>
        </w:tabs>
        <w:spacing w:before="120" w:after="120" w:line="240" w:lineRule="auto"/>
        <w:jc w:val="both"/>
        <w:rPr>
          <w:rFonts w:ascii="Segoe UI" w:eastAsia="Times New Roman" w:hAnsi="Segoe UI" w:cs="Segoe UI"/>
          <w:bCs/>
          <w:szCs w:val="20"/>
          <w:lang w:eastAsia="it-IT"/>
        </w:rPr>
      </w:pPr>
      <w:r w:rsidRPr="00500B94">
        <w:rPr>
          <w:rFonts w:ascii="Segoe UI" w:eastAsia="Times New Roman" w:hAnsi="Segoe UI" w:cs="Segoe UI"/>
          <w:b/>
          <w:bCs/>
          <w:szCs w:val="20"/>
          <w:lang w:eastAsia="it-IT"/>
        </w:rPr>
        <w:t>Primo</w:t>
      </w:r>
      <w:r w:rsidRPr="0062207D">
        <w:rPr>
          <w:rFonts w:ascii="Segoe UI" w:eastAsia="Times New Roman" w:hAnsi="Segoe UI" w:cs="Segoe UI"/>
          <w:bCs/>
          <w:szCs w:val="20"/>
          <w:lang w:eastAsia="it-IT"/>
        </w:rPr>
        <w:t xml:space="preserve">. </w:t>
      </w:r>
      <w:r w:rsidR="000051E8" w:rsidRPr="0062207D">
        <w:rPr>
          <w:rFonts w:ascii="Segoe UI" w:eastAsia="Times New Roman" w:hAnsi="Segoe UI" w:cs="Segoe UI"/>
          <w:bCs/>
          <w:szCs w:val="20"/>
          <w:lang w:eastAsia="it-IT"/>
        </w:rPr>
        <w:t xml:space="preserve">L’IIRC e il GRI </w:t>
      </w:r>
      <w:r w:rsidRPr="0062207D">
        <w:rPr>
          <w:rFonts w:ascii="Segoe UI" w:eastAsia="Times New Roman" w:hAnsi="Segoe UI" w:cs="Segoe UI"/>
          <w:bCs/>
          <w:szCs w:val="20"/>
          <w:lang w:eastAsia="it-IT"/>
        </w:rPr>
        <w:t>ricoprono un ruolo di rilievo nel panor</w:t>
      </w:r>
      <w:r w:rsidR="000051E8" w:rsidRPr="0062207D">
        <w:rPr>
          <w:rFonts w:ascii="Segoe UI" w:eastAsia="Times New Roman" w:hAnsi="Segoe UI" w:cs="Segoe UI"/>
          <w:bCs/>
          <w:szCs w:val="20"/>
          <w:lang w:eastAsia="it-IT"/>
        </w:rPr>
        <w:t>a</w:t>
      </w:r>
      <w:r w:rsidRPr="0062207D">
        <w:rPr>
          <w:rFonts w:ascii="Segoe UI" w:eastAsia="Times New Roman" w:hAnsi="Segoe UI" w:cs="Segoe UI"/>
          <w:bCs/>
          <w:szCs w:val="20"/>
          <w:lang w:eastAsia="it-IT"/>
        </w:rPr>
        <w:t xml:space="preserve">ma degli operatori di settore a livello internazionale </w:t>
      </w:r>
      <w:r w:rsidR="00C2133F" w:rsidRPr="0062207D">
        <w:rPr>
          <w:rFonts w:ascii="Segoe UI" w:eastAsia="Times New Roman" w:hAnsi="Segoe UI" w:cs="Segoe UI"/>
          <w:bCs/>
          <w:szCs w:val="20"/>
          <w:lang w:eastAsia="it-IT"/>
        </w:rPr>
        <w:t xml:space="preserve">e hanno una esperienza </w:t>
      </w:r>
      <w:r w:rsidR="000051E8" w:rsidRPr="0062207D">
        <w:rPr>
          <w:rFonts w:ascii="Segoe UI" w:eastAsia="Times New Roman" w:hAnsi="Segoe UI" w:cs="Segoe UI"/>
          <w:bCs/>
          <w:szCs w:val="20"/>
          <w:lang w:eastAsia="it-IT"/>
        </w:rPr>
        <w:t xml:space="preserve">pluriennale </w:t>
      </w:r>
      <w:r w:rsidR="00C2133F" w:rsidRPr="0062207D">
        <w:rPr>
          <w:rFonts w:ascii="Segoe UI" w:eastAsia="Times New Roman" w:hAnsi="Segoe UI" w:cs="Segoe UI"/>
          <w:bCs/>
          <w:szCs w:val="20"/>
          <w:lang w:eastAsia="it-IT"/>
        </w:rPr>
        <w:t>nello sviluppo di</w:t>
      </w:r>
      <w:r w:rsidR="000051E8" w:rsidRPr="0062207D">
        <w:rPr>
          <w:rFonts w:ascii="Segoe UI" w:eastAsia="Times New Roman" w:hAnsi="Segoe UI" w:cs="Segoe UI"/>
          <w:bCs/>
          <w:szCs w:val="20"/>
          <w:lang w:eastAsia="it-IT"/>
        </w:rPr>
        <w:t xml:space="preserve"> linee guida e </w:t>
      </w:r>
      <w:r w:rsidR="000051E8" w:rsidRPr="00500B94">
        <w:rPr>
          <w:rFonts w:ascii="Segoe UI" w:eastAsia="Times New Roman" w:hAnsi="Segoe UI" w:cs="Segoe UI"/>
          <w:bCs/>
          <w:i/>
          <w:szCs w:val="20"/>
          <w:lang w:eastAsia="it-IT"/>
        </w:rPr>
        <w:t>standard</w:t>
      </w:r>
      <w:r w:rsidR="000051E8" w:rsidRPr="0062207D">
        <w:rPr>
          <w:rFonts w:ascii="Segoe UI" w:eastAsia="Times New Roman" w:hAnsi="Segoe UI" w:cs="Segoe UI"/>
          <w:bCs/>
          <w:szCs w:val="20"/>
          <w:lang w:eastAsia="it-IT"/>
        </w:rPr>
        <w:t xml:space="preserve"> di rendicontazione ESG</w:t>
      </w:r>
      <w:r w:rsidR="00C2133F" w:rsidRPr="0062207D">
        <w:rPr>
          <w:rFonts w:ascii="Segoe UI" w:eastAsia="Times New Roman" w:hAnsi="Segoe UI" w:cs="Segoe UI"/>
          <w:bCs/>
          <w:szCs w:val="20"/>
          <w:lang w:eastAsia="it-IT"/>
        </w:rPr>
        <w:t>, potendo peraltr</w:t>
      </w:r>
      <w:r w:rsidR="000051E8" w:rsidRPr="0062207D">
        <w:rPr>
          <w:rFonts w:ascii="Segoe UI" w:eastAsia="Times New Roman" w:hAnsi="Segoe UI" w:cs="Segoe UI"/>
          <w:bCs/>
          <w:szCs w:val="20"/>
          <w:lang w:eastAsia="it-IT"/>
        </w:rPr>
        <w:t>o</w:t>
      </w:r>
      <w:r w:rsidR="00C2133F" w:rsidRPr="0062207D">
        <w:rPr>
          <w:rFonts w:ascii="Segoe UI" w:eastAsia="Times New Roman" w:hAnsi="Segoe UI" w:cs="Segoe UI"/>
          <w:bCs/>
          <w:szCs w:val="20"/>
          <w:lang w:eastAsia="it-IT"/>
        </w:rPr>
        <w:t xml:space="preserve"> contare su</w:t>
      </w:r>
      <w:r w:rsidR="000051E8" w:rsidRPr="0062207D">
        <w:rPr>
          <w:rFonts w:ascii="Segoe UI" w:eastAsia="Times New Roman" w:hAnsi="Segoe UI" w:cs="Segoe UI"/>
          <w:bCs/>
          <w:szCs w:val="20"/>
          <w:lang w:eastAsia="it-IT"/>
        </w:rPr>
        <w:t xml:space="preserve"> ingenti </w:t>
      </w:r>
      <w:r w:rsidR="00C2133F" w:rsidRPr="0062207D">
        <w:rPr>
          <w:rFonts w:ascii="Segoe UI" w:eastAsia="Times New Roman" w:hAnsi="Segoe UI" w:cs="Segoe UI"/>
          <w:bCs/>
          <w:szCs w:val="20"/>
          <w:lang w:eastAsia="it-IT"/>
        </w:rPr>
        <w:t>risorse professionali e fina</w:t>
      </w:r>
      <w:r w:rsidR="000051E8" w:rsidRPr="0062207D">
        <w:rPr>
          <w:rFonts w:ascii="Segoe UI" w:eastAsia="Times New Roman" w:hAnsi="Segoe UI" w:cs="Segoe UI"/>
          <w:bCs/>
          <w:szCs w:val="20"/>
          <w:lang w:eastAsia="it-IT"/>
        </w:rPr>
        <w:t>n</w:t>
      </w:r>
      <w:r w:rsidR="00C2133F" w:rsidRPr="0062207D">
        <w:rPr>
          <w:rFonts w:ascii="Segoe UI" w:eastAsia="Times New Roman" w:hAnsi="Segoe UI" w:cs="Segoe UI"/>
          <w:bCs/>
          <w:szCs w:val="20"/>
          <w:lang w:eastAsia="it-IT"/>
        </w:rPr>
        <w:t>ziarie.</w:t>
      </w:r>
    </w:p>
    <w:p w14:paraId="56BC2B11" w14:textId="230692A9" w:rsidR="00C2133F" w:rsidRPr="0062207D" w:rsidRDefault="00C2133F" w:rsidP="00F270C0">
      <w:pPr>
        <w:tabs>
          <w:tab w:val="left" w:pos="709"/>
        </w:tabs>
        <w:spacing w:before="120" w:after="120" w:line="240" w:lineRule="auto"/>
        <w:jc w:val="both"/>
        <w:rPr>
          <w:rFonts w:ascii="Segoe UI" w:eastAsia="Times New Roman" w:hAnsi="Segoe UI" w:cs="Segoe UI"/>
          <w:bCs/>
          <w:szCs w:val="20"/>
          <w:lang w:eastAsia="it-IT"/>
        </w:rPr>
      </w:pPr>
      <w:r w:rsidRPr="00500B94">
        <w:rPr>
          <w:rFonts w:ascii="Segoe UI" w:eastAsia="Times New Roman" w:hAnsi="Segoe UI" w:cs="Segoe UI"/>
          <w:b/>
          <w:bCs/>
          <w:szCs w:val="20"/>
          <w:lang w:eastAsia="it-IT"/>
        </w:rPr>
        <w:t>Secondo</w:t>
      </w:r>
      <w:r w:rsidRPr="0062207D">
        <w:rPr>
          <w:rFonts w:ascii="Segoe UI" w:eastAsia="Times New Roman" w:hAnsi="Segoe UI" w:cs="Segoe UI"/>
          <w:bCs/>
          <w:szCs w:val="20"/>
          <w:lang w:eastAsia="it-IT"/>
        </w:rPr>
        <w:t>. C</w:t>
      </w:r>
      <w:r w:rsidR="000051E8" w:rsidRPr="0062207D">
        <w:rPr>
          <w:rFonts w:ascii="Segoe UI" w:eastAsia="Times New Roman" w:hAnsi="Segoe UI" w:cs="Segoe UI"/>
          <w:bCs/>
          <w:szCs w:val="20"/>
          <w:lang w:eastAsia="it-IT"/>
        </w:rPr>
        <w:t>i</w:t>
      </w:r>
      <w:r w:rsidRPr="0062207D">
        <w:rPr>
          <w:rFonts w:ascii="Segoe UI" w:eastAsia="Times New Roman" w:hAnsi="Segoe UI" w:cs="Segoe UI"/>
          <w:bCs/>
          <w:szCs w:val="20"/>
          <w:lang w:eastAsia="it-IT"/>
        </w:rPr>
        <w:t xml:space="preserve">ò che in questo </w:t>
      </w:r>
      <w:r w:rsidR="000051E8" w:rsidRPr="0062207D">
        <w:rPr>
          <w:rFonts w:ascii="Segoe UI" w:eastAsia="Times New Roman" w:hAnsi="Segoe UI" w:cs="Segoe UI"/>
          <w:bCs/>
          <w:szCs w:val="20"/>
          <w:lang w:eastAsia="it-IT"/>
        </w:rPr>
        <w:t xml:space="preserve">documento </w:t>
      </w:r>
      <w:r w:rsidRPr="0062207D">
        <w:rPr>
          <w:rFonts w:ascii="Segoe UI" w:eastAsia="Times New Roman" w:hAnsi="Segoe UI" w:cs="Segoe UI"/>
          <w:bCs/>
          <w:szCs w:val="20"/>
          <w:lang w:eastAsia="it-IT"/>
        </w:rPr>
        <w:t xml:space="preserve">rileva è soprattutto l’approccio per l’individuazione della </w:t>
      </w:r>
      <w:r w:rsidR="009E7580">
        <w:rPr>
          <w:rFonts w:ascii="Segoe UI" w:eastAsia="Times New Roman" w:hAnsi="Segoe UI" w:cs="Segoe UI"/>
          <w:bCs/>
          <w:szCs w:val="20"/>
          <w:lang w:eastAsia="it-IT"/>
        </w:rPr>
        <w:t xml:space="preserve">materialità </w:t>
      </w:r>
      <w:r w:rsidRPr="0062207D">
        <w:rPr>
          <w:rFonts w:ascii="Segoe UI" w:eastAsia="Times New Roman" w:hAnsi="Segoe UI" w:cs="Segoe UI"/>
          <w:bCs/>
          <w:szCs w:val="20"/>
          <w:lang w:eastAsia="it-IT"/>
        </w:rPr>
        <w:t xml:space="preserve">delle informazioni e i due </w:t>
      </w:r>
      <w:r w:rsidRPr="00500B94">
        <w:rPr>
          <w:rFonts w:ascii="Segoe UI" w:eastAsia="Times New Roman" w:hAnsi="Segoe UI" w:cs="Segoe UI"/>
          <w:bCs/>
          <w:i/>
          <w:szCs w:val="20"/>
          <w:lang w:eastAsia="it-IT"/>
        </w:rPr>
        <w:t>standard</w:t>
      </w:r>
      <w:r w:rsidRPr="0062207D">
        <w:rPr>
          <w:rFonts w:ascii="Segoe UI" w:eastAsia="Times New Roman" w:hAnsi="Segoe UI" w:cs="Segoe UI"/>
          <w:bCs/>
          <w:szCs w:val="20"/>
          <w:lang w:eastAsia="it-IT"/>
        </w:rPr>
        <w:t>, sotto questo profilo, adottano</w:t>
      </w:r>
      <w:r w:rsidR="000051E8" w:rsidRPr="0062207D">
        <w:rPr>
          <w:rFonts w:ascii="Segoe UI" w:eastAsia="Times New Roman" w:hAnsi="Segoe UI" w:cs="Segoe UI"/>
          <w:bCs/>
          <w:szCs w:val="20"/>
          <w:lang w:eastAsia="it-IT"/>
        </w:rPr>
        <w:t>,</w:t>
      </w:r>
      <w:r w:rsidRPr="0062207D">
        <w:rPr>
          <w:rFonts w:ascii="Segoe UI" w:eastAsia="Times New Roman" w:hAnsi="Segoe UI" w:cs="Segoe UI"/>
          <w:bCs/>
          <w:szCs w:val="20"/>
          <w:lang w:eastAsia="it-IT"/>
        </w:rPr>
        <w:t xml:space="preserve"> appunto</w:t>
      </w:r>
      <w:r w:rsidR="000051E8" w:rsidRPr="0062207D">
        <w:rPr>
          <w:rFonts w:ascii="Segoe UI" w:eastAsia="Times New Roman" w:hAnsi="Segoe UI" w:cs="Segoe UI"/>
          <w:bCs/>
          <w:szCs w:val="20"/>
          <w:lang w:eastAsia="it-IT"/>
        </w:rPr>
        <w:t>,</w:t>
      </w:r>
      <w:r w:rsidRPr="0062207D">
        <w:rPr>
          <w:rFonts w:ascii="Segoe UI" w:eastAsia="Times New Roman" w:hAnsi="Segoe UI" w:cs="Segoe UI"/>
          <w:bCs/>
          <w:szCs w:val="20"/>
          <w:lang w:eastAsia="it-IT"/>
        </w:rPr>
        <w:t xml:space="preserve"> due percorsi/processi </w:t>
      </w:r>
      <w:r w:rsidR="000051E8" w:rsidRPr="0062207D">
        <w:rPr>
          <w:rFonts w:ascii="Segoe UI" w:eastAsia="Times New Roman" w:hAnsi="Segoe UI" w:cs="Segoe UI"/>
          <w:bCs/>
          <w:szCs w:val="20"/>
          <w:lang w:eastAsia="it-IT"/>
        </w:rPr>
        <w:t xml:space="preserve">metodologici </w:t>
      </w:r>
      <w:r w:rsidR="009E7580">
        <w:rPr>
          <w:rFonts w:ascii="Segoe UI" w:eastAsia="Times New Roman" w:hAnsi="Segoe UI" w:cs="Segoe UI"/>
          <w:bCs/>
          <w:szCs w:val="20"/>
          <w:lang w:eastAsia="it-IT"/>
        </w:rPr>
        <w:t xml:space="preserve">che un tempo risultavano sostanzialmente </w:t>
      </w:r>
      <w:r w:rsidRPr="0062207D">
        <w:rPr>
          <w:rFonts w:ascii="Segoe UI" w:eastAsia="Times New Roman" w:hAnsi="Segoe UI" w:cs="Segoe UI"/>
          <w:bCs/>
          <w:szCs w:val="20"/>
          <w:lang w:eastAsia="it-IT"/>
        </w:rPr>
        <w:t>di</w:t>
      </w:r>
      <w:r w:rsidR="009E7580">
        <w:rPr>
          <w:rFonts w:ascii="Segoe UI" w:eastAsia="Times New Roman" w:hAnsi="Segoe UI" w:cs="Segoe UI"/>
          <w:bCs/>
          <w:szCs w:val="20"/>
          <w:lang w:eastAsia="it-IT"/>
        </w:rPr>
        <w:t>vergenti e ora sono stati resi sostanzialmente complementari</w:t>
      </w:r>
      <w:r w:rsidR="00700F6F" w:rsidRPr="0062207D">
        <w:rPr>
          <w:rFonts w:ascii="Segoe UI" w:eastAsia="Times New Roman" w:hAnsi="Segoe UI" w:cs="Segoe UI"/>
          <w:bCs/>
          <w:szCs w:val="20"/>
          <w:lang w:eastAsia="it-IT"/>
        </w:rPr>
        <w:t>.</w:t>
      </w:r>
    </w:p>
    <w:p w14:paraId="27790A97" w14:textId="440C60EA" w:rsidR="000051E8" w:rsidRPr="0062207D" w:rsidRDefault="000051E8" w:rsidP="000051E8">
      <w:pPr>
        <w:tabs>
          <w:tab w:val="left" w:pos="709"/>
        </w:tabs>
        <w:spacing w:before="120" w:after="120" w:line="240" w:lineRule="auto"/>
        <w:jc w:val="both"/>
        <w:rPr>
          <w:rFonts w:ascii="Segoe UI" w:hAnsi="Segoe UI" w:cs="Segoe UI"/>
          <w:bCs/>
          <w:szCs w:val="20"/>
        </w:rPr>
      </w:pPr>
      <w:r w:rsidRPr="00500B94">
        <w:rPr>
          <w:rFonts w:ascii="Segoe UI" w:hAnsi="Segoe UI" w:cs="Segoe UI"/>
          <w:b/>
          <w:bCs/>
          <w:szCs w:val="20"/>
        </w:rPr>
        <w:t>Terzo</w:t>
      </w:r>
      <w:r w:rsidRPr="0062207D">
        <w:rPr>
          <w:rFonts w:ascii="Segoe UI" w:hAnsi="Segoe UI" w:cs="Segoe UI"/>
          <w:bCs/>
          <w:szCs w:val="20"/>
        </w:rPr>
        <w:t xml:space="preserve">. Al contrario dei primi tre anni di attività dell’IIRC (organizzazione che ha avviato la propria attività nel 2010), in cui esso e il GRI sembravano operare di fatto in competizione, non sembra invece esservi ora un palese conflitto tra i SR </w:t>
      </w:r>
      <w:r w:rsidRPr="00DB2AAE">
        <w:rPr>
          <w:rFonts w:ascii="Segoe UI" w:hAnsi="Segoe UI" w:cs="Segoe UI"/>
          <w:bCs/>
          <w:szCs w:val="20"/>
        </w:rPr>
        <w:t>Standards</w:t>
      </w:r>
      <w:r w:rsidRPr="0062207D">
        <w:rPr>
          <w:rFonts w:ascii="Segoe UI" w:hAnsi="Segoe UI" w:cs="Segoe UI"/>
          <w:bCs/>
          <w:szCs w:val="20"/>
        </w:rPr>
        <w:t xml:space="preserve"> e l’IR Framework: i due </w:t>
      </w:r>
      <w:r w:rsidRPr="00A81D77">
        <w:rPr>
          <w:rFonts w:ascii="Segoe UI" w:hAnsi="Segoe UI" w:cs="Segoe UI"/>
          <w:bCs/>
          <w:i/>
          <w:szCs w:val="20"/>
        </w:rPr>
        <w:t>standard</w:t>
      </w:r>
      <w:r w:rsidRPr="0062207D">
        <w:rPr>
          <w:rFonts w:ascii="Segoe UI" w:hAnsi="Segoe UI" w:cs="Segoe UI"/>
          <w:bCs/>
          <w:szCs w:val="20"/>
        </w:rPr>
        <w:t xml:space="preserve"> hanno obiettivi in parte diversi, è vero, con riguardo alla funzione e ai destinatari, ma le loro più recenti versioni sono state pensate e sviluppate nella prospettiva di una adozione potenzialmente complementare. </w:t>
      </w:r>
      <w:r w:rsidR="00B8322C" w:rsidRPr="0062207D">
        <w:rPr>
          <w:rFonts w:ascii="Segoe UI" w:hAnsi="Segoe UI" w:cs="Segoe UI"/>
          <w:bCs/>
          <w:szCs w:val="20"/>
        </w:rPr>
        <w:t xml:space="preserve">Nella </w:t>
      </w:r>
      <w:r w:rsidR="00B8322C" w:rsidRPr="00500B94">
        <w:rPr>
          <w:rFonts w:ascii="Segoe UI" w:hAnsi="Segoe UI" w:cs="Segoe UI"/>
          <w:bCs/>
          <w:i/>
          <w:szCs w:val="20"/>
        </w:rPr>
        <w:t>compliance</w:t>
      </w:r>
      <w:r w:rsidR="00B8322C" w:rsidRPr="0062207D">
        <w:rPr>
          <w:rFonts w:ascii="Segoe UI" w:hAnsi="Segoe UI" w:cs="Segoe UI"/>
          <w:bCs/>
          <w:szCs w:val="20"/>
        </w:rPr>
        <w:t xml:space="preserve"> alle disposizion</w:t>
      </w:r>
      <w:r w:rsidR="00500B94">
        <w:rPr>
          <w:rFonts w:ascii="Segoe UI" w:hAnsi="Segoe UI" w:cs="Segoe UI"/>
          <w:bCs/>
          <w:szCs w:val="20"/>
        </w:rPr>
        <w:t>i</w:t>
      </w:r>
      <w:r w:rsidR="00B8322C" w:rsidRPr="0062207D">
        <w:rPr>
          <w:rFonts w:ascii="Segoe UI" w:hAnsi="Segoe UI" w:cs="Segoe UI"/>
          <w:bCs/>
          <w:szCs w:val="20"/>
        </w:rPr>
        <w:t xml:space="preserve"> del d.lgs. n. 254/2016 u</w:t>
      </w:r>
      <w:r w:rsidRPr="0062207D">
        <w:rPr>
          <w:rFonts w:ascii="Segoe UI" w:hAnsi="Segoe UI" w:cs="Segoe UI"/>
          <w:bCs/>
          <w:szCs w:val="20"/>
        </w:rPr>
        <w:t>n’organizzazione potrebbe</w:t>
      </w:r>
      <w:r w:rsidR="00B8322C" w:rsidRPr="0062207D">
        <w:rPr>
          <w:rFonts w:ascii="Segoe UI" w:hAnsi="Segoe UI" w:cs="Segoe UI"/>
          <w:bCs/>
          <w:szCs w:val="20"/>
        </w:rPr>
        <w:t>,</w:t>
      </w:r>
      <w:r w:rsidRPr="0062207D">
        <w:rPr>
          <w:rFonts w:ascii="Segoe UI" w:hAnsi="Segoe UI" w:cs="Segoe UI"/>
          <w:bCs/>
          <w:szCs w:val="20"/>
        </w:rPr>
        <w:t xml:space="preserve"> all’occorrenza</w:t>
      </w:r>
      <w:r w:rsidR="00B8322C" w:rsidRPr="0062207D">
        <w:rPr>
          <w:rFonts w:ascii="Segoe UI" w:hAnsi="Segoe UI" w:cs="Segoe UI"/>
          <w:bCs/>
          <w:szCs w:val="20"/>
        </w:rPr>
        <w:t>,</w:t>
      </w:r>
      <w:r w:rsidRPr="0062207D">
        <w:rPr>
          <w:rFonts w:ascii="Segoe UI" w:hAnsi="Segoe UI" w:cs="Segoe UI"/>
          <w:bCs/>
          <w:szCs w:val="20"/>
        </w:rPr>
        <w:t xml:space="preserve"> adottare entrambi gli </w:t>
      </w:r>
      <w:r w:rsidRPr="00500B94">
        <w:rPr>
          <w:rFonts w:ascii="Segoe UI" w:hAnsi="Segoe UI" w:cs="Segoe UI"/>
          <w:bCs/>
          <w:i/>
          <w:szCs w:val="20"/>
        </w:rPr>
        <w:t>standard</w:t>
      </w:r>
      <w:r w:rsidRPr="0062207D">
        <w:rPr>
          <w:rFonts w:ascii="Segoe UI" w:hAnsi="Segoe UI" w:cs="Segoe UI"/>
          <w:bCs/>
          <w:szCs w:val="20"/>
        </w:rPr>
        <w:t>, utilizzando gli indicatori elaborati dal GRI (</w:t>
      </w:r>
      <w:r w:rsidR="009E7580">
        <w:rPr>
          <w:rFonts w:ascii="Segoe UI" w:hAnsi="Segoe UI" w:cs="Segoe UI"/>
          <w:bCs/>
          <w:szCs w:val="20"/>
        </w:rPr>
        <w:t xml:space="preserve">uno tra i </w:t>
      </w:r>
      <w:r w:rsidRPr="0062207D">
        <w:rPr>
          <w:rFonts w:ascii="Segoe UI" w:hAnsi="Segoe UI" w:cs="Segoe UI"/>
          <w:bCs/>
          <w:szCs w:val="20"/>
        </w:rPr>
        <w:t>punt</w:t>
      </w:r>
      <w:r w:rsidR="009E7580">
        <w:rPr>
          <w:rFonts w:ascii="Segoe UI" w:hAnsi="Segoe UI" w:cs="Segoe UI"/>
          <w:bCs/>
          <w:szCs w:val="20"/>
        </w:rPr>
        <w:t>i</w:t>
      </w:r>
      <w:r w:rsidRPr="0062207D">
        <w:rPr>
          <w:rFonts w:ascii="Segoe UI" w:hAnsi="Segoe UI" w:cs="Segoe UI"/>
          <w:bCs/>
          <w:szCs w:val="20"/>
        </w:rPr>
        <w:t xml:space="preserve"> di forza di queste linee guida) nell’ambito della descrizione del modello di </w:t>
      </w:r>
      <w:r w:rsidRPr="00500B94">
        <w:rPr>
          <w:rFonts w:ascii="Segoe UI" w:hAnsi="Segoe UI" w:cs="Segoe UI"/>
          <w:bCs/>
          <w:i/>
          <w:szCs w:val="20"/>
        </w:rPr>
        <w:t>business</w:t>
      </w:r>
      <w:r w:rsidRPr="0062207D">
        <w:rPr>
          <w:rFonts w:ascii="Segoe UI" w:hAnsi="Segoe UI" w:cs="Segoe UI"/>
          <w:bCs/>
          <w:szCs w:val="20"/>
        </w:rPr>
        <w:t xml:space="preserve"> previsto dall’impostazione dell’IIRC, più idoneo a supportarne la comprensione in un contesto dinamico, quale è quello della gestione aziendale.</w:t>
      </w:r>
    </w:p>
    <w:p w14:paraId="0B976A15" w14:textId="3BA2DC00" w:rsidR="000051E8" w:rsidRPr="0062207D" w:rsidRDefault="000051E8" w:rsidP="000051E8">
      <w:pPr>
        <w:tabs>
          <w:tab w:val="left" w:pos="709"/>
        </w:tabs>
        <w:spacing w:before="120" w:after="120" w:line="240" w:lineRule="auto"/>
        <w:jc w:val="both"/>
        <w:rPr>
          <w:rFonts w:ascii="Segoe UI" w:hAnsi="Segoe UI" w:cs="Segoe UI"/>
          <w:bCs/>
          <w:szCs w:val="20"/>
        </w:rPr>
      </w:pPr>
      <w:r w:rsidRPr="0062207D">
        <w:rPr>
          <w:rFonts w:ascii="Segoe UI" w:hAnsi="Segoe UI" w:cs="Segoe UI"/>
          <w:bCs/>
          <w:szCs w:val="20"/>
        </w:rPr>
        <w:t xml:space="preserve">D’altro canto, la mancanza di un unico </w:t>
      </w:r>
      <w:r w:rsidRPr="007A744A">
        <w:rPr>
          <w:rFonts w:ascii="Segoe UI" w:hAnsi="Segoe UI" w:cs="Segoe UI"/>
          <w:bCs/>
          <w:i/>
          <w:szCs w:val="20"/>
        </w:rPr>
        <w:t>standard</w:t>
      </w:r>
      <w:r w:rsidRPr="0062207D">
        <w:rPr>
          <w:rFonts w:ascii="Segoe UI" w:hAnsi="Segoe UI" w:cs="Segoe UI"/>
          <w:bCs/>
          <w:szCs w:val="20"/>
        </w:rPr>
        <w:t xml:space="preserve"> generalmente riconosciuto rappresenta un ostacolo a una diffusione di strumenti di </w:t>
      </w:r>
      <w:r w:rsidRPr="0062207D">
        <w:rPr>
          <w:rFonts w:ascii="Segoe UI" w:hAnsi="Segoe UI" w:cs="Segoe UI"/>
          <w:bCs/>
          <w:i/>
          <w:szCs w:val="20"/>
        </w:rPr>
        <w:t>sustainability reporting</w:t>
      </w:r>
      <w:r w:rsidRPr="0062207D">
        <w:rPr>
          <w:rFonts w:ascii="Segoe UI" w:hAnsi="Segoe UI" w:cs="Segoe UI"/>
          <w:bCs/>
          <w:szCs w:val="20"/>
        </w:rPr>
        <w:t xml:space="preserve"> coerenti nell’ambito di un unico sistema economico-sociale (ad esempio </w:t>
      </w:r>
      <w:r w:rsidR="009E7580">
        <w:rPr>
          <w:rFonts w:ascii="Segoe UI" w:hAnsi="Segoe UI" w:cs="Segoe UI"/>
          <w:bCs/>
          <w:szCs w:val="20"/>
        </w:rPr>
        <w:t xml:space="preserve">quello </w:t>
      </w:r>
      <w:r w:rsidRPr="0062207D">
        <w:rPr>
          <w:rFonts w:ascii="Segoe UI" w:hAnsi="Segoe UI" w:cs="Segoe UI"/>
          <w:bCs/>
          <w:szCs w:val="20"/>
        </w:rPr>
        <w:t xml:space="preserve">europeo). Sebbene si riduca negli anni, nel contesto italiano si rileva ancora una certa eterogeneità nelle di modalità di redazione e di pubblicazione di informativa </w:t>
      </w:r>
      <w:r w:rsidRPr="0062207D">
        <w:rPr>
          <w:rFonts w:ascii="Segoe UI" w:hAnsi="Segoe UI" w:cs="Segoe UI"/>
          <w:bCs/>
          <w:i/>
          <w:szCs w:val="20"/>
        </w:rPr>
        <w:t>non-financial</w:t>
      </w:r>
      <w:r w:rsidRPr="0062207D">
        <w:rPr>
          <w:rFonts w:ascii="Segoe UI" w:hAnsi="Segoe UI" w:cs="Segoe UI"/>
          <w:bCs/>
          <w:szCs w:val="20"/>
        </w:rPr>
        <w:t>. In questo senso non aiut</w:t>
      </w:r>
      <w:r w:rsidR="00CF40CD" w:rsidRPr="0062207D">
        <w:rPr>
          <w:rFonts w:ascii="Segoe UI" w:hAnsi="Segoe UI" w:cs="Segoe UI"/>
          <w:bCs/>
          <w:szCs w:val="20"/>
        </w:rPr>
        <w:t>a</w:t>
      </w:r>
      <w:r w:rsidRPr="0062207D">
        <w:rPr>
          <w:rFonts w:ascii="Segoe UI" w:hAnsi="Segoe UI" w:cs="Segoe UI"/>
          <w:bCs/>
          <w:szCs w:val="20"/>
        </w:rPr>
        <w:t xml:space="preserve"> la formulazione della direttiva 2014/95/UE e del d</w:t>
      </w:r>
      <w:r w:rsidR="009E7580">
        <w:rPr>
          <w:rFonts w:ascii="Segoe UI" w:hAnsi="Segoe UI" w:cs="Segoe UI"/>
          <w:bCs/>
          <w:szCs w:val="20"/>
        </w:rPr>
        <w:t>.lgs. n. 254/2016</w:t>
      </w:r>
      <w:r w:rsidRPr="0062207D">
        <w:rPr>
          <w:rFonts w:ascii="Segoe UI" w:hAnsi="Segoe UI" w:cs="Segoe UI"/>
          <w:bCs/>
          <w:szCs w:val="20"/>
        </w:rPr>
        <w:t xml:space="preserve">, in cui si lascia alle organizzazioni un’estrema flessibilità nello scegliere e adottare </w:t>
      </w:r>
      <w:r w:rsidR="009E7580">
        <w:rPr>
          <w:rFonts w:ascii="Segoe UI" w:hAnsi="Segoe UI" w:cs="Segoe UI"/>
          <w:bCs/>
          <w:szCs w:val="20"/>
        </w:rPr>
        <w:t xml:space="preserve">la propria metodologia </w:t>
      </w:r>
      <w:r w:rsidRPr="0062207D">
        <w:rPr>
          <w:rFonts w:ascii="Segoe UI" w:hAnsi="Segoe UI" w:cs="Segoe UI"/>
          <w:bCs/>
          <w:szCs w:val="20"/>
        </w:rPr>
        <w:t xml:space="preserve">di </w:t>
      </w:r>
      <w:r w:rsidRPr="0062207D">
        <w:rPr>
          <w:rFonts w:ascii="Segoe UI" w:hAnsi="Segoe UI" w:cs="Segoe UI"/>
          <w:bCs/>
          <w:i/>
          <w:szCs w:val="20"/>
        </w:rPr>
        <w:t>non-financial</w:t>
      </w:r>
      <w:r w:rsidRPr="0062207D">
        <w:rPr>
          <w:rFonts w:ascii="Segoe UI" w:hAnsi="Segoe UI" w:cs="Segoe UI"/>
          <w:bCs/>
          <w:szCs w:val="20"/>
        </w:rPr>
        <w:t xml:space="preserve"> </w:t>
      </w:r>
      <w:r w:rsidRPr="0062207D">
        <w:rPr>
          <w:rFonts w:ascii="Segoe UI" w:hAnsi="Segoe UI" w:cs="Segoe UI"/>
          <w:bCs/>
          <w:i/>
          <w:szCs w:val="20"/>
        </w:rPr>
        <w:t>reporting</w:t>
      </w:r>
      <w:r w:rsidRPr="0062207D">
        <w:rPr>
          <w:rFonts w:ascii="Segoe UI" w:hAnsi="Segoe UI" w:cs="Segoe UI"/>
          <w:bCs/>
          <w:szCs w:val="20"/>
        </w:rPr>
        <w:t>.</w:t>
      </w:r>
      <w:r w:rsidR="00CF40CD" w:rsidRPr="0062207D">
        <w:rPr>
          <w:rFonts w:ascii="Segoe UI" w:hAnsi="Segoe UI" w:cs="Segoe UI"/>
          <w:bCs/>
          <w:szCs w:val="20"/>
        </w:rPr>
        <w:t xml:space="preserve"> Non è da escludersi che, oggi, </w:t>
      </w:r>
      <w:r w:rsidRPr="0062207D">
        <w:rPr>
          <w:rFonts w:ascii="Segoe UI" w:hAnsi="Segoe UI" w:cs="Segoe UI"/>
          <w:bCs/>
          <w:szCs w:val="20"/>
        </w:rPr>
        <w:t xml:space="preserve">gli sforzi di collaborazione tra </w:t>
      </w:r>
      <w:r w:rsidR="009E7580">
        <w:rPr>
          <w:rFonts w:ascii="Segoe UI" w:hAnsi="Segoe UI" w:cs="Segoe UI"/>
          <w:bCs/>
          <w:szCs w:val="20"/>
        </w:rPr>
        <w:t xml:space="preserve">il GRI e </w:t>
      </w:r>
      <w:r w:rsidRPr="0062207D">
        <w:rPr>
          <w:rFonts w:ascii="Segoe UI" w:hAnsi="Segoe UI" w:cs="Segoe UI"/>
          <w:bCs/>
          <w:szCs w:val="20"/>
        </w:rPr>
        <w:t xml:space="preserve">l’IIRC </w:t>
      </w:r>
      <w:r w:rsidR="00CF40CD" w:rsidRPr="0062207D">
        <w:rPr>
          <w:rFonts w:ascii="Segoe UI" w:hAnsi="Segoe UI" w:cs="Segoe UI"/>
          <w:bCs/>
          <w:szCs w:val="20"/>
        </w:rPr>
        <w:t xml:space="preserve">siano </w:t>
      </w:r>
      <w:r w:rsidRPr="0062207D">
        <w:rPr>
          <w:rFonts w:ascii="Segoe UI" w:hAnsi="Segoe UI" w:cs="Segoe UI"/>
          <w:bCs/>
          <w:szCs w:val="20"/>
        </w:rPr>
        <w:t xml:space="preserve">orientati </w:t>
      </w:r>
      <w:r w:rsidR="00CF40CD" w:rsidRPr="0062207D">
        <w:rPr>
          <w:rFonts w:ascii="Segoe UI" w:hAnsi="Segoe UI" w:cs="Segoe UI"/>
          <w:bCs/>
          <w:szCs w:val="20"/>
        </w:rPr>
        <w:t xml:space="preserve">proprio per </w:t>
      </w:r>
      <w:r w:rsidRPr="0062207D">
        <w:rPr>
          <w:rFonts w:ascii="Segoe UI" w:hAnsi="Segoe UI" w:cs="Segoe UI"/>
          <w:bCs/>
          <w:szCs w:val="20"/>
        </w:rPr>
        <w:t xml:space="preserve">sviluppare in un prossimo futuro uno strumento comune, generalmente riconosciuto dalla totalità degli operatori e degli </w:t>
      </w:r>
      <w:r w:rsidRPr="00F03CD2">
        <w:rPr>
          <w:rFonts w:ascii="Segoe UI" w:hAnsi="Segoe UI" w:cs="Segoe UI"/>
          <w:bCs/>
          <w:i/>
          <w:szCs w:val="20"/>
        </w:rPr>
        <w:t>stakeholder</w:t>
      </w:r>
      <w:r w:rsidRPr="0062207D">
        <w:rPr>
          <w:rFonts w:ascii="Segoe UI" w:hAnsi="Segoe UI" w:cs="Segoe UI"/>
          <w:bCs/>
          <w:szCs w:val="20"/>
        </w:rPr>
        <w:t>.</w:t>
      </w:r>
    </w:p>
    <w:p w14:paraId="4ACD526A" w14:textId="3EA41FF7" w:rsidR="000051E8" w:rsidRPr="0062207D" w:rsidRDefault="00F25397" w:rsidP="000051E8">
      <w:pPr>
        <w:tabs>
          <w:tab w:val="left" w:pos="709"/>
        </w:tabs>
        <w:spacing w:before="120" w:after="120" w:line="240" w:lineRule="auto"/>
        <w:jc w:val="both"/>
        <w:rPr>
          <w:rFonts w:ascii="Segoe UI" w:hAnsi="Segoe UI" w:cs="Segoe UI"/>
          <w:bCs/>
          <w:szCs w:val="20"/>
        </w:rPr>
      </w:pPr>
      <w:r w:rsidRPr="0062207D">
        <w:rPr>
          <w:rFonts w:ascii="Segoe UI" w:hAnsi="Segoe UI" w:cs="Segoe UI"/>
          <w:bCs/>
          <w:szCs w:val="20"/>
        </w:rPr>
        <w:t xml:space="preserve">Infine, non sono ininfluenti nella calibrazione del principio di rilevanza </w:t>
      </w:r>
      <w:r w:rsidR="009E7580">
        <w:rPr>
          <w:rFonts w:ascii="Segoe UI" w:hAnsi="Segoe UI" w:cs="Segoe UI"/>
          <w:bCs/>
          <w:szCs w:val="20"/>
        </w:rPr>
        <w:t xml:space="preserve">e determinazione della materialità </w:t>
      </w:r>
      <w:r w:rsidRPr="0062207D">
        <w:rPr>
          <w:rFonts w:ascii="Segoe UI" w:hAnsi="Segoe UI" w:cs="Segoe UI"/>
          <w:bCs/>
          <w:szCs w:val="20"/>
        </w:rPr>
        <w:t xml:space="preserve">le seguenti osservazioni. </w:t>
      </w:r>
      <w:r w:rsidR="000051E8" w:rsidRPr="0062207D">
        <w:rPr>
          <w:rFonts w:ascii="Segoe UI" w:hAnsi="Segoe UI" w:cs="Segoe UI"/>
          <w:bCs/>
          <w:szCs w:val="20"/>
        </w:rPr>
        <w:t>Da un certo punto di vista l’</w:t>
      </w:r>
      <w:r w:rsidR="000051E8" w:rsidRPr="0062207D">
        <w:rPr>
          <w:rFonts w:ascii="Segoe UI" w:hAnsi="Segoe UI" w:cs="Segoe UI"/>
          <w:bCs/>
          <w:i/>
          <w:szCs w:val="20"/>
        </w:rPr>
        <w:t>integrated report</w:t>
      </w:r>
      <w:r w:rsidR="000051E8" w:rsidRPr="0062207D">
        <w:rPr>
          <w:rFonts w:ascii="Segoe UI" w:hAnsi="Segoe UI" w:cs="Segoe UI"/>
          <w:bCs/>
          <w:szCs w:val="20"/>
        </w:rPr>
        <w:t xml:space="preserve"> </w:t>
      </w:r>
      <w:r w:rsidR="00901BF1" w:rsidRPr="0062207D">
        <w:rPr>
          <w:rFonts w:ascii="Segoe UI" w:hAnsi="Segoe UI" w:cs="Segoe UI"/>
          <w:bCs/>
          <w:szCs w:val="20"/>
        </w:rPr>
        <w:t xml:space="preserve">può </w:t>
      </w:r>
      <w:r w:rsidR="000051E8" w:rsidRPr="0062207D">
        <w:rPr>
          <w:rFonts w:ascii="Segoe UI" w:hAnsi="Segoe UI" w:cs="Segoe UI"/>
          <w:bCs/>
          <w:szCs w:val="20"/>
        </w:rPr>
        <w:t>ridu</w:t>
      </w:r>
      <w:r w:rsidR="00901BF1" w:rsidRPr="0062207D">
        <w:rPr>
          <w:rFonts w:ascii="Segoe UI" w:hAnsi="Segoe UI" w:cs="Segoe UI"/>
          <w:bCs/>
          <w:szCs w:val="20"/>
        </w:rPr>
        <w:t xml:space="preserve">rre </w:t>
      </w:r>
      <w:r w:rsidR="000051E8" w:rsidRPr="0062207D">
        <w:rPr>
          <w:rFonts w:ascii="Segoe UI" w:hAnsi="Segoe UI" w:cs="Segoe UI"/>
          <w:bCs/>
          <w:szCs w:val="20"/>
        </w:rPr>
        <w:t xml:space="preserve">la distanza tra azionisti e </w:t>
      </w:r>
      <w:r w:rsidR="000051E8" w:rsidRPr="00F03CD2">
        <w:rPr>
          <w:rFonts w:ascii="Segoe UI" w:hAnsi="Segoe UI" w:cs="Segoe UI"/>
          <w:bCs/>
          <w:i/>
          <w:szCs w:val="20"/>
        </w:rPr>
        <w:t>stakeholder</w:t>
      </w:r>
      <w:r w:rsidR="000051E8" w:rsidRPr="0062207D">
        <w:rPr>
          <w:rFonts w:ascii="Segoe UI" w:hAnsi="Segoe UI" w:cs="Segoe UI"/>
          <w:bCs/>
          <w:szCs w:val="20"/>
        </w:rPr>
        <w:t xml:space="preserve">, laddove un </w:t>
      </w:r>
      <w:r w:rsidR="000051E8" w:rsidRPr="007A744A">
        <w:rPr>
          <w:rFonts w:ascii="Segoe UI" w:hAnsi="Segoe UI" w:cs="Segoe UI"/>
          <w:bCs/>
          <w:i/>
          <w:szCs w:val="20"/>
        </w:rPr>
        <w:t>report</w:t>
      </w:r>
      <w:r w:rsidR="000051E8" w:rsidRPr="0062207D">
        <w:rPr>
          <w:rFonts w:ascii="Segoe UI" w:hAnsi="Segoe UI" w:cs="Segoe UI"/>
          <w:bCs/>
          <w:szCs w:val="20"/>
        </w:rPr>
        <w:t xml:space="preserve"> di sostenibilità separato rischia di marginalizzare i secondi (le cui informazioni rilevanti resterebbero fuori da un documento ufficiale obbligatorio)</w:t>
      </w:r>
      <w:r w:rsidR="00901BF1" w:rsidRPr="0062207D">
        <w:rPr>
          <w:rFonts w:ascii="Segoe UI" w:hAnsi="Segoe UI" w:cs="Segoe UI"/>
          <w:bCs/>
          <w:szCs w:val="20"/>
        </w:rPr>
        <w:t>,</w:t>
      </w:r>
      <w:r w:rsidR="000051E8" w:rsidRPr="0062207D">
        <w:rPr>
          <w:rFonts w:ascii="Segoe UI" w:hAnsi="Segoe UI" w:cs="Segoe UI"/>
          <w:bCs/>
          <w:szCs w:val="20"/>
        </w:rPr>
        <w:t xml:space="preserve"> inficiando l</w:t>
      </w:r>
      <w:r w:rsidR="009E7580">
        <w:rPr>
          <w:rFonts w:ascii="Segoe UI" w:hAnsi="Segoe UI" w:cs="Segoe UI"/>
          <w:bCs/>
          <w:szCs w:val="20"/>
        </w:rPr>
        <w:t xml:space="preserve">’efficacia </w:t>
      </w:r>
      <w:r w:rsidR="000051E8" w:rsidRPr="0062207D">
        <w:rPr>
          <w:rFonts w:ascii="Segoe UI" w:hAnsi="Segoe UI" w:cs="Segoe UI"/>
          <w:bCs/>
          <w:szCs w:val="20"/>
        </w:rPr>
        <w:t>stessa delle informazioni ESG (nella misura in cui non siano incluse nei documenti specificamente rivolti agli azionisti).</w:t>
      </w:r>
      <w:r w:rsidR="00901BF1" w:rsidRPr="0062207D">
        <w:rPr>
          <w:rFonts w:ascii="Segoe UI" w:hAnsi="Segoe UI" w:cs="Segoe UI"/>
          <w:bCs/>
          <w:szCs w:val="20"/>
        </w:rPr>
        <w:t xml:space="preserve"> Questo è un problema che potrebbe porsi, sostanzialmente (anche se non formalmente)</w:t>
      </w:r>
      <w:r w:rsidR="009E7580">
        <w:rPr>
          <w:rFonts w:ascii="Segoe UI" w:hAnsi="Segoe UI" w:cs="Segoe UI"/>
          <w:bCs/>
          <w:szCs w:val="20"/>
        </w:rPr>
        <w:t>,</w:t>
      </w:r>
      <w:r w:rsidR="00901BF1" w:rsidRPr="0062207D">
        <w:rPr>
          <w:rFonts w:ascii="Segoe UI" w:hAnsi="Segoe UI" w:cs="Segoe UI"/>
          <w:bCs/>
          <w:szCs w:val="20"/>
        </w:rPr>
        <w:t xml:space="preserve"> nel sistema nazionale strutturato secondo le previsioni del d.lgs. n. 254/2016, dove la dichiarazione non finanziaria può essere inclusa </w:t>
      </w:r>
      <w:r w:rsidR="001F5030" w:rsidRPr="0062207D">
        <w:rPr>
          <w:rFonts w:ascii="Segoe UI" w:hAnsi="Segoe UI" w:cs="Segoe UI"/>
          <w:bCs/>
          <w:szCs w:val="20"/>
        </w:rPr>
        <w:t xml:space="preserve">in una specifica sezione della </w:t>
      </w:r>
      <w:r w:rsidR="00901BF1" w:rsidRPr="0062207D">
        <w:rPr>
          <w:rFonts w:ascii="Segoe UI" w:hAnsi="Segoe UI" w:cs="Segoe UI"/>
          <w:bCs/>
          <w:szCs w:val="20"/>
        </w:rPr>
        <w:t>relazione sulla gestione o</w:t>
      </w:r>
      <w:r w:rsidR="001F5030" w:rsidRPr="0062207D">
        <w:rPr>
          <w:rFonts w:ascii="Segoe UI" w:hAnsi="Segoe UI" w:cs="Segoe UI"/>
          <w:bCs/>
          <w:szCs w:val="20"/>
        </w:rPr>
        <w:t xml:space="preserve">, in alternativa, </w:t>
      </w:r>
      <w:r w:rsidR="00901BF1" w:rsidRPr="0062207D">
        <w:rPr>
          <w:rFonts w:ascii="Segoe UI" w:hAnsi="Segoe UI" w:cs="Segoe UI"/>
          <w:bCs/>
          <w:szCs w:val="20"/>
        </w:rPr>
        <w:t>ess</w:t>
      </w:r>
      <w:r w:rsidR="001F5030" w:rsidRPr="0062207D">
        <w:rPr>
          <w:rFonts w:ascii="Segoe UI" w:hAnsi="Segoe UI" w:cs="Segoe UI"/>
          <w:bCs/>
          <w:szCs w:val="20"/>
        </w:rPr>
        <w:t>e</w:t>
      </w:r>
      <w:r w:rsidR="00901BF1" w:rsidRPr="0062207D">
        <w:rPr>
          <w:rFonts w:ascii="Segoe UI" w:hAnsi="Segoe UI" w:cs="Segoe UI"/>
          <w:bCs/>
          <w:szCs w:val="20"/>
        </w:rPr>
        <w:t>re pubblicata in un documento separato.</w:t>
      </w:r>
      <w:r w:rsidR="001F5030" w:rsidRPr="0062207D">
        <w:rPr>
          <w:rFonts w:ascii="Segoe UI" w:hAnsi="Segoe UI" w:cs="Segoe UI"/>
          <w:bCs/>
          <w:szCs w:val="20"/>
        </w:rPr>
        <w:t xml:space="preserve"> Ci si potrebbe chiedere, in altri termini, se l</w:t>
      </w:r>
      <w:r w:rsidR="000051E8" w:rsidRPr="0062207D">
        <w:rPr>
          <w:rFonts w:ascii="Segoe UI" w:hAnsi="Segoe UI" w:cs="Segoe UI"/>
          <w:bCs/>
          <w:szCs w:val="20"/>
        </w:rPr>
        <w:t>a rendicontazione ESG separata costituisc</w:t>
      </w:r>
      <w:r w:rsidR="001F5030" w:rsidRPr="0062207D">
        <w:rPr>
          <w:rFonts w:ascii="Segoe UI" w:hAnsi="Segoe UI" w:cs="Segoe UI"/>
          <w:bCs/>
          <w:szCs w:val="20"/>
        </w:rPr>
        <w:t>a</w:t>
      </w:r>
      <w:r w:rsidR="000051E8" w:rsidRPr="0062207D">
        <w:rPr>
          <w:rFonts w:ascii="Segoe UI" w:hAnsi="Segoe UI" w:cs="Segoe UI"/>
          <w:bCs/>
          <w:szCs w:val="20"/>
        </w:rPr>
        <w:t xml:space="preserve"> una comunicazione sufficientemente efficace e verificabile da poter essere inclusa sistematicamente nelle decisioni di investimento e di acquisto degli </w:t>
      </w:r>
      <w:r w:rsidR="000051E8" w:rsidRPr="00F03CD2">
        <w:rPr>
          <w:rFonts w:ascii="Segoe UI" w:hAnsi="Segoe UI" w:cs="Segoe UI"/>
          <w:bCs/>
          <w:i/>
          <w:szCs w:val="20"/>
        </w:rPr>
        <w:t>stakeholder</w:t>
      </w:r>
      <w:r w:rsidR="000051E8" w:rsidRPr="0062207D">
        <w:rPr>
          <w:rFonts w:ascii="Segoe UI" w:hAnsi="Segoe UI" w:cs="Segoe UI"/>
          <w:bCs/>
          <w:szCs w:val="20"/>
        </w:rPr>
        <w:t>.</w:t>
      </w:r>
    </w:p>
    <w:p w14:paraId="3DA89817" w14:textId="3D345626" w:rsidR="00C3637B" w:rsidRPr="0062207D" w:rsidRDefault="001F5030" w:rsidP="000051E8">
      <w:pPr>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Al di là dei ragionamenti che saranno di seguito argomentati, l’applicazione del principio di rilevanza </w:t>
      </w:r>
      <w:r w:rsidR="009E7580">
        <w:rPr>
          <w:rFonts w:ascii="Segoe UI" w:hAnsi="Segoe UI" w:cs="Segoe UI"/>
          <w:szCs w:val="20"/>
        </w:rPr>
        <w:t xml:space="preserve">e la determinazione della materialità </w:t>
      </w:r>
      <w:r w:rsidRPr="0062207D">
        <w:rPr>
          <w:rFonts w:ascii="Segoe UI" w:hAnsi="Segoe UI" w:cs="Segoe UI"/>
          <w:szCs w:val="20"/>
        </w:rPr>
        <w:t>non sembra</w:t>
      </w:r>
      <w:r w:rsidR="009E7580">
        <w:rPr>
          <w:rFonts w:ascii="Segoe UI" w:hAnsi="Segoe UI" w:cs="Segoe UI"/>
          <w:szCs w:val="20"/>
        </w:rPr>
        <w:t>no</w:t>
      </w:r>
      <w:r w:rsidRPr="0062207D">
        <w:rPr>
          <w:rFonts w:ascii="Segoe UI" w:hAnsi="Segoe UI" w:cs="Segoe UI"/>
          <w:szCs w:val="20"/>
        </w:rPr>
        <w:t xml:space="preserve"> scindibil</w:t>
      </w:r>
      <w:r w:rsidR="009E7580">
        <w:rPr>
          <w:rFonts w:ascii="Segoe UI" w:hAnsi="Segoe UI" w:cs="Segoe UI"/>
          <w:szCs w:val="20"/>
        </w:rPr>
        <w:t>i</w:t>
      </w:r>
      <w:r w:rsidRPr="0062207D">
        <w:rPr>
          <w:rFonts w:ascii="Segoe UI" w:hAnsi="Segoe UI" w:cs="Segoe UI"/>
          <w:szCs w:val="20"/>
        </w:rPr>
        <w:t xml:space="preserve"> da una </w:t>
      </w:r>
      <w:r w:rsidR="009E7580">
        <w:rPr>
          <w:rFonts w:ascii="Segoe UI" w:hAnsi="Segoe UI" w:cs="Segoe UI"/>
          <w:szCs w:val="20"/>
        </w:rPr>
        <w:t xml:space="preserve">loro </w:t>
      </w:r>
      <w:r w:rsidRPr="0062207D">
        <w:rPr>
          <w:rFonts w:ascii="Segoe UI" w:hAnsi="Segoe UI" w:cs="Segoe UI"/>
          <w:szCs w:val="20"/>
        </w:rPr>
        <w:t>definizione nell’ambito del modello di gestione aziendale (come peraltro previ</w:t>
      </w:r>
      <w:r w:rsidR="00580E9D" w:rsidRPr="0062207D">
        <w:rPr>
          <w:rFonts w:ascii="Segoe UI" w:hAnsi="Segoe UI" w:cs="Segoe UI"/>
          <w:szCs w:val="20"/>
        </w:rPr>
        <w:t>s</w:t>
      </w:r>
      <w:r w:rsidRPr="0062207D">
        <w:rPr>
          <w:rFonts w:ascii="Segoe UI" w:hAnsi="Segoe UI" w:cs="Segoe UI"/>
          <w:szCs w:val="20"/>
        </w:rPr>
        <w:t>to</w:t>
      </w:r>
      <w:r w:rsidR="00580E9D" w:rsidRPr="0062207D">
        <w:rPr>
          <w:rFonts w:ascii="Segoe UI" w:hAnsi="Segoe UI" w:cs="Segoe UI"/>
          <w:szCs w:val="20"/>
        </w:rPr>
        <w:t>,</w:t>
      </w:r>
      <w:r w:rsidRPr="0062207D">
        <w:rPr>
          <w:rFonts w:ascii="Segoe UI" w:hAnsi="Segoe UI" w:cs="Segoe UI"/>
          <w:szCs w:val="20"/>
        </w:rPr>
        <w:t xml:space="preserve"> in definitiva</w:t>
      </w:r>
      <w:r w:rsidR="00580E9D" w:rsidRPr="0062207D">
        <w:rPr>
          <w:rFonts w:ascii="Segoe UI" w:hAnsi="Segoe UI" w:cs="Segoe UI"/>
          <w:szCs w:val="20"/>
        </w:rPr>
        <w:t>,</w:t>
      </w:r>
      <w:r w:rsidRPr="0062207D">
        <w:rPr>
          <w:rFonts w:ascii="Segoe UI" w:hAnsi="Segoe UI" w:cs="Segoe UI"/>
          <w:szCs w:val="20"/>
        </w:rPr>
        <w:t xml:space="preserve"> anche da una attenta lettura del d.lgs. n. 254/2016).</w:t>
      </w:r>
    </w:p>
    <w:p w14:paraId="4D328E01" w14:textId="1BD9C48D" w:rsidR="00C3637B" w:rsidRPr="0062207D" w:rsidRDefault="00C3637B" w:rsidP="00C3637B">
      <w:pPr>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Nell’IR Framework dell’IIRC, oltre ai concetti di creazione di valore nel medio-lungo termine e di tipologie di capitale, la descrizione del </w:t>
      </w:r>
      <w:r w:rsidRPr="0062207D">
        <w:rPr>
          <w:rFonts w:ascii="Segoe UI" w:hAnsi="Segoe UI" w:cs="Segoe UI"/>
          <w:i/>
          <w:szCs w:val="20"/>
        </w:rPr>
        <w:t>business model</w:t>
      </w:r>
      <w:r w:rsidRPr="0062207D">
        <w:rPr>
          <w:rFonts w:ascii="Segoe UI" w:hAnsi="Segoe UI" w:cs="Segoe UI"/>
          <w:szCs w:val="20"/>
        </w:rPr>
        <w:t xml:space="preserve"> </w:t>
      </w:r>
      <w:r w:rsidR="00580E9D" w:rsidRPr="0062207D">
        <w:rPr>
          <w:rFonts w:ascii="Segoe UI" w:hAnsi="Segoe UI" w:cs="Segoe UI"/>
          <w:szCs w:val="20"/>
        </w:rPr>
        <w:t xml:space="preserve">(BM) </w:t>
      </w:r>
      <w:r w:rsidRPr="0062207D">
        <w:rPr>
          <w:rFonts w:ascii="Segoe UI" w:hAnsi="Segoe UI" w:cs="Segoe UI"/>
          <w:szCs w:val="20"/>
        </w:rPr>
        <w:t xml:space="preserve">costituisce altro elemento imprescindibile su cui fondare l’impianto di </w:t>
      </w:r>
      <w:r w:rsidRPr="0062207D">
        <w:rPr>
          <w:rFonts w:ascii="Segoe UI" w:hAnsi="Segoe UI" w:cs="Segoe UI"/>
          <w:i/>
          <w:szCs w:val="20"/>
        </w:rPr>
        <w:t>disclosure</w:t>
      </w:r>
      <w:r w:rsidRPr="0062207D">
        <w:rPr>
          <w:rFonts w:ascii="Segoe UI" w:hAnsi="Segoe UI" w:cs="Segoe UI"/>
          <w:szCs w:val="20"/>
        </w:rPr>
        <w:t xml:space="preserve"> integrata</w:t>
      </w:r>
      <w:r w:rsidRPr="0062207D">
        <w:rPr>
          <w:rStyle w:val="Rimandonotaapidipagina"/>
          <w:rFonts w:cs="Segoe UI"/>
          <w:sz w:val="22"/>
          <w:szCs w:val="20"/>
        </w:rPr>
        <w:footnoteReference w:id="30"/>
      </w:r>
      <w:r w:rsidRPr="0062207D">
        <w:rPr>
          <w:rFonts w:ascii="Segoe UI" w:hAnsi="Segoe UI" w:cs="Segoe UI"/>
          <w:szCs w:val="20"/>
        </w:rPr>
        <w:t>: “Il modello di business di un’organizzazione è il sistema adottato per trasformare gli input, attraverso le attività aziendali, in output e risultati, al fine di raggiungere gli obiettivi strategici dell’organizzazione e di creare valore nel breve, medio e lungo termine.”</w:t>
      </w:r>
      <w:r w:rsidRPr="0062207D">
        <w:rPr>
          <w:rStyle w:val="Rimandonotaapidipagina"/>
          <w:rFonts w:cs="Segoe UI"/>
          <w:sz w:val="22"/>
          <w:szCs w:val="20"/>
        </w:rPr>
        <w:footnoteReference w:id="31"/>
      </w:r>
      <w:r w:rsidRPr="0062207D">
        <w:rPr>
          <w:rFonts w:ascii="Segoe UI" w:hAnsi="Segoe UI" w:cs="Segoe UI"/>
          <w:szCs w:val="20"/>
        </w:rPr>
        <w:t>. L’impostazione adottata dall’IIRC appare di particolare efficacia nel poter illustrare lo stato iniziale, le dinamiche di trasformazione e lo stato finale delle risorse e dei capitali (materiali ed immateriali) impiegati nel processo produttivo e nella creazione di valore dell’azienda.</w:t>
      </w:r>
    </w:p>
    <w:p w14:paraId="41DF7B7C" w14:textId="0A2469CD" w:rsidR="000051E8" w:rsidRPr="0062207D" w:rsidRDefault="000051E8" w:rsidP="000051E8">
      <w:pPr>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Nelle SR </w:t>
      </w:r>
      <w:r w:rsidRPr="0026382F">
        <w:rPr>
          <w:rFonts w:ascii="Segoe UI" w:hAnsi="Segoe UI" w:cs="Segoe UI"/>
          <w:szCs w:val="20"/>
        </w:rPr>
        <w:t xml:space="preserve">Guidelines </w:t>
      </w:r>
      <w:r w:rsidRPr="0062207D">
        <w:rPr>
          <w:rFonts w:ascii="Segoe UI" w:hAnsi="Segoe UI" w:cs="Segoe UI"/>
          <w:szCs w:val="20"/>
        </w:rPr>
        <w:t>G4 del GRI non viene espressamente citato il concetto di BM; tuttavia, secondo le indicazioni fornite dallo stesso GRI</w:t>
      </w:r>
      <w:r w:rsidRPr="0062207D">
        <w:rPr>
          <w:rStyle w:val="Rimandonotaapidipagina"/>
          <w:sz w:val="22"/>
        </w:rPr>
        <w:footnoteReference w:id="32"/>
      </w:r>
      <w:r w:rsidRPr="0062207D">
        <w:rPr>
          <w:rFonts w:ascii="Segoe UI" w:hAnsi="Segoe UI" w:cs="Segoe UI"/>
          <w:szCs w:val="20"/>
        </w:rPr>
        <w:t xml:space="preserve">, quanto previsto dalla direttiva 2014/95/UE (e quindi dal d.lgs. 254/2016) relativamente alla descrizione del modello di </w:t>
      </w:r>
      <w:r w:rsidRPr="0062207D">
        <w:rPr>
          <w:rFonts w:ascii="Segoe UI" w:hAnsi="Segoe UI" w:cs="Segoe UI"/>
          <w:i/>
          <w:szCs w:val="20"/>
        </w:rPr>
        <w:t>business</w:t>
      </w:r>
      <w:r w:rsidRPr="0062207D">
        <w:rPr>
          <w:rFonts w:ascii="Segoe UI" w:hAnsi="Segoe UI" w:cs="Segoe UI"/>
          <w:szCs w:val="20"/>
        </w:rPr>
        <w:t xml:space="preserve"> può trovare riferimenti nelle SR Guidelines G4, e in particolare nei contenuti dei paragrafi “Organizational Profile” e “Strategy and Analysis” (e nelle corrispondenti sezioni 1, “Organizational profile”, e 2, “Strategy”, dello Standard 102 “General disclosures”, in vigore dal prossimo anno). In tali paragrafi vi sono elementi la cui descrizione consente di pervenire a una rappresentazione del BM dell’impresa, la cui formalizzazione grafica può anche risultare appropriata nel caso in cui l’organizzazione ritenga efficace tale approccio.</w:t>
      </w:r>
    </w:p>
    <w:p w14:paraId="359108C2" w14:textId="4C475C30" w:rsidR="000051E8" w:rsidRPr="0062207D" w:rsidRDefault="000051E8" w:rsidP="000051E8">
      <w:pPr>
        <w:keepNext/>
        <w:keepLines/>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In particolare, con riferimento ai contenuti del </w:t>
      </w:r>
      <w:r w:rsidRPr="0062207D">
        <w:rPr>
          <w:rFonts w:ascii="Segoe UI" w:hAnsi="Segoe UI" w:cs="Segoe UI"/>
          <w:i/>
          <w:szCs w:val="20"/>
        </w:rPr>
        <w:t>reporting</w:t>
      </w:r>
      <w:r w:rsidRPr="0062207D">
        <w:rPr>
          <w:rFonts w:ascii="Segoe UI" w:hAnsi="Segoe UI" w:cs="Segoe UI"/>
          <w:szCs w:val="20"/>
        </w:rPr>
        <w:t xml:space="preserve">, nel </w:t>
      </w:r>
      <w:r w:rsidRPr="0026382F">
        <w:rPr>
          <w:rFonts w:ascii="Segoe UI" w:hAnsi="Segoe UI" w:cs="Segoe UI"/>
          <w:szCs w:val="20"/>
        </w:rPr>
        <w:t xml:space="preserve">paragrafo </w:t>
      </w:r>
      <w:r w:rsidR="0026382F">
        <w:rPr>
          <w:rFonts w:ascii="Segoe UI" w:hAnsi="Segoe UI" w:cs="Segoe UI"/>
          <w:szCs w:val="20"/>
        </w:rPr>
        <w:t>“</w:t>
      </w:r>
      <w:r w:rsidRPr="0026382F">
        <w:rPr>
          <w:rFonts w:ascii="Segoe UI" w:hAnsi="Segoe UI" w:cs="Segoe UI"/>
          <w:szCs w:val="20"/>
        </w:rPr>
        <w:t>Strategy and Analysis</w:t>
      </w:r>
      <w:r w:rsidR="0026382F">
        <w:rPr>
          <w:rFonts w:ascii="Segoe UI" w:hAnsi="Segoe UI" w:cs="Segoe UI"/>
          <w:szCs w:val="20"/>
        </w:rPr>
        <w:t>”</w:t>
      </w:r>
      <w:r w:rsidRPr="0026382F">
        <w:rPr>
          <w:rFonts w:ascii="Segoe UI" w:hAnsi="Segoe UI" w:cs="Segoe UI"/>
          <w:szCs w:val="20"/>
        </w:rPr>
        <w:t xml:space="preserve"> le SR</w:t>
      </w:r>
      <w:r w:rsidRPr="0062207D">
        <w:rPr>
          <w:rFonts w:ascii="Segoe UI" w:hAnsi="Segoe UI" w:cs="Segoe UI"/>
          <w:szCs w:val="20"/>
        </w:rPr>
        <w:t xml:space="preserve"> </w:t>
      </w:r>
      <w:r w:rsidRPr="0026382F">
        <w:rPr>
          <w:rFonts w:ascii="Segoe UI" w:hAnsi="Segoe UI" w:cs="Segoe UI"/>
          <w:szCs w:val="20"/>
        </w:rPr>
        <w:t>Guidelines esplicitano che l’organizzazione</w:t>
      </w:r>
      <w:r w:rsidRPr="0062207D">
        <w:rPr>
          <w:rFonts w:ascii="Segoe UI" w:hAnsi="Segoe UI" w:cs="Segoe UI"/>
          <w:szCs w:val="20"/>
        </w:rPr>
        <w:t xml:space="preserve"> debba includere, tra gli altri:</w:t>
      </w:r>
    </w:p>
    <w:p w14:paraId="1809C39C" w14:textId="77777777" w:rsidR="000051E8" w:rsidRPr="0062207D" w:rsidRDefault="000051E8" w:rsidP="005938C8">
      <w:pPr>
        <w:pStyle w:val="Paragrafoelenco"/>
        <w:keepLines/>
        <w:numPr>
          <w:ilvl w:val="0"/>
          <w:numId w:val="2"/>
        </w:numPr>
        <w:tabs>
          <w:tab w:val="left" w:pos="567"/>
        </w:tabs>
        <w:spacing w:before="120" w:after="120" w:line="240" w:lineRule="auto"/>
        <w:ind w:left="568" w:hanging="284"/>
        <w:contextualSpacing w:val="0"/>
        <w:jc w:val="both"/>
        <w:rPr>
          <w:rFonts w:ascii="Segoe UI" w:hAnsi="Segoe UI" w:cs="Segoe UI"/>
          <w:color w:val="000000"/>
          <w:szCs w:val="20"/>
        </w:rPr>
      </w:pPr>
      <w:r w:rsidRPr="0062207D">
        <w:rPr>
          <w:rFonts w:ascii="Segoe UI" w:hAnsi="Segoe UI" w:cs="Segoe UI"/>
          <w:szCs w:val="20"/>
        </w:rPr>
        <w:t xml:space="preserve">la dichiarazione del vertice aziendale (ad esempio del presidente, dell’amministratore delegato) relativamente alla rilevanza della sostenibilità per l’organizzazione, unitamente alla strategia di sostenibilità attuata: in tale dichiarazione trovano sintesi, tra i vari aspetti, le priorità strategiche nell’ambito della sostenibilità e i principali </w:t>
      </w:r>
      <w:r w:rsidRPr="0026382F">
        <w:rPr>
          <w:rFonts w:ascii="Segoe UI" w:hAnsi="Segoe UI" w:cs="Segoe UI"/>
          <w:i/>
          <w:szCs w:val="20"/>
        </w:rPr>
        <w:t>trend</w:t>
      </w:r>
      <w:r w:rsidRPr="0062207D">
        <w:rPr>
          <w:rFonts w:ascii="Segoe UI" w:hAnsi="Segoe UI" w:cs="Segoe UI"/>
          <w:szCs w:val="20"/>
        </w:rPr>
        <w:t xml:space="preserve"> (macroeconomici, politici, ecc.) che ne possono influenzare le relative scelte;</w:t>
      </w:r>
    </w:p>
    <w:p w14:paraId="49A1F5F0" w14:textId="77777777" w:rsidR="000051E8" w:rsidRPr="0062207D" w:rsidRDefault="000051E8" w:rsidP="005938C8">
      <w:pPr>
        <w:pStyle w:val="Paragrafoelenco"/>
        <w:keepLines/>
        <w:numPr>
          <w:ilvl w:val="0"/>
          <w:numId w:val="2"/>
        </w:numPr>
        <w:tabs>
          <w:tab w:val="left" w:pos="567"/>
        </w:tabs>
        <w:spacing w:before="120" w:after="120" w:line="240" w:lineRule="auto"/>
        <w:ind w:left="568" w:hanging="284"/>
        <w:contextualSpacing w:val="0"/>
        <w:jc w:val="both"/>
        <w:rPr>
          <w:rFonts w:ascii="Segoe UI" w:hAnsi="Segoe UI" w:cs="Segoe UI"/>
          <w:color w:val="000000"/>
          <w:szCs w:val="20"/>
        </w:rPr>
      </w:pPr>
      <w:r w:rsidRPr="0062207D">
        <w:rPr>
          <w:rFonts w:ascii="Segoe UI" w:hAnsi="Segoe UI" w:cs="Segoe UI"/>
          <w:color w:val="000000"/>
          <w:szCs w:val="20"/>
        </w:rPr>
        <w:t xml:space="preserve">la descrizione degli impatti chiave dell’organizzazione relativi alla sostenibilità (impatti economici, ambientali e sociali), le relative sfide e opportunità e gli effetti sugli </w:t>
      </w:r>
      <w:r w:rsidRPr="00F03CD2">
        <w:rPr>
          <w:rFonts w:ascii="Segoe UI" w:hAnsi="Segoe UI" w:cs="Segoe UI"/>
          <w:i/>
          <w:color w:val="000000"/>
          <w:szCs w:val="20"/>
        </w:rPr>
        <w:t>stakeholder</w:t>
      </w:r>
      <w:r w:rsidRPr="0062207D">
        <w:rPr>
          <w:rFonts w:ascii="Segoe UI" w:hAnsi="Segoe UI" w:cs="Segoe UI"/>
          <w:color w:val="000000"/>
          <w:szCs w:val="20"/>
        </w:rPr>
        <w:t>, nella piena considerazione dei loro diritti, anche legislativamente riconosciuti, e delle loro aspettative;</w:t>
      </w:r>
    </w:p>
    <w:p w14:paraId="6564CFDA" w14:textId="77777777" w:rsidR="000051E8" w:rsidRPr="0062207D" w:rsidRDefault="000051E8" w:rsidP="005938C8">
      <w:pPr>
        <w:pStyle w:val="Paragrafoelenco"/>
        <w:keepLines/>
        <w:numPr>
          <w:ilvl w:val="0"/>
          <w:numId w:val="2"/>
        </w:numPr>
        <w:tabs>
          <w:tab w:val="left" w:pos="567"/>
        </w:tabs>
        <w:spacing w:before="120" w:after="120" w:line="240" w:lineRule="auto"/>
        <w:ind w:left="568" w:hanging="284"/>
        <w:contextualSpacing w:val="0"/>
        <w:jc w:val="both"/>
        <w:rPr>
          <w:rFonts w:ascii="Segoe UI" w:hAnsi="Segoe UI" w:cs="Segoe UI"/>
          <w:color w:val="000000"/>
          <w:szCs w:val="20"/>
        </w:rPr>
      </w:pPr>
      <w:r w:rsidRPr="0062207D">
        <w:rPr>
          <w:rFonts w:ascii="Segoe UI" w:hAnsi="Segoe UI" w:cs="Segoe UI"/>
          <w:color w:val="000000"/>
          <w:szCs w:val="20"/>
        </w:rPr>
        <w:t xml:space="preserve">la descrizione dei principali processi adottati nel perseguimento degli obiettivi strategici e delle relative </w:t>
      </w:r>
      <w:r w:rsidRPr="007A744A">
        <w:rPr>
          <w:rFonts w:ascii="Segoe UI" w:hAnsi="Segoe UI" w:cs="Segoe UI"/>
          <w:i/>
          <w:color w:val="000000"/>
          <w:szCs w:val="20"/>
        </w:rPr>
        <w:t>performance</w:t>
      </w:r>
      <w:r w:rsidRPr="0062207D">
        <w:rPr>
          <w:rFonts w:ascii="Segoe UI" w:hAnsi="Segoe UI" w:cs="Segoe UI"/>
          <w:color w:val="000000"/>
          <w:szCs w:val="20"/>
        </w:rPr>
        <w:t xml:space="preserve"> nonché i cambiamenti rilevanti;</w:t>
      </w:r>
    </w:p>
    <w:p w14:paraId="6786CBF7" w14:textId="77777777" w:rsidR="000051E8" w:rsidRPr="0062207D" w:rsidRDefault="000051E8" w:rsidP="005938C8">
      <w:pPr>
        <w:pStyle w:val="Paragrafoelenco"/>
        <w:keepLines/>
        <w:numPr>
          <w:ilvl w:val="0"/>
          <w:numId w:val="2"/>
        </w:numPr>
        <w:tabs>
          <w:tab w:val="left" w:pos="567"/>
        </w:tabs>
        <w:spacing w:before="120" w:after="120" w:line="240" w:lineRule="auto"/>
        <w:ind w:left="568" w:hanging="284"/>
        <w:contextualSpacing w:val="0"/>
        <w:jc w:val="both"/>
        <w:rPr>
          <w:rFonts w:ascii="Segoe UI" w:hAnsi="Segoe UI" w:cs="Segoe UI"/>
          <w:color w:val="000000"/>
          <w:szCs w:val="20"/>
        </w:rPr>
      </w:pPr>
      <w:r w:rsidRPr="0062207D">
        <w:rPr>
          <w:rFonts w:ascii="Segoe UI" w:hAnsi="Segoe UI" w:cs="Segoe UI"/>
          <w:color w:val="000000"/>
          <w:szCs w:val="20"/>
        </w:rPr>
        <w:t xml:space="preserve">la descrizione dei principali rischi e opportunità relativi agli aspetti della sostenibilità e ai loro </w:t>
      </w:r>
      <w:r w:rsidRPr="007A744A">
        <w:rPr>
          <w:rFonts w:ascii="Segoe UI" w:hAnsi="Segoe UI" w:cs="Segoe UI"/>
          <w:i/>
          <w:color w:val="000000"/>
          <w:szCs w:val="20"/>
        </w:rPr>
        <w:t>trend</w:t>
      </w:r>
      <w:r w:rsidRPr="0062207D">
        <w:rPr>
          <w:rFonts w:ascii="Segoe UI" w:hAnsi="Segoe UI" w:cs="Segoe UI"/>
          <w:color w:val="000000"/>
          <w:szCs w:val="20"/>
        </w:rPr>
        <w:t>;</w:t>
      </w:r>
    </w:p>
    <w:p w14:paraId="394BA08B" w14:textId="77777777" w:rsidR="000051E8" w:rsidRPr="0062207D" w:rsidRDefault="000051E8" w:rsidP="005938C8">
      <w:pPr>
        <w:pStyle w:val="Paragrafoelenco"/>
        <w:keepLines/>
        <w:numPr>
          <w:ilvl w:val="0"/>
          <w:numId w:val="2"/>
        </w:numPr>
        <w:tabs>
          <w:tab w:val="left" w:pos="567"/>
        </w:tabs>
        <w:spacing w:before="120" w:after="120" w:line="240" w:lineRule="auto"/>
        <w:ind w:left="568" w:hanging="284"/>
        <w:contextualSpacing w:val="0"/>
        <w:jc w:val="both"/>
        <w:rPr>
          <w:rFonts w:ascii="Segoe UI" w:hAnsi="Segoe UI" w:cs="Segoe UI"/>
          <w:color w:val="000000"/>
          <w:szCs w:val="20"/>
        </w:rPr>
      </w:pPr>
      <w:r w:rsidRPr="0062207D">
        <w:rPr>
          <w:rFonts w:ascii="Segoe UI" w:hAnsi="Segoe UI" w:cs="Segoe UI"/>
          <w:color w:val="000000"/>
          <w:szCs w:val="20"/>
        </w:rPr>
        <w:t>la gerarchia degli aspetti chiave della sostenibilità per l’organizzazione, in particolare i rischi e le opportunità, in funzione della loro rilevanza con riguardo alla strategia, al posizionamento competitivo e ai fattori determinanti (</w:t>
      </w:r>
      <w:r w:rsidRPr="0062207D">
        <w:rPr>
          <w:rFonts w:ascii="Segoe UI" w:hAnsi="Segoe UI" w:cs="Segoe UI"/>
          <w:i/>
          <w:color w:val="000000"/>
          <w:szCs w:val="20"/>
        </w:rPr>
        <w:t>driver</w:t>
      </w:r>
      <w:r w:rsidRPr="0062207D">
        <w:rPr>
          <w:rFonts w:ascii="Segoe UI" w:hAnsi="Segoe UI" w:cs="Segoe UI"/>
          <w:color w:val="000000"/>
          <w:szCs w:val="20"/>
        </w:rPr>
        <w:t xml:space="preserve">) nella creazione di valore in ambito </w:t>
      </w:r>
      <w:r w:rsidRPr="0062207D">
        <w:rPr>
          <w:rFonts w:ascii="Segoe UI" w:hAnsi="Segoe UI" w:cs="Segoe UI"/>
          <w:i/>
          <w:color w:val="000000"/>
          <w:szCs w:val="20"/>
        </w:rPr>
        <w:t>financial</w:t>
      </w:r>
      <w:r w:rsidRPr="0062207D">
        <w:rPr>
          <w:rFonts w:ascii="Segoe UI" w:hAnsi="Segoe UI" w:cs="Segoe UI"/>
          <w:color w:val="000000"/>
          <w:szCs w:val="20"/>
        </w:rPr>
        <w:t>;</w:t>
      </w:r>
    </w:p>
    <w:p w14:paraId="255AB7DC" w14:textId="77777777" w:rsidR="000051E8" w:rsidRPr="0062207D" w:rsidRDefault="000051E8" w:rsidP="005938C8">
      <w:pPr>
        <w:pStyle w:val="Paragrafoelenco"/>
        <w:keepLines/>
        <w:numPr>
          <w:ilvl w:val="0"/>
          <w:numId w:val="2"/>
        </w:numPr>
        <w:tabs>
          <w:tab w:val="left" w:pos="567"/>
        </w:tabs>
        <w:spacing w:before="120" w:after="120" w:line="240" w:lineRule="auto"/>
        <w:ind w:left="568" w:hanging="284"/>
        <w:contextualSpacing w:val="0"/>
        <w:jc w:val="both"/>
        <w:rPr>
          <w:rFonts w:ascii="Segoe UI" w:hAnsi="Segoe UI" w:cs="Segoe UI"/>
          <w:color w:val="000000"/>
          <w:szCs w:val="20"/>
        </w:rPr>
      </w:pPr>
      <w:r w:rsidRPr="0062207D">
        <w:rPr>
          <w:rFonts w:ascii="Segoe UI" w:hAnsi="Segoe UI" w:cs="Segoe UI"/>
          <w:color w:val="000000"/>
          <w:szCs w:val="20"/>
        </w:rPr>
        <w:t xml:space="preserve">la descrizione sintetica dei meccanismi di </w:t>
      </w:r>
      <w:r w:rsidRPr="001A3EDE">
        <w:rPr>
          <w:rFonts w:ascii="Segoe UI" w:hAnsi="Segoe UI" w:cs="Segoe UI"/>
          <w:i/>
          <w:color w:val="000000"/>
          <w:szCs w:val="20"/>
        </w:rPr>
        <w:t>governance</w:t>
      </w:r>
      <w:r w:rsidRPr="0062207D">
        <w:rPr>
          <w:rFonts w:ascii="Segoe UI" w:hAnsi="Segoe UI" w:cs="Segoe UI"/>
          <w:color w:val="000000"/>
          <w:szCs w:val="20"/>
        </w:rPr>
        <w:t xml:space="preserve"> adottati dall’organizzazione nell’ottica di presidiare i principali rischi e opportunità e l’identificazione di altri rischi ed opportunità connessi.</w:t>
      </w:r>
    </w:p>
    <w:p w14:paraId="244C31B7" w14:textId="1C41947A" w:rsidR="000051E8" w:rsidRPr="0062207D" w:rsidRDefault="000051E8" w:rsidP="000051E8">
      <w:pPr>
        <w:keepNext/>
        <w:keepLines/>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Nel </w:t>
      </w:r>
      <w:r w:rsidRPr="0026382F">
        <w:rPr>
          <w:rFonts w:ascii="Segoe UI" w:hAnsi="Segoe UI" w:cs="Segoe UI"/>
          <w:szCs w:val="20"/>
        </w:rPr>
        <w:t xml:space="preserve">paragrafo </w:t>
      </w:r>
      <w:r w:rsidR="0026382F">
        <w:rPr>
          <w:rFonts w:ascii="Segoe UI" w:hAnsi="Segoe UI" w:cs="Segoe UI"/>
          <w:szCs w:val="20"/>
        </w:rPr>
        <w:t>“</w:t>
      </w:r>
      <w:r w:rsidRPr="0026382F">
        <w:rPr>
          <w:rFonts w:ascii="Segoe UI" w:hAnsi="Segoe UI" w:cs="Segoe UI"/>
          <w:szCs w:val="20"/>
        </w:rPr>
        <w:t>Organizational Profile</w:t>
      </w:r>
      <w:r w:rsidR="0026382F">
        <w:rPr>
          <w:rFonts w:ascii="Segoe UI" w:hAnsi="Segoe UI" w:cs="Segoe UI"/>
          <w:szCs w:val="20"/>
        </w:rPr>
        <w:t>”</w:t>
      </w:r>
      <w:r w:rsidRPr="0026382F">
        <w:rPr>
          <w:rFonts w:ascii="Segoe UI" w:hAnsi="Segoe UI" w:cs="Segoe UI"/>
          <w:szCs w:val="20"/>
        </w:rPr>
        <w:t xml:space="preserve"> il GRI prevede</w:t>
      </w:r>
      <w:r w:rsidRPr="0062207D">
        <w:rPr>
          <w:rFonts w:ascii="Segoe UI" w:hAnsi="Segoe UI" w:cs="Segoe UI"/>
          <w:szCs w:val="20"/>
        </w:rPr>
        <w:t xml:space="preserve"> poi che vengano descritti altri aspetti di complemento alla rappresentazione del BM; tra questi, in particolare:</w:t>
      </w:r>
    </w:p>
    <w:p w14:paraId="1A1BF533" w14:textId="77777777" w:rsidR="000051E8" w:rsidRPr="0062207D" w:rsidRDefault="000051E8" w:rsidP="005938C8">
      <w:pPr>
        <w:pStyle w:val="Paragrafoelenco"/>
        <w:keepLines/>
        <w:numPr>
          <w:ilvl w:val="0"/>
          <w:numId w:val="2"/>
        </w:numPr>
        <w:tabs>
          <w:tab w:val="left" w:pos="567"/>
        </w:tabs>
        <w:spacing w:before="120" w:after="120" w:line="240" w:lineRule="auto"/>
        <w:ind w:left="568" w:hanging="284"/>
        <w:contextualSpacing w:val="0"/>
        <w:jc w:val="both"/>
        <w:rPr>
          <w:rFonts w:ascii="Segoe UI" w:hAnsi="Segoe UI" w:cs="Segoe UI"/>
          <w:color w:val="000000"/>
          <w:szCs w:val="20"/>
        </w:rPr>
      </w:pPr>
      <w:r w:rsidRPr="0062207D">
        <w:rPr>
          <w:rFonts w:ascii="Segoe UI" w:hAnsi="Segoe UI" w:cs="Segoe UI"/>
          <w:color w:val="000000"/>
          <w:szCs w:val="20"/>
        </w:rPr>
        <w:t xml:space="preserve">i principali </w:t>
      </w:r>
      <w:r w:rsidRPr="0062207D">
        <w:rPr>
          <w:rFonts w:ascii="Segoe UI" w:hAnsi="Segoe UI" w:cs="Segoe UI"/>
          <w:i/>
          <w:color w:val="000000"/>
          <w:szCs w:val="20"/>
        </w:rPr>
        <w:t>brand</w:t>
      </w:r>
      <w:r w:rsidRPr="0062207D">
        <w:rPr>
          <w:rFonts w:ascii="Segoe UI" w:hAnsi="Segoe UI" w:cs="Segoe UI"/>
          <w:color w:val="000000"/>
          <w:szCs w:val="20"/>
        </w:rPr>
        <w:t>, prodotti e servizi dell’organizzazione;</w:t>
      </w:r>
    </w:p>
    <w:p w14:paraId="3D9A7673" w14:textId="77777777" w:rsidR="000051E8" w:rsidRPr="0062207D" w:rsidRDefault="000051E8" w:rsidP="005938C8">
      <w:pPr>
        <w:pStyle w:val="Paragrafoelenco"/>
        <w:keepLines/>
        <w:numPr>
          <w:ilvl w:val="0"/>
          <w:numId w:val="2"/>
        </w:numPr>
        <w:tabs>
          <w:tab w:val="left" w:pos="567"/>
        </w:tabs>
        <w:spacing w:before="120" w:after="120" w:line="240" w:lineRule="auto"/>
        <w:ind w:left="568" w:hanging="284"/>
        <w:contextualSpacing w:val="0"/>
        <w:jc w:val="both"/>
        <w:rPr>
          <w:rFonts w:ascii="Segoe UI" w:hAnsi="Segoe UI" w:cs="Segoe UI"/>
          <w:color w:val="000000"/>
          <w:szCs w:val="20"/>
        </w:rPr>
      </w:pPr>
      <w:r w:rsidRPr="0062207D">
        <w:rPr>
          <w:rFonts w:ascii="Segoe UI" w:hAnsi="Segoe UI" w:cs="Segoe UI"/>
          <w:color w:val="000000"/>
          <w:szCs w:val="20"/>
        </w:rPr>
        <w:t>i Paesi in cui l’organizzazione opera o che sono per essa comunque rilevanti nella prospettiva della sostenibilità;</w:t>
      </w:r>
    </w:p>
    <w:p w14:paraId="69BEFA35" w14:textId="77777777" w:rsidR="000051E8" w:rsidRPr="0062207D" w:rsidRDefault="000051E8" w:rsidP="005938C8">
      <w:pPr>
        <w:pStyle w:val="Paragrafoelenco"/>
        <w:keepLines/>
        <w:numPr>
          <w:ilvl w:val="0"/>
          <w:numId w:val="2"/>
        </w:numPr>
        <w:tabs>
          <w:tab w:val="left" w:pos="567"/>
        </w:tabs>
        <w:spacing w:before="120" w:after="120" w:line="240" w:lineRule="auto"/>
        <w:ind w:left="568" w:hanging="284"/>
        <w:contextualSpacing w:val="0"/>
        <w:jc w:val="both"/>
        <w:rPr>
          <w:rFonts w:ascii="Segoe UI" w:hAnsi="Segoe UI" w:cs="Segoe UI"/>
          <w:color w:val="000000"/>
          <w:szCs w:val="20"/>
        </w:rPr>
      </w:pPr>
      <w:r w:rsidRPr="0062207D">
        <w:rPr>
          <w:rFonts w:ascii="Segoe UI" w:hAnsi="Segoe UI" w:cs="Segoe UI"/>
          <w:color w:val="000000"/>
          <w:szCs w:val="20"/>
        </w:rPr>
        <w:t>i mercati serviti e la tipologia dei clienti e dei beneficiari dell’attività di valorizzazione economica;</w:t>
      </w:r>
    </w:p>
    <w:p w14:paraId="5E91BAB0" w14:textId="77777777" w:rsidR="000051E8" w:rsidRPr="0062207D" w:rsidRDefault="000051E8" w:rsidP="005938C8">
      <w:pPr>
        <w:pStyle w:val="Paragrafoelenco"/>
        <w:keepLines/>
        <w:numPr>
          <w:ilvl w:val="0"/>
          <w:numId w:val="2"/>
        </w:numPr>
        <w:tabs>
          <w:tab w:val="left" w:pos="567"/>
        </w:tabs>
        <w:spacing w:before="120" w:after="120" w:line="240" w:lineRule="auto"/>
        <w:ind w:left="568" w:hanging="284"/>
        <w:contextualSpacing w:val="0"/>
        <w:jc w:val="both"/>
        <w:rPr>
          <w:rFonts w:ascii="Segoe UI" w:hAnsi="Segoe UI" w:cs="Segoe UI"/>
          <w:color w:val="000000"/>
          <w:szCs w:val="20"/>
        </w:rPr>
      </w:pPr>
      <w:r w:rsidRPr="0062207D">
        <w:rPr>
          <w:rFonts w:ascii="Segoe UI" w:hAnsi="Segoe UI" w:cs="Segoe UI"/>
          <w:color w:val="000000"/>
          <w:szCs w:val="20"/>
        </w:rPr>
        <w:t xml:space="preserve">la </w:t>
      </w:r>
      <w:r w:rsidRPr="0062207D">
        <w:rPr>
          <w:rFonts w:ascii="Segoe UI" w:hAnsi="Segoe UI" w:cs="Segoe UI"/>
          <w:i/>
          <w:color w:val="000000"/>
          <w:szCs w:val="20"/>
        </w:rPr>
        <w:t>supply chain</w:t>
      </w:r>
      <w:r w:rsidRPr="0062207D">
        <w:rPr>
          <w:rFonts w:ascii="Segoe UI" w:hAnsi="Segoe UI" w:cs="Segoe UI"/>
          <w:color w:val="000000"/>
          <w:szCs w:val="20"/>
        </w:rPr>
        <w:t xml:space="preserve"> dell’organizzazione.</w:t>
      </w:r>
    </w:p>
    <w:p w14:paraId="119EA4C8" w14:textId="3447ECDD" w:rsidR="00700F6F" w:rsidRDefault="000051E8" w:rsidP="007E6A77">
      <w:pPr>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Nella descrizione del BM, anche il GRI prevede dunque l’adozione di una prospettiva che superi i confini aziendali e non sia limitata alle attività direttamente svolte dall’organizzazione, una prospettiva che estenda l’analisi agli impatti di carattere non finanziario, e nello specifico agli impatti ambientali e sociali e agli effetti generati sugli </w:t>
      </w:r>
      <w:r w:rsidRPr="00F03CD2">
        <w:rPr>
          <w:rFonts w:ascii="Segoe UI" w:hAnsi="Segoe UI" w:cs="Segoe UI"/>
          <w:i/>
          <w:szCs w:val="20"/>
        </w:rPr>
        <w:t>stakeholder</w:t>
      </w:r>
      <w:r w:rsidRPr="0062207D">
        <w:rPr>
          <w:rFonts w:ascii="Segoe UI" w:hAnsi="Segoe UI" w:cs="Segoe UI"/>
          <w:szCs w:val="20"/>
        </w:rPr>
        <w:t>.</w:t>
      </w:r>
    </w:p>
    <w:p w14:paraId="495FB36A" w14:textId="1CAED26C" w:rsidR="006C5FEA" w:rsidRPr="00623F83" w:rsidRDefault="00623F83" w:rsidP="00623F83">
      <w:pPr>
        <w:keepNext/>
        <w:keepLines/>
        <w:tabs>
          <w:tab w:val="left" w:pos="567"/>
        </w:tabs>
        <w:spacing w:before="1080" w:after="720" w:line="240" w:lineRule="auto"/>
        <w:ind w:left="567" w:hanging="567"/>
        <w:outlineLvl w:val="1"/>
        <w:rPr>
          <w:rFonts w:ascii="Segoe UI" w:eastAsiaTheme="minorHAnsi" w:hAnsi="Segoe UI" w:cs="Segoe UI"/>
          <w:bCs/>
          <w:sz w:val="28"/>
          <w:szCs w:val="28"/>
        </w:rPr>
      </w:pPr>
      <w:bookmarkStart w:id="27" w:name="_Toc456618287"/>
      <w:bookmarkStart w:id="28" w:name="_Toc507973959"/>
      <w:r>
        <w:rPr>
          <w:rFonts w:ascii="Segoe UI" w:eastAsiaTheme="minorHAnsi" w:hAnsi="Segoe UI" w:cs="Segoe UI"/>
          <w:bCs/>
          <w:sz w:val="28"/>
          <w:szCs w:val="28"/>
        </w:rPr>
        <w:t>6</w:t>
      </w:r>
      <w:r w:rsidR="006C5FEA" w:rsidRPr="00623F83">
        <w:rPr>
          <w:rFonts w:ascii="Segoe UI" w:eastAsiaTheme="minorHAnsi" w:hAnsi="Segoe UI" w:cs="Segoe UI"/>
          <w:bCs/>
          <w:sz w:val="28"/>
          <w:szCs w:val="28"/>
        </w:rPr>
        <w:t>.1</w:t>
      </w:r>
      <w:r w:rsidR="006C5FEA" w:rsidRPr="00623F83">
        <w:rPr>
          <w:rFonts w:ascii="Segoe UI" w:eastAsiaTheme="minorHAnsi" w:hAnsi="Segoe UI" w:cs="Segoe UI"/>
          <w:bCs/>
          <w:sz w:val="28"/>
          <w:szCs w:val="28"/>
        </w:rPr>
        <w:tab/>
        <w:t>Approccio della Global Reporting Initiative</w:t>
      </w:r>
      <w:bookmarkEnd w:id="27"/>
      <w:r w:rsidR="006A6CED">
        <w:rPr>
          <w:rFonts w:ascii="Segoe UI" w:eastAsiaTheme="minorHAnsi" w:hAnsi="Segoe UI" w:cs="Segoe UI"/>
          <w:bCs/>
          <w:sz w:val="28"/>
          <w:szCs w:val="28"/>
        </w:rPr>
        <w:t xml:space="preserve"> (GRI)</w:t>
      </w:r>
      <w:bookmarkEnd w:id="28"/>
    </w:p>
    <w:tbl>
      <w:tblPr>
        <w:tblStyle w:val="Tabellaelenco7acolori-colore31"/>
        <w:tblW w:w="9639" w:type="dxa"/>
        <w:jc w:val="center"/>
        <w:tblLayout w:type="fixed"/>
        <w:tblLook w:val="04A0" w:firstRow="1" w:lastRow="0" w:firstColumn="1" w:lastColumn="0" w:noHBand="0" w:noVBand="1"/>
      </w:tblPr>
      <w:tblGrid>
        <w:gridCol w:w="9639"/>
      </w:tblGrid>
      <w:tr w:rsidR="00AF5B8C" w:rsidRPr="00AF5B8C" w14:paraId="43238805" w14:textId="77777777" w:rsidTr="00DF5B47">
        <w:trPr>
          <w:cnfStyle w:val="100000000000" w:firstRow="1" w:lastRow="0" w:firstColumn="0" w:lastColumn="0" w:oddVBand="0" w:evenVBand="0" w:oddHBand="0" w:evenHBand="0" w:firstRowFirstColumn="0" w:firstRowLastColumn="0" w:lastRowFirstColumn="0" w:lastRowLastColumn="0"/>
          <w:cantSplit/>
          <w:jc w:val="center"/>
        </w:trPr>
        <w:tc>
          <w:tcPr>
            <w:cnfStyle w:val="001000000100" w:firstRow="0" w:lastRow="0" w:firstColumn="1" w:lastColumn="0" w:oddVBand="0" w:evenVBand="0" w:oddHBand="0" w:evenHBand="0" w:firstRowFirstColumn="1" w:firstRowLastColumn="0" w:lastRowFirstColumn="0" w:lastRowLastColumn="0"/>
            <w:tcW w:w="9639" w:type="dxa"/>
            <w:tcBorders>
              <w:bottom w:val="single" w:sz="12" w:space="0" w:color="525252" w:themeColor="accent3" w:themeShade="80"/>
            </w:tcBorders>
          </w:tcPr>
          <w:p w14:paraId="344E83D0" w14:textId="5A3D49F6" w:rsidR="00673C21" w:rsidRPr="00D81B6E" w:rsidRDefault="00D81B6E" w:rsidP="00B419FF">
            <w:pPr>
              <w:keepNext/>
              <w:keepLines/>
              <w:spacing w:before="120" w:after="120" w:line="240" w:lineRule="auto"/>
              <w:jc w:val="both"/>
              <w:rPr>
                <w:rFonts w:ascii="Segoe UI" w:hAnsi="Segoe UI" w:cs="Segoe UI"/>
                <w:color w:val="525252" w:themeColor="accent3" w:themeShade="80"/>
              </w:rPr>
            </w:pPr>
            <w:r w:rsidRPr="00D81B6E">
              <w:rPr>
                <w:rFonts w:ascii="Segoe UI" w:hAnsi="Segoe UI" w:cs="Segoe UI"/>
                <w:color w:val="525252" w:themeColor="accent3" w:themeShade="80"/>
              </w:rPr>
              <w:t>AVVERTENZA</w:t>
            </w:r>
          </w:p>
        </w:tc>
      </w:tr>
      <w:tr w:rsidR="00AF5B8C" w:rsidRPr="00AF5B8C" w14:paraId="604AE27C" w14:textId="77777777" w:rsidTr="00DF5B47">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9639" w:type="dxa"/>
            <w:tcBorders>
              <w:top w:val="single" w:sz="12" w:space="0" w:color="525252" w:themeColor="accent3" w:themeShade="80"/>
              <w:right w:val="single" w:sz="12" w:space="0" w:color="525252" w:themeColor="accent3" w:themeShade="80"/>
            </w:tcBorders>
          </w:tcPr>
          <w:p w14:paraId="45261044" w14:textId="68793811" w:rsidR="00673C21" w:rsidRPr="00AF5B8C" w:rsidRDefault="0068043B" w:rsidP="00160E46">
            <w:pPr>
              <w:keepNext/>
              <w:keepLines/>
              <w:spacing w:before="120" w:after="120" w:line="240" w:lineRule="auto"/>
              <w:jc w:val="both"/>
              <w:rPr>
                <w:rFonts w:ascii="Segoe UI" w:hAnsi="Segoe UI" w:cs="Segoe UI"/>
                <w:i w:val="0"/>
                <w:iCs w:val="0"/>
                <w:color w:val="525252" w:themeColor="accent3" w:themeShade="80"/>
              </w:rPr>
            </w:pPr>
            <w:r w:rsidRPr="00AF5B8C">
              <w:rPr>
                <w:rFonts w:ascii="Segoe UI" w:hAnsi="Segoe UI" w:cs="Segoe UI"/>
                <w:color w:val="525252" w:themeColor="accent3" w:themeShade="80"/>
              </w:rPr>
              <w:t>L’analisi che s</w:t>
            </w:r>
            <w:r w:rsidR="009D07FF" w:rsidRPr="00AF5B8C">
              <w:rPr>
                <w:rFonts w:ascii="Segoe UI" w:hAnsi="Segoe UI" w:cs="Segoe UI"/>
                <w:color w:val="525252" w:themeColor="accent3" w:themeShade="80"/>
              </w:rPr>
              <w:t>egue è stata sviluppata prendendo in esame le definizioni e i contenuti del documento di interpretazione</w:t>
            </w:r>
            <w:r w:rsidRPr="00AF5B8C">
              <w:rPr>
                <w:rFonts w:ascii="Segoe UI" w:hAnsi="Segoe UI" w:cs="Segoe UI"/>
                <w:color w:val="525252" w:themeColor="accent3" w:themeShade="80"/>
              </w:rPr>
              <w:t xml:space="preserve"> “Definig What </w:t>
            </w:r>
            <w:r w:rsidR="00160E46">
              <w:rPr>
                <w:rFonts w:ascii="Segoe UI" w:hAnsi="Segoe UI" w:cs="Segoe UI"/>
                <w:color w:val="525252" w:themeColor="accent3" w:themeShade="80"/>
              </w:rPr>
              <w:t>M</w:t>
            </w:r>
            <w:r w:rsidRPr="00AF5B8C">
              <w:rPr>
                <w:rFonts w:ascii="Segoe UI" w:hAnsi="Segoe UI" w:cs="Segoe UI"/>
                <w:color w:val="525252" w:themeColor="accent3" w:themeShade="80"/>
              </w:rPr>
              <w:t xml:space="preserve">atters. Do companies and investors agree on what is material?” </w:t>
            </w:r>
            <w:r w:rsidR="00D73ABD" w:rsidRPr="00AF5B8C">
              <w:rPr>
                <w:rFonts w:ascii="Segoe UI" w:hAnsi="Segoe UI" w:cs="Segoe UI"/>
                <w:color w:val="525252" w:themeColor="accent3" w:themeShade="80"/>
              </w:rPr>
              <w:t>pubblicato ne</w:t>
            </w:r>
            <w:r w:rsidR="00140DBE" w:rsidRPr="00AF5B8C">
              <w:rPr>
                <w:rFonts w:ascii="Segoe UI" w:hAnsi="Segoe UI" w:cs="Segoe UI"/>
                <w:color w:val="525252" w:themeColor="accent3" w:themeShade="80"/>
              </w:rPr>
              <w:t>l</w:t>
            </w:r>
            <w:r w:rsidR="00D73ABD" w:rsidRPr="00AF5B8C">
              <w:rPr>
                <w:rFonts w:ascii="Segoe UI" w:hAnsi="Segoe UI" w:cs="Segoe UI"/>
                <w:color w:val="525252" w:themeColor="accent3" w:themeShade="80"/>
              </w:rPr>
              <w:t xml:space="preserve"> 2016, in cui viene specificato che oggetto dello stesso sono le Sustainability Reporting (SR) Guidelines G4 (2013). </w:t>
            </w:r>
            <w:r w:rsidR="00795083" w:rsidRPr="00AF5B8C">
              <w:rPr>
                <w:rFonts w:ascii="Segoe UI" w:hAnsi="Segoe UI" w:cs="Segoe UI"/>
                <w:color w:val="525252" w:themeColor="accent3" w:themeShade="80"/>
              </w:rPr>
              <w:t>Si ritiene</w:t>
            </w:r>
            <w:r w:rsidR="00140DBE" w:rsidRPr="00AF5B8C">
              <w:rPr>
                <w:rFonts w:ascii="Segoe UI" w:hAnsi="Segoe UI" w:cs="Segoe UI"/>
                <w:color w:val="525252" w:themeColor="accent3" w:themeShade="80"/>
              </w:rPr>
              <w:t>, tuttavia,</w:t>
            </w:r>
            <w:r w:rsidR="00795083" w:rsidRPr="00AF5B8C">
              <w:rPr>
                <w:rFonts w:ascii="Segoe UI" w:hAnsi="Segoe UI" w:cs="Segoe UI"/>
                <w:color w:val="525252" w:themeColor="accent3" w:themeShade="80"/>
              </w:rPr>
              <w:t xml:space="preserve"> che </w:t>
            </w:r>
            <w:r w:rsidR="00140DBE" w:rsidRPr="00AF5B8C">
              <w:rPr>
                <w:rFonts w:ascii="Segoe UI" w:hAnsi="Segoe UI" w:cs="Segoe UI"/>
                <w:color w:val="525252" w:themeColor="accent3" w:themeShade="80"/>
              </w:rPr>
              <w:t>l</w:t>
            </w:r>
            <w:r w:rsidR="00795083" w:rsidRPr="00AF5B8C">
              <w:rPr>
                <w:rFonts w:ascii="Segoe UI" w:hAnsi="Segoe UI" w:cs="Segoe UI"/>
                <w:color w:val="525252" w:themeColor="accent3" w:themeShade="80"/>
              </w:rPr>
              <w:t>e considerazioni effettuate valgano nella stessa misura anche per i Sustainability Reporting (SR) Standards pubblicati</w:t>
            </w:r>
            <w:r w:rsidR="00140DBE" w:rsidRPr="00AF5B8C">
              <w:rPr>
                <w:rFonts w:ascii="Segoe UI" w:hAnsi="Segoe UI" w:cs="Segoe UI"/>
                <w:color w:val="525252" w:themeColor="accent3" w:themeShade="80"/>
              </w:rPr>
              <w:t xml:space="preserve"> sempre</w:t>
            </w:r>
            <w:r w:rsidR="00795083" w:rsidRPr="00AF5B8C">
              <w:rPr>
                <w:rFonts w:ascii="Segoe UI" w:hAnsi="Segoe UI" w:cs="Segoe UI"/>
                <w:color w:val="525252" w:themeColor="accent3" w:themeShade="80"/>
              </w:rPr>
              <w:t xml:space="preserve"> nel 2016</w:t>
            </w:r>
            <w:r w:rsidR="00DB2AAE">
              <w:rPr>
                <w:rFonts w:ascii="Segoe UI" w:hAnsi="Segoe UI" w:cs="Segoe UI"/>
                <w:color w:val="525252" w:themeColor="accent3" w:themeShade="80"/>
              </w:rPr>
              <w:t xml:space="preserve"> e </w:t>
            </w:r>
            <w:r w:rsidR="00795083" w:rsidRPr="00AF5B8C">
              <w:rPr>
                <w:rFonts w:ascii="Segoe UI" w:hAnsi="Segoe UI" w:cs="Segoe UI"/>
                <w:color w:val="525252" w:themeColor="accent3" w:themeShade="80"/>
              </w:rPr>
              <w:t>in vigore a partire dal 1</w:t>
            </w:r>
            <w:r w:rsidR="000F427C">
              <w:rPr>
                <w:rFonts w:ascii="Segoe UI" w:hAnsi="Segoe UI" w:cs="Segoe UI"/>
                <w:color w:val="525252" w:themeColor="accent3" w:themeShade="80"/>
              </w:rPr>
              <w:t>°</w:t>
            </w:r>
            <w:r w:rsidR="00795083" w:rsidRPr="00AF5B8C">
              <w:rPr>
                <w:rFonts w:ascii="Segoe UI" w:hAnsi="Segoe UI" w:cs="Segoe UI"/>
                <w:color w:val="525252" w:themeColor="accent3" w:themeShade="80"/>
              </w:rPr>
              <w:t xml:space="preserve"> luglio 2018</w:t>
            </w:r>
            <w:r w:rsidR="00140DBE" w:rsidRPr="00AF5B8C">
              <w:rPr>
                <w:rFonts w:ascii="Segoe UI" w:hAnsi="Segoe UI" w:cs="Segoe UI"/>
                <w:color w:val="525252" w:themeColor="accent3" w:themeShade="80"/>
              </w:rPr>
              <w:t xml:space="preserve">. Gli Standards </w:t>
            </w:r>
            <w:r w:rsidR="00795083" w:rsidRPr="00AF5B8C">
              <w:rPr>
                <w:rFonts w:ascii="Segoe UI" w:hAnsi="Segoe UI" w:cs="Segoe UI"/>
                <w:color w:val="525252" w:themeColor="accent3" w:themeShade="80"/>
              </w:rPr>
              <w:t>costituiscono l’evoluzione delle Guidelines</w:t>
            </w:r>
            <w:r w:rsidR="00140DBE" w:rsidRPr="00AF5B8C">
              <w:rPr>
                <w:rFonts w:ascii="Segoe UI" w:hAnsi="Segoe UI" w:cs="Segoe UI"/>
                <w:color w:val="525252" w:themeColor="accent3" w:themeShade="80"/>
              </w:rPr>
              <w:t>, ma</w:t>
            </w:r>
            <w:r w:rsidR="008818D8">
              <w:rPr>
                <w:rFonts w:ascii="Segoe UI" w:hAnsi="Segoe UI" w:cs="Segoe UI"/>
                <w:color w:val="525252" w:themeColor="accent3" w:themeShade="80"/>
              </w:rPr>
              <w:t>, anche</w:t>
            </w:r>
            <w:r w:rsidR="00140DBE" w:rsidRPr="00AF5B8C">
              <w:rPr>
                <w:rFonts w:ascii="Segoe UI" w:hAnsi="Segoe UI" w:cs="Segoe UI"/>
                <w:color w:val="525252" w:themeColor="accent3" w:themeShade="80"/>
              </w:rPr>
              <w:t xml:space="preserve"> con riferimento agli aspetti terminologici</w:t>
            </w:r>
            <w:r w:rsidR="008818D8">
              <w:rPr>
                <w:rFonts w:ascii="Segoe UI" w:hAnsi="Segoe UI" w:cs="Segoe UI"/>
                <w:color w:val="525252" w:themeColor="accent3" w:themeShade="80"/>
              </w:rPr>
              <w:t>,</w:t>
            </w:r>
            <w:r w:rsidR="00140DBE" w:rsidRPr="00AF5B8C">
              <w:rPr>
                <w:rFonts w:ascii="Segoe UI" w:hAnsi="Segoe UI" w:cs="Segoe UI"/>
                <w:color w:val="525252" w:themeColor="accent3" w:themeShade="80"/>
              </w:rPr>
              <w:t xml:space="preserve"> i</w:t>
            </w:r>
            <w:r w:rsidR="00795083" w:rsidRPr="00AF5B8C">
              <w:rPr>
                <w:rFonts w:ascii="Segoe UI" w:hAnsi="Segoe UI" w:cs="Segoe UI"/>
                <w:color w:val="525252" w:themeColor="accent3" w:themeShade="80"/>
              </w:rPr>
              <w:t xml:space="preserve"> concetti e le definizioni inerenti alla determinazione della materialità non sono stati oggetto di modifiche da parte del GRI.</w:t>
            </w:r>
          </w:p>
        </w:tc>
      </w:tr>
    </w:tbl>
    <w:p w14:paraId="64B44E4A" w14:textId="77777777" w:rsidR="00673C21" w:rsidRDefault="00673C21" w:rsidP="00DD1276">
      <w:pPr>
        <w:keepNext/>
        <w:keepLines/>
        <w:tabs>
          <w:tab w:val="left" w:pos="0"/>
        </w:tabs>
        <w:spacing w:before="120" w:after="120" w:line="240" w:lineRule="auto"/>
        <w:jc w:val="both"/>
        <w:rPr>
          <w:rFonts w:ascii="Segoe UI" w:hAnsi="Segoe UI" w:cs="Segoe UI"/>
          <w:szCs w:val="20"/>
        </w:rPr>
      </w:pPr>
    </w:p>
    <w:p w14:paraId="7772CF55" w14:textId="7484B6AA" w:rsidR="006C5FEA" w:rsidRPr="005C05CB" w:rsidRDefault="006C5FEA" w:rsidP="006C5FEA">
      <w:pPr>
        <w:tabs>
          <w:tab w:val="left" w:pos="0"/>
        </w:tabs>
        <w:spacing w:before="120" w:after="120" w:line="240" w:lineRule="auto"/>
        <w:jc w:val="both"/>
        <w:rPr>
          <w:rFonts w:ascii="Segoe UI" w:hAnsi="Segoe UI" w:cs="Segoe UI"/>
          <w:szCs w:val="20"/>
        </w:rPr>
      </w:pPr>
      <w:r w:rsidRPr="0062207D">
        <w:rPr>
          <w:rFonts w:ascii="Segoe UI" w:hAnsi="Segoe UI" w:cs="Segoe UI"/>
          <w:szCs w:val="20"/>
        </w:rPr>
        <w:t>In questa sede v</w:t>
      </w:r>
      <w:r w:rsidR="005C05CB">
        <w:rPr>
          <w:rFonts w:ascii="Segoe UI" w:hAnsi="Segoe UI" w:cs="Segoe UI"/>
          <w:szCs w:val="20"/>
        </w:rPr>
        <w:t xml:space="preserve">iene </w:t>
      </w:r>
      <w:r w:rsidRPr="0062207D">
        <w:rPr>
          <w:rFonts w:ascii="Segoe UI" w:hAnsi="Segoe UI" w:cs="Segoe UI"/>
          <w:szCs w:val="20"/>
        </w:rPr>
        <w:t xml:space="preserve">analizzata la definizione e la concezione della </w:t>
      </w:r>
      <w:r w:rsidR="005C05CB">
        <w:rPr>
          <w:rFonts w:ascii="Segoe UI" w:hAnsi="Segoe UI" w:cs="Segoe UI"/>
          <w:szCs w:val="20"/>
        </w:rPr>
        <w:t xml:space="preserve">materialità </w:t>
      </w:r>
      <w:r w:rsidRPr="0062207D">
        <w:rPr>
          <w:rFonts w:ascii="Segoe UI" w:hAnsi="Segoe UI" w:cs="Segoe UI"/>
          <w:szCs w:val="20"/>
        </w:rPr>
        <w:t xml:space="preserve">dal punto di vista del Global </w:t>
      </w:r>
      <w:r w:rsidR="00B600AA">
        <w:rPr>
          <w:rFonts w:ascii="Segoe UI" w:hAnsi="Segoe UI" w:cs="Segoe UI"/>
          <w:szCs w:val="20"/>
        </w:rPr>
        <w:t>R</w:t>
      </w:r>
      <w:r w:rsidRPr="0062207D">
        <w:rPr>
          <w:rFonts w:ascii="Segoe UI" w:hAnsi="Segoe UI" w:cs="Segoe UI"/>
          <w:szCs w:val="20"/>
        </w:rPr>
        <w:t>eporting Initiative (GRI) mediante il contributo fornito dal documento:</w:t>
      </w:r>
      <w:r w:rsidRPr="00660850">
        <w:rPr>
          <w:rFonts w:ascii="Segoe UI" w:hAnsi="Segoe UI" w:cs="Segoe UI"/>
          <w:szCs w:val="20"/>
        </w:rPr>
        <w:t xml:space="preserve"> “Definig What matters. </w:t>
      </w:r>
      <w:r w:rsidRPr="005C05CB">
        <w:rPr>
          <w:rFonts w:ascii="Segoe UI" w:hAnsi="Segoe UI" w:cs="Segoe UI"/>
          <w:szCs w:val="20"/>
        </w:rPr>
        <w:t>Do companies and investors agree on what is material?”, redatto in collaborazione con RobecoSAM</w:t>
      </w:r>
      <w:r w:rsidR="005C05CB" w:rsidRPr="005C05CB">
        <w:rPr>
          <w:rFonts w:ascii="Segoe UI" w:hAnsi="Segoe UI" w:cs="Segoe UI"/>
          <w:szCs w:val="20"/>
        </w:rPr>
        <w:t xml:space="preserve">, organizzazione la cui attività è principalmente rivolta agli </w:t>
      </w:r>
      <w:r w:rsidR="005C05CB" w:rsidRPr="005C05CB">
        <w:rPr>
          <w:rFonts w:ascii="Segoe UI" w:hAnsi="Segoe UI" w:cs="Segoe UI"/>
          <w:i/>
          <w:szCs w:val="20"/>
        </w:rPr>
        <w:t>investor</w:t>
      </w:r>
      <w:r w:rsidRPr="005C05CB">
        <w:rPr>
          <w:rFonts w:ascii="Segoe UI" w:hAnsi="Segoe UI" w:cs="Segoe UI"/>
          <w:szCs w:val="20"/>
        </w:rPr>
        <w:t>.</w:t>
      </w:r>
    </w:p>
    <w:p w14:paraId="0A88EA51" w14:textId="410E6AD9" w:rsidR="006C5FEA" w:rsidRPr="0062207D" w:rsidRDefault="006C5FEA" w:rsidP="006C5FEA">
      <w:pPr>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Nell’orientamento del GRI, la </w:t>
      </w:r>
      <w:r w:rsidR="005C05CB">
        <w:rPr>
          <w:rFonts w:ascii="Segoe UI" w:hAnsi="Segoe UI" w:cs="Segoe UI"/>
          <w:szCs w:val="20"/>
        </w:rPr>
        <w:t xml:space="preserve">materialità </w:t>
      </w:r>
      <w:r w:rsidRPr="0062207D">
        <w:rPr>
          <w:rFonts w:ascii="Segoe UI" w:hAnsi="Segoe UI" w:cs="Segoe UI"/>
          <w:szCs w:val="20"/>
        </w:rPr>
        <w:t xml:space="preserve">assume una prospettiva differente rispetto all’approccio fornito dall’IR </w:t>
      </w:r>
      <w:r w:rsidR="00922E05" w:rsidRPr="00922E05">
        <w:rPr>
          <w:rFonts w:ascii="Segoe UI" w:hAnsi="Segoe UI" w:cs="Segoe UI"/>
          <w:szCs w:val="20"/>
        </w:rPr>
        <w:t>Framework</w:t>
      </w:r>
      <w:r w:rsidRPr="0062207D">
        <w:rPr>
          <w:rFonts w:ascii="Segoe UI" w:hAnsi="Segoe UI" w:cs="Segoe UI"/>
          <w:szCs w:val="20"/>
        </w:rPr>
        <w:t>.</w:t>
      </w:r>
    </w:p>
    <w:p w14:paraId="4191D169" w14:textId="33967703" w:rsidR="006C5FEA" w:rsidRPr="0062207D" w:rsidRDefault="006C5FEA" w:rsidP="006C5FEA">
      <w:pPr>
        <w:keepNext/>
        <w:keepLines/>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Il GRI definisce la </w:t>
      </w:r>
      <w:r w:rsidRPr="0062207D">
        <w:rPr>
          <w:rFonts w:ascii="Segoe UI" w:hAnsi="Segoe UI" w:cs="Segoe UI"/>
          <w:i/>
          <w:szCs w:val="20"/>
        </w:rPr>
        <w:t>materiality</w:t>
      </w:r>
      <w:r w:rsidRPr="0062207D">
        <w:rPr>
          <w:rFonts w:ascii="Segoe UI" w:hAnsi="Segoe UI" w:cs="Segoe UI"/>
          <w:szCs w:val="20"/>
        </w:rPr>
        <w:t xml:space="preserve"> prendendo spunto dalle definizioni fornite per il </w:t>
      </w:r>
      <w:r w:rsidRPr="00CE35BA">
        <w:rPr>
          <w:rFonts w:ascii="Segoe UI" w:hAnsi="Segoe UI" w:cs="Segoe UI"/>
          <w:i/>
          <w:szCs w:val="20"/>
        </w:rPr>
        <w:t xml:space="preserve">reporting </w:t>
      </w:r>
      <w:r w:rsidRPr="0062207D">
        <w:rPr>
          <w:rFonts w:ascii="Segoe UI" w:hAnsi="Segoe UI" w:cs="Segoe UI"/>
          <w:szCs w:val="20"/>
        </w:rPr>
        <w:t xml:space="preserve">di natura finanziaria e precedentemente illustrate. Infatti, nell’informativa finanziaria la </w:t>
      </w:r>
      <w:r w:rsidR="005C05CB" w:rsidRPr="005C05CB">
        <w:rPr>
          <w:rFonts w:ascii="Segoe UI" w:hAnsi="Segoe UI" w:cs="Segoe UI"/>
          <w:i/>
          <w:szCs w:val="20"/>
        </w:rPr>
        <w:t>materiality</w:t>
      </w:r>
      <w:r w:rsidR="005C05CB">
        <w:rPr>
          <w:rFonts w:ascii="Segoe UI" w:hAnsi="Segoe UI" w:cs="Segoe UI"/>
          <w:szCs w:val="20"/>
        </w:rPr>
        <w:t xml:space="preserve"> (in quella sede, giova ripeterlo, “rilevanza”, qui “materialità”) </w:t>
      </w:r>
      <w:r w:rsidRPr="0062207D">
        <w:rPr>
          <w:rFonts w:ascii="Segoe UI" w:hAnsi="Segoe UI" w:cs="Segoe UI"/>
          <w:szCs w:val="20"/>
        </w:rPr>
        <w:t xml:space="preserve">è considerata come la soglia per influenzare le decisioni economiche degli utilizzatori del bilancio d’esercizio di un’organizzazione, in particolare degli investitori. Nell’approccio </w:t>
      </w:r>
      <w:r w:rsidR="005C05CB">
        <w:rPr>
          <w:rFonts w:ascii="Segoe UI" w:hAnsi="Segoe UI" w:cs="Segoe UI"/>
          <w:szCs w:val="20"/>
        </w:rPr>
        <w:t xml:space="preserve">del </w:t>
      </w:r>
      <w:r w:rsidRPr="0062207D">
        <w:rPr>
          <w:rFonts w:ascii="Segoe UI" w:hAnsi="Segoe UI" w:cs="Segoe UI"/>
          <w:szCs w:val="20"/>
        </w:rPr>
        <w:t xml:space="preserve">GRI il concetto di soglia viene ripreso anche per il </w:t>
      </w:r>
      <w:r w:rsidRPr="007A744A">
        <w:rPr>
          <w:rFonts w:ascii="Segoe UI" w:hAnsi="Segoe UI" w:cs="Segoe UI"/>
          <w:i/>
          <w:szCs w:val="20"/>
        </w:rPr>
        <w:t>reporting</w:t>
      </w:r>
      <w:r w:rsidRPr="0062207D">
        <w:rPr>
          <w:rFonts w:ascii="Segoe UI" w:hAnsi="Segoe UI" w:cs="Segoe UI"/>
          <w:szCs w:val="20"/>
        </w:rPr>
        <w:t xml:space="preserve"> di sostenibilità, </w:t>
      </w:r>
      <w:r w:rsidR="005C05CB">
        <w:rPr>
          <w:rFonts w:ascii="Segoe UI" w:hAnsi="Segoe UI" w:cs="Segoe UI"/>
          <w:szCs w:val="20"/>
        </w:rPr>
        <w:t xml:space="preserve">ma in </w:t>
      </w:r>
      <w:r w:rsidRPr="0062207D">
        <w:rPr>
          <w:rFonts w:ascii="Segoe UI" w:hAnsi="Segoe UI" w:cs="Segoe UI"/>
          <w:szCs w:val="20"/>
        </w:rPr>
        <w:t>un’accezione più vasta, poich</w:t>
      </w:r>
      <w:r w:rsidR="00CE35BA">
        <w:rPr>
          <w:rFonts w:ascii="Segoe UI" w:hAnsi="Segoe UI" w:cs="Segoe UI"/>
          <w:szCs w:val="20"/>
        </w:rPr>
        <w:t>é</w:t>
      </w:r>
      <w:r w:rsidRPr="0062207D">
        <w:rPr>
          <w:rFonts w:ascii="Segoe UI" w:hAnsi="Segoe UI" w:cs="Segoe UI"/>
          <w:szCs w:val="20"/>
        </w:rPr>
        <w:t xml:space="preserve"> fa riferimento ad un</w:t>
      </w:r>
      <w:r w:rsidR="005C05CB">
        <w:rPr>
          <w:rFonts w:ascii="Segoe UI" w:hAnsi="Segoe UI" w:cs="Segoe UI"/>
          <w:szCs w:val="20"/>
        </w:rPr>
        <w:t xml:space="preserve">a più vasta </w:t>
      </w:r>
      <w:r w:rsidRPr="0062207D">
        <w:rPr>
          <w:rFonts w:ascii="Segoe UI" w:hAnsi="Segoe UI" w:cs="Segoe UI"/>
          <w:szCs w:val="20"/>
        </w:rPr>
        <w:t>serie di impatti e</w:t>
      </w:r>
      <w:r w:rsidR="005C05CB">
        <w:rPr>
          <w:rFonts w:ascii="Segoe UI" w:hAnsi="Segoe UI" w:cs="Segoe UI"/>
          <w:szCs w:val="20"/>
        </w:rPr>
        <w:t xml:space="preserve"> a una più vasta platea di </w:t>
      </w:r>
      <w:r w:rsidRPr="00F03CD2">
        <w:rPr>
          <w:rFonts w:ascii="Segoe UI" w:hAnsi="Segoe UI" w:cs="Segoe UI"/>
          <w:i/>
          <w:szCs w:val="20"/>
        </w:rPr>
        <w:t>stakeholder</w:t>
      </w:r>
      <w:r w:rsidRPr="0062207D">
        <w:rPr>
          <w:rFonts w:ascii="Segoe UI" w:hAnsi="Segoe UI" w:cs="Segoe UI"/>
          <w:szCs w:val="20"/>
        </w:rPr>
        <w:t xml:space="preserve">. Più specificatamente, </w:t>
      </w:r>
      <w:r w:rsidR="005C05CB">
        <w:rPr>
          <w:rFonts w:ascii="Segoe UI" w:hAnsi="Segoe UI" w:cs="Segoe UI"/>
          <w:szCs w:val="20"/>
        </w:rPr>
        <w:t xml:space="preserve">le SR Guidelines </w:t>
      </w:r>
      <w:r w:rsidRPr="0062207D">
        <w:rPr>
          <w:rFonts w:ascii="Segoe UI" w:hAnsi="Segoe UI" w:cs="Segoe UI"/>
          <w:szCs w:val="20"/>
        </w:rPr>
        <w:t>G4 suggerisc</w:t>
      </w:r>
      <w:r w:rsidR="005C05CB">
        <w:rPr>
          <w:rFonts w:ascii="Segoe UI" w:hAnsi="Segoe UI" w:cs="Segoe UI"/>
          <w:szCs w:val="20"/>
        </w:rPr>
        <w:t xml:space="preserve">ono </w:t>
      </w:r>
      <w:r w:rsidRPr="0062207D">
        <w:rPr>
          <w:rFonts w:ascii="Segoe UI" w:hAnsi="Segoe UI" w:cs="Segoe UI"/>
          <w:szCs w:val="20"/>
        </w:rPr>
        <w:t xml:space="preserve">che le informazioni contenute in un </w:t>
      </w:r>
      <w:r w:rsidRPr="00CE35BA">
        <w:rPr>
          <w:rFonts w:ascii="Segoe UI" w:hAnsi="Segoe UI" w:cs="Segoe UI"/>
          <w:i/>
          <w:szCs w:val="20"/>
        </w:rPr>
        <w:t>report</w:t>
      </w:r>
      <w:r w:rsidRPr="0062207D">
        <w:rPr>
          <w:rFonts w:ascii="Segoe UI" w:hAnsi="Segoe UI" w:cs="Segoe UI"/>
          <w:szCs w:val="20"/>
        </w:rPr>
        <w:t xml:space="preserve"> devono riferirsi ai temi e agli indicatori che:</w:t>
      </w:r>
    </w:p>
    <w:p w14:paraId="121B7487" w14:textId="77777777" w:rsidR="006C5FEA" w:rsidRPr="0062207D" w:rsidRDefault="006C5FEA" w:rsidP="006C5FEA">
      <w:pPr>
        <w:pStyle w:val="Paragrafoelenco"/>
        <w:numPr>
          <w:ilvl w:val="0"/>
          <w:numId w:val="13"/>
        </w:numPr>
        <w:tabs>
          <w:tab w:val="left" w:pos="567"/>
        </w:tabs>
        <w:spacing w:before="120" w:after="120" w:line="240" w:lineRule="auto"/>
        <w:ind w:left="568" w:hanging="284"/>
        <w:jc w:val="both"/>
        <w:rPr>
          <w:rFonts w:ascii="Segoe UI" w:hAnsi="Segoe UI" w:cs="Segoe UI"/>
          <w:szCs w:val="20"/>
        </w:rPr>
      </w:pPr>
      <w:r w:rsidRPr="0062207D">
        <w:rPr>
          <w:rFonts w:ascii="Segoe UI" w:hAnsi="Segoe UI" w:cs="Segoe UI"/>
          <w:szCs w:val="20"/>
        </w:rPr>
        <w:t>riflettono gli impatti significativi, economici, ambientali e sociali, o che</w:t>
      </w:r>
    </w:p>
    <w:p w14:paraId="4252082E" w14:textId="77777777" w:rsidR="006C5FEA" w:rsidRPr="0062207D" w:rsidRDefault="006C5FEA" w:rsidP="006C5FEA">
      <w:pPr>
        <w:pStyle w:val="Paragrafoelenco"/>
        <w:numPr>
          <w:ilvl w:val="0"/>
          <w:numId w:val="13"/>
        </w:numPr>
        <w:tabs>
          <w:tab w:val="left" w:pos="567"/>
        </w:tabs>
        <w:spacing w:before="120" w:after="120" w:line="240" w:lineRule="auto"/>
        <w:ind w:left="568" w:hanging="284"/>
        <w:jc w:val="both"/>
        <w:rPr>
          <w:rFonts w:ascii="Segoe UI" w:hAnsi="Segoe UI" w:cs="Segoe UI"/>
          <w:szCs w:val="20"/>
        </w:rPr>
      </w:pPr>
      <w:r w:rsidRPr="0062207D">
        <w:rPr>
          <w:rFonts w:ascii="Segoe UI" w:hAnsi="Segoe UI" w:cs="Segoe UI"/>
          <w:szCs w:val="20"/>
        </w:rPr>
        <w:t xml:space="preserve">potrebbero influenzare in modo sostanziale le valutazioni e le decisioni degli </w:t>
      </w:r>
      <w:r w:rsidRPr="00F03CD2">
        <w:rPr>
          <w:rFonts w:ascii="Segoe UI" w:hAnsi="Segoe UI" w:cs="Segoe UI"/>
          <w:i/>
          <w:szCs w:val="20"/>
        </w:rPr>
        <w:t>stakeholder</w:t>
      </w:r>
      <w:r w:rsidRPr="0062207D">
        <w:rPr>
          <w:rFonts w:ascii="Segoe UI" w:hAnsi="Segoe UI" w:cs="Segoe UI"/>
          <w:szCs w:val="20"/>
        </w:rPr>
        <w:t>.</w:t>
      </w:r>
    </w:p>
    <w:p w14:paraId="60109BD5" w14:textId="3F271B12" w:rsidR="006C5FEA" w:rsidRPr="0062207D" w:rsidRDefault="006C5FEA" w:rsidP="006C5FEA">
      <w:pPr>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Attraverso questa definizione il </w:t>
      </w:r>
      <w:r w:rsidR="005C05CB">
        <w:rPr>
          <w:rFonts w:ascii="Segoe UI" w:hAnsi="Segoe UI" w:cs="Segoe UI"/>
          <w:szCs w:val="20"/>
        </w:rPr>
        <w:t xml:space="preserve">documento interpretativo </w:t>
      </w:r>
      <w:r w:rsidRPr="0062207D">
        <w:rPr>
          <w:rFonts w:ascii="Segoe UI" w:hAnsi="Segoe UI" w:cs="Segoe UI"/>
          <w:szCs w:val="20"/>
        </w:rPr>
        <w:t>cerca di supportare le organizzazioni che, di fronte a un</w:t>
      </w:r>
      <w:r w:rsidR="00AF5B8C">
        <w:rPr>
          <w:rFonts w:ascii="Segoe UI" w:hAnsi="Segoe UI" w:cs="Segoe UI"/>
          <w:szCs w:val="20"/>
        </w:rPr>
        <w:t>’</w:t>
      </w:r>
      <w:r w:rsidRPr="0062207D">
        <w:rPr>
          <w:rFonts w:ascii="Segoe UI" w:hAnsi="Segoe UI" w:cs="Segoe UI"/>
          <w:szCs w:val="20"/>
        </w:rPr>
        <w:t xml:space="preserve">ampia scelta di </w:t>
      </w:r>
      <w:r w:rsidR="005C05CB">
        <w:rPr>
          <w:rFonts w:ascii="Segoe UI" w:hAnsi="Segoe UI" w:cs="Segoe UI"/>
          <w:szCs w:val="20"/>
        </w:rPr>
        <w:t xml:space="preserve">potenziali </w:t>
      </w:r>
      <w:r w:rsidRPr="0062207D">
        <w:rPr>
          <w:rFonts w:ascii="Segoe UI" w:hAnsi="Segoe UI" w:cs="Segoe UI"/>
          <w:szCs w:val="20"/>
        </w:rPr>
        <w:t>questioni da riportare</w:t>
      </w:r>
      <w:r w:rsidR="00C65823">
        <w:rPr>
          <w:rFonts w:ascii="Segoe UI" w:hAnsi="Segoe UI" w:cs="Segoe UI"/>
          <w:szCs w:val="20"/>
        </w:rPr>
        <w:t xml:space="preserve"> (perché rilevanti)</w:t>
      </w:r>
      <w:r w:rsidRPr="0062207D">
        <w:rPr>
          <w:rFonts w:ascii="Segoe UI" w:hAnsi="Segoe UI" w:cs="Segoe UI"/>
          <w:szCs w:val="20"/>
        </w:rPr>
        <w:t xml:space="preserve">, devono selezionare quelle che </w:t>
      </w:r>
      <w:r w:rsidR="005C05CB">
        <w:rPr>
          <w:rFonts w:ascii="Segoe UI" w:hAnsi="Segoe UI" w:cs="Segoe UI"/>
          <w:szCs w:val="20"/>
        </w:rPr>
        <w:t xml:space="preserve">risultino </w:t>
      </w:r>
      <w:r w:rsidR="00C65823">
        <w:rPr>
          <w:rFonts w:ascii="Segoe UI" w:hAnsi="Segoe UI" w:cs="Segoe UI"/>
          <w:szCs w:val="20"/>
        </w:rPr>
        <w:t xml:space="preserve">materiali </w:t>
      </w:r>
      <w:r w:rsidR="005C05CB">
        <w:rPr>
          <w:rFonts w:ascii="Segoe UI" w:hAnsi="Segoe UI" w:cs="Segoe UI"/>
          <w:szCs w:val="20"/>
        </w:rPr>
        <w:t>e</w:t>
      </w:r>
      <w:r w:rsidRPr="0062207D">
        <w:rPr>
          <w:rFonts w:ascii="Segoe UI" w:hAnsi="Segoe UI" w:cs="Segoe UI"/>
          <w:szCs w:val="20"/>
        </w:rPr>
        <w:t xml:space="preserve">, quindi, </w:t>
      </w:r>
      <w:r w:rsidR="005C05CB">
        <w:rPr>
          <w:rFonts w:ascii="Segoe UI" w:hAnsi="Segoe UI" w:cs="Segoe UI"/>
          <w:szCs w:val="20"/>
        </w:rPr>
        <w:t>idonee a</w:t>
      </w:r>
      <w:r w:rsidRPr="0062207D">
        <w:rPr>
          <w:rFonts w:ascii="Segoe UI" w:hAnsi="Segoe UI" w:cs="Segoe UI"/>
          <w:szCs w:val="20"/>
        </w:rPr>
        <w:t xml:space="preserve"> riflettere il proprio impatto a livello economico, sociale e ambientale. </w:t>
      </w:r>
      <w:r w:rsidR="005C05CB">
        <w:rPr>
          <w:rFonts w:ascii="Segoe UI" w:hAnsi="Segoe UI" w:cs="Segoe UI"/>
          <w:szCs w:val="20"/>
        </w:rPr>
        <w:t>In pratica, la materialità è il processo che consente di determinare la “</w:t>
      </w:r>
      <w:r w:rsidRPr="0062207D">
        <w:rPr>
          <w:rFonts w:ascii="Segoe UI" w:hAnsi="Segoe UI" w:cs="Segoe UI"/>
          <w:szCs w:val="20"/>
        </w:rPr>
        <w:t>soglia</w:t>
      </w:r>
      <w:r w:rsidR="005C05CB">
        <w:rPr>
          <w:rFonts w:ascii="Segoe UI" w:hAnsi="Segoe UI" w:cs="Segoe UI"/>
          <w:szCs w:val="20"/>
        </w:rPr>
        <w:t>”</w:t>
      </w:r>
      <w:r w:rsidRPr="0062207D">
        <w:rPr>
          <w:rFonts w:ascii="Segoe UI" w:hAnsi="Segoe UI" w:cs="Segoe UI"/>
          <w:szCs w:val="20"/>
        </w:rPr>
        <w:t xml:space="preserve"> </w:t>
      </w:r>
      <w:r w:rsidR="00C65823">
        <w:rPr>
          <w:rFonts w:ascii="Segoe UI" w:hAnsi="Segoe UI" w:cs="Segoe UI"/>
          <w:szCs w:val="20"/>
        </w:rPr>
        <w:t xml:space="preserve">degli aspetti rilevanti </w:t>
      </w:r>
      <w:r w:rsidRPr="0062207D">
        <w:rPr>
          <w:rFonts w:ascii="Segoe UI" w:hAnsi="Segoe UI" w:cs="Segoe UI"/>
          <w:szCs w:val="20"/>
        </w:rPr>
        <w:t>che dev</w:t>
      </w:r>
      <w:r w:rsidR="00C65823">
        <w:rPr>
          <w:rFonts w:ascii="Segoe UI" w:hAnsi="Segoe UI" w:cs="Segoe UI"/>
          <w:szCs w:val="20"/>
        </w:rPr>
        <w:t>ono poi essere anche comunicati</w:t>
      </w:r>
      <w:r w:rsidRPr="0062207D">
        <w:rPr>
          <w:rFonts w:ascii="Segoe UI" w:hAnsi="Segoe UI" w:cs="Segoe UI"/>
          <w:szCs w:val="20"/>
        </w:rPr>
        <w:t xml:space="preserve">. Inoltre, al fine di evitare la dispersione delle informazioni, nell’applicazione del </w:t>
      </w:r>
      <w:r w:rsidR="00C65823">
        <w:rPr>
          <w:rFonts w:ascii="Segoe UI" w:hAnsi="Segoe UI" w:cs="Segoe UI"/>
          <w:szCs w:val="20"/>
        </w:rPr>
        <w:t xml:space="preserve">processo di determinazione della materialità, </w:t>
      </w:r>
      <w:r w:rsidRPr="0062207D">
        <w:rPr>
          <w:rFonts w:ascii="Segoe UI" w:hAnsi="Segoe UI" w:cs="Segoe UI"/>
          <w:szCs w:val="20"/>
        </w:rPr>
        <w:t>si dovrà riflettere anche sulla priorità d</w:t>
      </w:r>
      <w:r w:rsidR="00C65823">
        <w:rPr>
          <w:rFonts w:ascii="Segoe UI" w:hAnsi="Segoe UI" w:cs="Segoe UI"/>
          <w:szCs w:val="20"/>
        </w:rPr>
        <w:t>e</w:t>
      </w:r>
      <w:r w:rsidRPr="0062207D">
        <w:rPr>
          <w:rFonts w:ascii="Segoe UI" w:hAnsi="Segoe UI" w:cs="Segoe UI"/>
          <w:szCs w:val="20"/>
        </w:rPr>
        <w:t xml:space="preserve">i temi e </w:t>
      </w:r>
      <w:r w:rsidR="00C65823">
        <w:rPr>
          <w:rFonts w:ascii="Segoe UI" w:hAnsi="Segoe UI" w:cs="Segoe UI"/>
          <w:szCs w:val="20"/>
        </w:rPr>
        <w:t xml:space="preserve">degli </w:t>
      </w:r>
      <w:r w:rsidRPr="0062207D">
        <w:rPr>
          <w:rFonts w:ascii="Segoe UI" w:hAnsi="Segoe UI" w:cs="Segoe UI"/>
          <w:szCs w:val="20"/>
        </w:rPr>
        <w:t xml:space="preserve">indicatori </w:t>
      </w:r>
      <w:r w:rsidR="00C65823">
        <w:rPr>
          <w:rFonts w:ascii="Segoe UI" w:hAnsi="Segoe UI" w:cs="Segoe UI"/>
          <w:szCs w:val="20"/>
        </w:rPr>
        <w:t xml:space="preserve">oggetto di </w:t>
      </w:r>
      <w:r w:rsidR="00C65823" w:rsidRPr="00C65823">
        <w:rPr>
          <w:rFonts w:ascii="Segoe UI" w:hAnsi="Segoe UI" w:cs="Segoe UI"/>
          <w:i/>
          <w:szCs w:val="20"/>
        </w:rPr>
        <w:t>disclosure</w:t>
      </w:r>
      <w:r w:rsidRPr="0062207D">
        <w:rPr>
          <w:rFonts w:ascii="Segoe UI" w:hAnsi="Segoe UI" w:cs="Segoe UI"/>
          <w:szCs w:val="20"/>
        </w:rPr>
        <w:t>.</w:t>
      </w:r>
    </w:p>
    <w:p w14:paraId="78373363" w14:textId="7A8F598C" w:rsidR="006C5FEA" w:rsidRPr="0062207D" w:rsidRDefault="006C5FEA" w:rsidP="006C5FEA">
      <w:pPr>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L’approccio fornito dal GRI prevede che la </w:t>
      </w:r>
      <w:r w:rsidR="00C65823">
        <w:rPr>
          <w:rFonts w:ascii="Segoe UI" w:hAnsi="Segoe UI" w:cs="Segoe UI"/>
          <w:szCs w:val="20"/>
        </w:rPr>
        <w:t xml:space="preserve">materialità </w:t>
      </w:r>
      <w:r w:rsidRPr="0062207D">
        <w:rPr>
          <w:rFonts w:ascii="Segoe UI" w:hAnsi="Segoe UI" w:cs="Segoe UI"/>
          <w:szCs w:val="20"/>
        </w:rPr>
        <w:t xml:space="preserve">non si </w:t>
      </w:r>
      <w:r w:rsidR="00DB2AAE">
        <w:rPr>
          <w:rFonts w:ascii="Segoe UI" w:hAnsi="Segoe UI" w:cs="Segoe UI"/>
          <w:szCs w:val="20"/>
        </w:rPr>
        <w:t xml:space="preserve">applichi </w:t>
      </w:r>
      <w:r w:rsidRPr="0062207D">
        <w:rPr>
          <w:rFonts w:ascii="Segoe UI" w:hAnsi="Segoe UI" w:cs="Segoe UI"/>
          <w:szCs w:val="20"/>
        </w:rPr>
        <w:t>limit</w:t>
      </w:r>
      <w:r w:rsidR="00DB2AAE">
        <w:rPr>
          <w:rFonts w:ascii="Segoe UI" w:hAnsi="Segoe UI" w:cs="Segoe UI"/>
          <w:szCs w:val="20"/>
        </w:rPr>
        <w:t xml:space="preserve">atamente </w:t>
      </w:r>
      <w:r w:rsidRPr="0062207D">
        <w:rPr>
          <w:rFonts w:ascii="Segoe UI" w:hAnsi="Segoe UI" w:cs="Segoe UI"/>
          <w:szCs w:val="20"/>
        </w:rPr>
        <w:t xml:space="preserve">ai temi </w:t>
      </w:r>
      <w:r w:rsidR="00C65823">
        <w:rPr>
          <w:rFonts w:ascii="Segoe UI" w:hAnsi="Segoe UI" w:cs="Segoe UI"/>
          <w:szCs w:val="20"/>
        </w:rPr>
        <w:t>de</w:t>
      </w:r>
      <w:r w:rsidRPr="0062207D">
        <w:rPr>
          <w:rFonts w:ascii="Segoe UI" w:hAnsi="Segoe UI" w:cs="Segoe UI"/>
          <w:szCs w:val="20"/>
        </w:rPr>
        <w:t xml:space="preserve">lla sostenibilità che </w:t>
      </w:r>
      <w:r w:rsidR="00DB2AAE">
        <w:rPr>
          <w:rFonts w:ascii="Segoe UI" w:hAnsi="Segoe UI" w:cs="Segoe UI"/>
          <w:szCs w:val="20"/>
        </w:rPr>
        <w:t xml:space="preserve">generino </w:t>
      </w:r>
      <w:r w:rsidRPr="0062207D">
        <w:rPr>
          <w:rFonts w:ascii="Segoe UI" w:hAnsi="Segoe UI" w:cs="Segoe UI"/>
          <w:szCs w:val="20"/>
        </w:rPr>
        <w:t xml:space="preserve">un impatto finanziario </w:t>
      </w:r>
      <w:r w:rsidR="00C65823">
        <w:rPr>
          <w:rFonts w:ascii="Segoe UI" w:hAnsi="Segoe UI" w:cs="Segoe UI"/>
          <w:szCs w:val="20"/>
        </w:rPr>
        <w:t xml:space="preserve">rilevante </w:t>
      </w:r>
      <w:r w:rsidRPr="0062207D">
        <w:rPr>
          <w:rFonts w:ascii="Segoe UI" w:hAnsi="Segoe UI" w:cs="Segoe UI"/>
          <w:szCs w:val="20"/>
        </w:rPr>
        <w:t xml:space="preserve">sull’organizzazione, ma </w:t>
      </w:r>
      <w:r w:rsidR="00DB2AAE">
        <w:rPr>
          <w:rFonts w:ascii="Segoe UI" w:hAnsi="Segoe UI" w:cs="Segoe UI"/>
          <w:szCs w:val="20"/>
        </w:rPr>
        <w:t xml:space="preserve">sia estesa anche ai temi i cui </w:t>
      </w:r>
      <w:r w:rsidRPr="0062207D">
        <w:rPr>
          <w:rFonts w:ascii="Segoe UI" w:hAnsi="Segoe UI" w:cs="Segoe UI"/>
          <w:szCs w:val="20"/>
        </w:rPr>
        <w:t>impatti economici, ambientali, e sociali</w:t>
      </w:r>
      <w:r w:rsidR="00DB2AAE">
        <w:rPr>
          <w:rFonts w:ascii="Segoe UI" w:hAnsi="Segoe UI" w:cs="Segoe UI"/>
          <w:szCs w:val="20"/>
        </w:rPr>
        <w:t>,</w:t>
      </w:r>
      <w:r w:rsidRPr="0062207D">
        <w:rPr>
          <w:rFonts w:ascii="Segoe UI" w:hAnsi="Segoe UI" w:cs="Segoe UI"/>
          <w:szCs w:val="20"/>
        </w:rPr>
        <w:t xml:space="preserve"> superan</w:t>
      </w:r>
      <w:r w:rsidR="00C65823">
        <w:rPr>
          <w:rFonts w:ascii="Segoe UI" w:hAnsi="Segoe UI" w:cs="Segoe UI"/>
          <w:szCs w:val="20"/>
        </w:rPr>
        <w:t>d</w:t>
      </w:r>
      <w:r w:rsidRPr="0062207D">
        <w:rPr>
          <w:rFonts w:ascii="Segoe UI" w:hAnsi="Segoe UI" w:cs="Segoe UI"/>
          <w:szCs w:val="20"/>
        </w:rPr>
        <w:t xml:space="preserve">o una determinata soglia, </w:t>
      </w:r>
      <w:r w:rsidR="00C65823">
        <w:rPr>
          <w:rFonts w:ascii="Segoe UI" w:hAnsi="Segoe UI" w:cs="Segoe UI"/>
          <w:szCs w:val="20"/>
        </w:rPr>
        <w:t xml:space="preserve">possano </w:t>
      </w:r>
      <w:r w:rsidRPr="0062207D">
        <w:rPr>
          <w:rFonts w:ascii="Segoe UI" w:hAnsi="Segoe UI" w:cs="Segoe UI"/>
          <w:szCs w:val="20"/>
        </w:rPr>
        <w:t>influenza</w:t>
      </w:r>
      <w:r w:rsidR="00C65823">
        <w:rPr>
          <w:rFonts w:ascii="Segoe UI" w:hAnsi="Segoe UI" w:cs="Segoe UI"/>
          <w:szCs w:val="20"/>
        </w:rPr>
        <w:t xml:space="preserve">re </w:t>
      </w:r>
      <w:r w:rsidRPr="0062207D">
        <w:rPr>
          <w:rFonts w:ascii="Segoe UI" w:hAnsi="Segoe UI" w:cs="Segoe UI"/>
          <w:szCs w:val="20"/>
        </w:rPr>
        <w:t>la capacità di soddisfare i bisogni della generazione attuale senza compromettere quelli delle generazioni future</w:t>
      </w:r>
      <w:r w:rsidRPr="0062207D">
        <w:rPr>
          <w:rStyle w:val="Rimandonotaapidipagina"/>
          <w:rFonts w:cs="Segoe UI"/>
          <w:sz w:val="22"/>
          <w:szCs w:val="20"/>
        </w:rPr>
        <w:footnoteReference w:id="33"/>
      </w:r>
      <w:r w:rsidRPr="0062207D">
        <w:rPr>
          <w:rFonts w:ascii="Segoe UI" w:hAnsi="Segoe UI" w:cs="Segoe UI"/>
          <w:szCs w:val="20"/>
        </w:rPr>
        <w:t>.</w:t>
      </w:r>
    </w:p>
    <w:p w14:paraId="78BB4437" w14:textId="6B5636CE" w:rsidR="006C5FEA" w:rsidRPr="0062207D" w:rsidRDefault="006C5FEA" w:rsidP="006C5FEA">
      <w:pPr>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Per determinare se un’informazione è </w:t>
      </w:r>
      <w:r w:rsidR="00C65823">
        <w:rPr>
          <w:rFonts w:ascii="Segoe UI" w:hAnsi="Segoe UI" w:cs="Segoe UI"/>
          <w:szCs w:val="20"/>
        </w:rPr>
        <w:t>materiale</w:t>
      </w:r>
      <w:r w:rsidRPr="0062207D">
        <w:rPr>
          <w:rFonts w:ascii="Segoe UI" w:hAnsi="Segoe UI" w:cs="Segoe UI"/>
          <w:szCs w:val="20"/>
        </w:rPr>
        <w:t xml:space="preserve">, è </w:t>
      </w:r>
      <w:r w:rsidR="00C65823">
        <w:rPr>
          <w:rFonts w:ascii="Segoe UI" w:hAnsi="Segoe UI" w:cs="Segoe UI"/>
          <w:szCs w:val="20"/>
        </w:rPr>
        <w:t xml:space="preserve">opportuno prendere in considerazione </w:t>
      </w:r>
      <w:r w:rsidRPr="0062207D">
        <w:rPr>
          <w:rFonts w:ascii="Segoe UI" w:hAnsi="Segoe UI" w:cs="Segoe UI"/>
          <w:szCs w:val="20"/>
        </w:rPr>
        <w:t>una combinazione di fattori</w:t>
      </w:r>
      <w:r w:rsidR="00C65823">
        <w:rPr>
          <w:rFonts w:ascii="Segoe UI" w:hAnsi="Segoe UI" w:cs="Segoe UI"/>
          <w:szCs w:val="20"/>
        </w:rPr>
        <w:t>/circostanze</w:t>
      </w:r>
      <w:r w:rsidRPr="0062207D">
        <w:rPr>
          <w:rFonts w:ascii="Segoe UI" w:hAnsi="Segoe UI" w:cs="Segoe UI"/>
          <w:szCs w:val="20"/>
        </w:rPr>
        <w:t xml:space="preserve"> interni ed esterni, tra cui la </w:t>
      </w:r>
      <w:r w:rsidRPr="0062207D">
        <w:rPr>
          <w:rFonts w:ascii="Segoe UI" w:hAnsi="Segoe UI" w:cs="Segoe UI"/>
          <w:i/>
          <w:szCs w:val="20"/>
        </w:rPr>
        <w:t>mission</w:t>
      </w:r>
      <w:r w:rsidRPr="0062207D">
        <w:rPr>
          <w:rFonts w:ascii="Segoe UI" w:hAnsi="Segoe UI" w:cs="Segoe UI"/>
          <w:szCs w:val="20"/>
        </w:rPr>
        <w:t xml:space="preserve"> e la strategia competitiva dell’organizzazione, le preoccupazioni espresse direttamente dagli </w:t>
      </w:r>
      <w:r w:rsidRPr="00F03CD2">
        <w:rPr>
          <w:rFonts w:ascii="Segoe UI" w:hAnsi="Segoe UI" w:cs="Segoe UI"/>
          <w:i/>
          <w:szCs w:val="20"/>
        </w:rPr>
        <w:t>stakeholder</w:t>
      </w:r>
      <w:r w:rsidRPr="0062207D">
        <w:rPr>
          <w:rFonts w:ascii="Segoe UI" w:hAnsi="Segoe UI" w:cs="Segoe UI"/>
          <w:szCs w:val="20"/>
        </w:rPr>
        <w:t>, le aspettative sociali in senso lato e l’influenza dell’organizzazione sull</w:t>
      </w:r>
      <w:r w:rsidR="00C65823">
        <w:rPr>
          <w:rFonts w:ascii="Segoe UI" w:hAnsi="Segoe UI" w:cs="Segoe UI"/>
          <w:szCs w:val="20"/>
        </w:rPr>
        <w:t xml:space="preserve">e </w:t>
      </w:r>
      <w:r w:rsidRPr="0062207D">
        <w:rPr>
          <w:rFonts w:ascii="Segoe UI" w:hAnsi="Segoe UI" w:cs="Segoe UI"/>
          <w:szCs w:val="20"/>
        </w:rPr>
        <w:t>entità “a monte” (ad esempio</w:t>
      </w:r>
      <w:r w:rsidR="00C65823">
        <w:rPr>
          <w:rFonts w:ascii="Segoe UI" w:hAnsi="Segoe UI" w:cs="Segoe UI"/>
          <w:szCs w:val="20"/>
        </w:rPr>
        <w:t>,</w:t>
      </w:r>
      <w:r w:rsidRPr="0062207D">
        <w:rPr>
          <w:rFonts w:ascii="Segoe UI" w:hAnsi="Segoe UI" w:cs="Segoe UI"/>
          <w:szCs w:val="20"/>
        </w:rPr>
        <w:t xml:space="preserve"> </w:t>
      </w:r>
      <w:r w:rsidR="00C65823">
        <w:rPr>
          <w:rFonts w:ascii="Segoe UI" w:hAnsi="Segoe UI" w:cs="Segoe UI"/>
          <w:szCs w:val="20"/>
        </w:rPr>
        <w:t xml:space="preserve">la </w:t>
      </w:r>
      <w:r w:rsidRPr="0062207D">
        <w:rPr>
          <w:rFonts w:ascii="Segoe UI" w:hAnsi="Segoe UI" w:cs="Segoe UI"/>
          <w:i/>
          <w:szCs w:val="20"/>
        </w:rPr>
        <w:t>supply chain</w:t>
      </w:r>
      <w:r w:rsidRPr="0062207D">
        <w:rPr>
          <w:rFonts w:ascii="Segoe UI" w:hAnsi="Segoe UI" w:cs="Segoe UI"/>
          <w:szCs w:val="20"/>
        </w:rPr>
        <w:t xml:space="preserve">) e “a valle” (ad esempio, </w:t>
      </w:r>
      <w:r w:rsidR="00C65823">
        <w:rPr>
          <w:rFonts w:ascii="Segoe UI" w:hAnsi="Segoe UI" w:cs="Segoe UI"/>
          <w:szCs w:val="20"/>
        </w:rPr>
        <w:t xml:space="preserve">i </w:t>
      </w:r>
      <w:r w:rsidRPr="0062207D">
        <w:rPr>
          <w:rFonts w:ascii="Segoe UI" w:hAnsi="Segoe UI" w:cs="Segoe UI"/>
          <w:szCs w:val="20"/>
        </w:rPr>
        <w:t xml:space="preserve">clienti). </w:t>
      </w:r>
      <w:r w:rsidR="00C65823">
        <w:rPr>
          <w:rFonts w:ascii="Segoe UI" w:hAnsi="Segoe UI" w:cs="Segoe UI"/>
          <w:szCs w:val="20"/>
        </w:rPr>
        <w:t xml:space="preserve">La </w:t>
      </w:r>
      <w:r w:rsidRPr="0062207D">
        <w:rPr>
          <w:rFonts w:ascii="Segoe UI" w:hAnsi="Segoe UI" w:cs="Segoe UI"/>
          <w:szCs w:val="20"/>
        </w:rPr>
        <w:t>valutazione de</w:t>
      </w:r>
      <w:r w:rsidR="00C65823">
        <w:rPr>
          <w:rFonts w:ascii="Segoe UI" w:hAnsi="Segoe UI" w:cs="Segoe UI"/>
          <w:szCs w:val="20"/>
        </w:rPr>
        <w:t>i temi da comunicare de</w:t>
      </w:r>
      <w:r w:rsidRPr="0062207D">
        <w:rPr>
          <w:rFonts w:ascii="Segoe UI" w:hAnsi="Segoe UI" w:cs="Segoe UI"/>
          <w:szCs w:val="20"/>
        </w:rPr>
        <w:t xml:space="preserve">ve </w:t>
      </w:r>
      <w:r w:rsidR="00C65823">
        <w:rPr>
          <w:rFonts w:ascii="Segoe UI" w:hAnsi="Segoe UI" w:cs="Segoe UI"/>
          <w:szCs w:val="20"/>
        </w:rPr>
        <w:t xml:space="preserve">essere coerente con i requisiti </w:t>
      </w:r>
      <w:r w:rsidRPr="0062207D">
        <w:rPr>
          <w:rFonts w:ascii="Segoe UI" w:hAnsi="Segoe UI" w:cs="Segoe UI"/>
          <w:szCs w:val="20"/>
        </w:rPr>
        <w:t>espress</w:t>
      </w:r>
      <w:r w:rsidR="00C65823">
        <w:rPr>
          <w:rFonts w:ascii="Segoe UI" w:hAnsi="Segoe UI" w:cs="Segoe UI"/>
          <w:szCs w:val="20"/>
        </w:rPr>
        <w:t>i</w:t>
      </w:r>
      <w:r w:rsidRPr="0062207D">
        <w:rPr>
          <w:rFonts w:ascii="Segoe UI" w:hAnsi="Segoe UI" w:cs="Segoe UI"/>
          <w:szCs w:val="20"/>
        </w:rPr>
        <w:t xml:space="preserve"> dagli </w:t>
      </w:r>
      <w:r w:rsidRPr="007A744A">
        <w:rPr>
          <w:rFonts w:ascii="Segoe UI" w:hAnsi="Segoe UI" w:cs="Segoe UI"/>
          <w:i/>
          <w:szCs w:val="20"/>
        </w:rPr>
        <w:t>standard</w:t>
      </w:r>
      <w:r w:rsidRPr="0062207D">
        <w:rPr>
          <w:rFonts w:ascii="Segoe UI" w:hAnsi="Segoe UI" w:cs="Segoe UI"/>
          <w:szCs w:val="20"/>
        </w:rPr>
        <w:t xml:space="preserve"> </w:t>
      </w:r>
      <w:r w:rsidR="00C65823">
        <w:rPr>
          <w:rFonts w:ascii="Segoe UI" w:hAnsi="Segoe UI" w:cs="Segoe UI"/>
          <w:szCs w:val="20"/>
        </w:rPr>
        <w:t xml:space="preserve">di rendicontazione </w:t>
      </w:r>
      <w:r w:rsidR="00C3386B">
        <w:rPr>
          <w:rFonts w:ascii="Segoe UI" w:hAnsi="Segoe UI" w:cs="Segoe UI"/>
          <w:szCs w:val="20"/>
        </w:rPr>
        <w:t xml:space="preserve">e con </w:t>
      </w:r>
      <w:r w:rsidR="00C65823">
        <w:rPr>
          <w:rFonts w:ascii="Segoe UI" w:hAnsi="Segoe UI" w:cs="Segoe UI"/>
          <w:szCs w:val="20"/>
        </w:rPr>
        <w:t>eventuali impegni derivanti dalla adesione a specifici protocolli di sos</w:t>
      </w:r>
      <w:r w:rsidR="00C3386B">
        <w:rPr>
          <w:rFonts w:ascii="Segoe UI" w:hAnsi="Segoe UI" w:cs="Segoe UI"/>
          <w:szCs w:val="20"/>
        </w:rPr>
        <w:t>te</w:t>
      </w:r>
      <w:r w:rsidR="00C65823">
        <w:rPr>
          <w:rFonts w:ascii="Segoe UI" w:hAnsi="Segoe UI" w:cs="Segoe UI"/>
          <w:szCs w:val="20"/>
        </w:rPr>
        <w:t>nibilità</w:t>
      </w:r>
      <w:r w:rsidR="00C3386B">
        <w:rPr>
          <w:rFonts w:ascii="Segoe UI" w:hAnsi="Segoe UI" w:cs="Segoe UI"/>
          <w:szCs w:val="20"/>
        </w:rPr>
        <w:t xml:space="preserve"> </w:t>
      </w:r>
      <w:r w:rsidR="00C65823">
        <w:rPr>
          <w:rFonts w:ascii="Segoe UI" w:hAnsi="Segoe UI" w:cs="Segoe UI"/>
          <w:szCs w:val="20"/>
        </w:rPr>
        <w:t>pr</w:t>
      </w:r>
      <w:r w:rsidR="00C3386B">
        <w:rPr>
          <w:rFonts w:ascii="Segoe UI" w:hAnsi="Segoe UI" w:cs="Segoe UI"/>
          <w:szCs w:val="20"/>
        </w:rPr>
        <w:t>o</w:t>
      </w:r>
      <w:r w:rsidR="00C65823">
        <w:rPr>
          <w:rFonts w:ascii="Segoe UI" w:hAnsi="Segoe UI" w:cs="Segoe UI"/>
          <w:szCs w:val="20"/>
        </w:rPr>
        <w:t xml:space="preserve">duttiva </w:t>
      </w:r>
      <w:r w:rsidR="00C3386B">
        <w:rPr>
          <w:rFonts w:ascii="Segoe UI" w:hAnsi="Segoe UI" w:cs="Segoe UI"/>
          <w:szCs w:val="20"/>
        </w:rPr>
        <w:t>cui l’organizzazione aderisce</w:t>
      </w:r>
      <w:r w:rsidRPr="0062207D">
        <w:rPr>
          <w:rFonts w:ascii="Segoe UI" w:hAnsi="Segoe UI" w:cs="Segoe UI"/>
          <w:szCs w:val="20"/>
        </w:rPr>
        <w:t>.</w:t>
      </w:r>
    </w:p>
    <w:p w14:paraId="01D2B0FE" w14:textId="4B63911E" w:rsidR="00C3386B" w:rsidRDefault="006C5FEA" w:rsidP="006C5FEA">
      <w:pPr>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L’approccio </w:t>
      </w:r>
      <w:r w:rsidR="00DB2AAE">
        <w:rPr>
          <w:rFonts w:ascii="Segoe UI" w:hAnsi="Segoe UI" w:cs="Segoe UI"/>
          <w:szCs w:val="20"/>
        </w:rPr>
        <w:t xml:space="preserve">del </w:t>
      </w:r>
      <w:r w:rsidRPr="0062207D">
        <w:rPr>
          <w:rFonts w:ascii="Segoe UI" w:hAnsi="Segoe UI" w:cs="Segoe UI"/>
          <w:szCs w:val="20"/>
        </w:rPr>
        <w:t>GRI fa quindi</w:t>
      </w:r>
      <w:r w:rsidR="00DB2AAE">
        <w:rPr>
          <w:rFonts w:ascii="Segoe UI" w:hAnsi="Segoe UI" w:cs="Segoe UI"/>
          <w:szCs w:val="20"/>
        </w:rPr>
        <w:t xml:space="preserve"> </w:t>
      </w:r>
      <w:r w:rsidRPr="0062207D">
        <w:rPr>
          <w:rFonts w:ascii="Segoe UI" w:hAnsi="Segoe UI" w:cs="Segoe UI"/>
          <w:szCs w:val="20"/>
        </w:rPr>
        <w:t>riferimento agli “impatti significativi”</w:t>
      </w:r>
      <w:r w:rsidR="00DB2AAE">
        <w:rPr>
          <w:rFonts w:ascii="Segoe UI" w:hAnsi="Segoe UI" w:cs="Segoe UI"/>
          <w:szCs w:val="20"/>
        </w:rPr>
        <w:t>,</w:t>
      </w:r>
      <w:r w:rsidRPr="0062207D">
        <w:rPr>
          <w:rFonts w:ascii="Segoe UI" w:hAnsi="Segoe UI" w:cs="Segoe UI"/>
          <w:szCs w:val="20"/>
        </w:rPr>
        <w:t xml:space="preserve"> intendendo </w:t>
      </w:r>
      <w:r w:rsidR="00DB2AAE">
        <w:rPr>
          <w:rFonts w:ascii="Segoe UI" w:hAnsi="Segoe UI" w:cs="Segoe UI"/>
          <w:szCs w:val="20"/>
        </w:rPr>
        <w:t xml:space="preserve">con tale locuzione gli impatti idonei a rappresentare </w:t>
      </w:r>
      <w:r w:rsidRPr="0062207D">
        <w:rPr>
          <w:rFonts w:ascii="Segoe UI" w:hAnsi="Segoe UI" w:cs="Segoe UI"/>
          <w:szCs w:val="20"/>
        </w:rPr>
        <w:t>fonte di preoccupazione per le comunità di esperti o che s</w:t>
      </w:r>
      <w:r w:rsidR="00DB2AAE">
        <w:rPr>
          <w:rFonts w:ascii="Segoe UI" w:hAnsi="Segoe UI" w:cs="Segoe UI"/>
          <w:szCs w:val="20"/>
        </w:rPr>
        <w:t xml:space="preserve">iano </w:t>
      </w:r>
      <w:r w:rsidRPr="0062207D">
        <w:rPr>
          <w:rFonts w:ascii="Segoe UI" w:hAnsi="Segoe UI" w:cs="Segoe UI"/>
          <w:szCs w:val="20"/>
        </w:rPr>
        <w:t xml:space="preserve">stati identificati </w:t>
      </w:r>
      <w:r w:rsidR="00DB2AAE">
        <w:rPr>
          <w:rFonts w:ascii="Segoe UI" w:hAnsi="Segoe UI" w:cs="Segoe UI"/>
          <w:szCs w:val="20"/>
        </w:rPr>
        <w:t xml:space="preserve">attraverso </w:t>
      </w:r>
      <w:r w:rsidRPr="0062207D">
        <w:rPr>
          <w:rFonts w:ascii="Segoe UI" w:hAnsi="Segoe UI" w:cs="Segoe UI"/>
          <w:szCs w:val="20"/>
        </w:rPr>
        <w:t>strumenti consolidati quali metodologie di valutazione d</w:t>
      </w:r>
      <w:r w:rsidR="00DB2AAE">
        <w:rPr>
          <w:rFonts w:ascii="Segoe UI" w:hAnsi="Segoe UI" w:cs="Segoe UI"/>
          <w:szCs w:val="20"/>
        </w:rPr>
        <w:t xml:space="preserve">’impatto </w:t>
      </w:r>
      <w:r w:rsidRPr="0062207D">
        <w:rPr>
          <w:rFonts w:ascii="Segoe UI" w:hAnsi="Segoe UI" w:cs="Segoe UI"/>
          <w:szCs w:val="20"/>
        </w:rPr>
        <w:t xml:space="preserve">o </w:t>
      </w:r>
      <w:r w:rsidR="00DB2AAE">
        <w:rPr>
          <w:rFonts w:ascii="Segoe UI" w:hAnsi="Segoe UI" w:cs="Segoe UI"/>
          <w:szCs w:val="20"/>
        </w:rPr>
        <w:t xml:space="preserve">di </w:t>
      </w:r>
      <w:r w:rsidRPr="0062207D">
        <w:rPr>
          <w:rFonts w:ascii="Segoe UI" w:hAnsi="Segoe UI" w:cs="Segoe UI"/>
          <w:szCs w:val="20"/>
        </w:rPr>
        <w:t>valutazion</w:t>
      </w:r>
      <w:r w:rsidR="00DB2AAE">
        <w:rPr>
          <w:rFonts w:ascii="Segoe UI" w:hAnsi="Segoe UI" w:cs="Segoe UI"/>
          <w:szCs w:val="20"/>
        </w:rPr>
        <w:t>e</w:t>
      </w:r>
      <w:r w:rsidRPr="0062207D">
        <w:rPr>
          <w:rFonts w:ascii="Segoe UI" w:hAnsi="Segoe UI" w:cs="Segoe UI"/>
          <w:szCs w:val="20"/>
        </w:rPr>
        <w:t xml:space="preserve"> del ciclo di vita. Possono </w:t>
      </w:r>
      <w:r w:rsidR="00DB2AAE">
        <w:rPr>
          <w:rFonts w:ascii="Segoe UI" w:hAnsi="Segoe UI" w:cs="Segoe UI"/>
          <w:szCs w:val="20"/>
        </w:rPr>
        <w:t xml:space="preserve">poi </w:t>
      </w:r>
      <w:r w:rsidRPr="0062207D">
        <w:rPr>
          <w:rFonts w:ascii="Segoe UI" w:hAnsi="Segoe UI" w:cs="Segoe UI"/>
          <w:szCs w:val="20"/>
        </w:rPr>
        <w:t xml:space="preserve">essere considerati </w:t>
      </w:r>
      <w:r w:rsidR="00DB2AAE">
        <w:rPr>
          <w:rFonts w:ascii="Segoe UI" w:hAnsi="Segoe UI" w:cs="Segoe UI"/>
          <w:szCs w:val="20"/>
        </w:rPr>
        <w:t xml:space="preserve">significativi altresì </w:t>
      </w:r>
      <w:r w:rsidRPr="0062207D">
        <w:rPr>
          <w:rFonts w:ascii="Segoe UI" w:hAnsi="Segoe UI" w:cs="Segoe UI"/>
          <w:szCs w:val="20"/>
        </w:rPr>
        <w:t xml:space="preserve">gli impatti </w:t>
      </w:r>
      <w:r w:rsidR="00DB2AAE">
        <w:rPr>
          <w:rFonts w:ascii="Segoe UI" w:hAnsi="Segoe UI" w:cs="Segoe UI"/>
          <w:szCs w:val="20"/>
        </w:rPr>
        <w:t xml:space="preserve">tali </w:t>
      </w:r>
      <w:r w:rsidRPr="0062207D">
        <w:rPr>
          <w:rFonts w:ascii="Segoe UI" w:hAnsi="Segoe UI" w:cs="Segoe UI"/>
          <w:szCs w:val="20"/>
        </w:rPr>
        <w:t>da richiedere la gestione attiva o l’intervento dell’organizzazione. In tal</w:t>
      </w:r>
      <w:r w:rsidR="00DB2AAE">
        <w:rPr>
          <w:rFonts w:ascii="Segoe UI" w:hAnsi="Segoe UI" w:cs="Segoe UI"/>
          <w:szCs w:val="20"/>
        </w:rPr>
        <w:t xml:space="preserve">e ottica, </w:t>
      </w:r>
      <w:r w:rsidRPr="0062207D">
        <w:rPr>
          <w:rFonts w:ascii="Segoe UI" w:hAnsi="Segoe UI" w:cs="Segoe UI"/>
          <w:szCs w:val="20"/>
        </w:rPr>
        <w:t xml:space="preserve">il </w:t>
      </w:r>
      <w:r w:rsidRPr="007A744A">
        <w:rPr>
          <w:rFonts w:ascii="Segoe UI" w:hAnsi="Segoe UI" w:cs="Segoe UI"/>
          <w:i/>
          <w:szCs w:val="20"/>
        </w:rPr>
        <w:t>report</w:t>
      </w:r>
      <w:r w:rsidRPr="0062207D">
        <w:rPr>
          <w:rFonts w:ascii="Segoe UI" w:hAnsi="Segoe UI" w:cs="Segoe UI"/>
          <w:szCs w:val="20"/>
        </w:rPr>
        <w:t xml:space="preserve"> dovrà dare rilievo alle informazioni su</w:t>
      </w:r>
      <w:r w:rsidR="00DB2AAE">
        <w:rPr>
          <w:rFonts w:ascii="Segoe UI" w:hAnsi="Segoe UI" w:cs="Segoe UI"/>
          <w:szCs w:val="20"/>
        </w:rPr>
        <w:t xml:space="preserve"> </w:t>
      </w:r>
      <w:r w:rsidRPr="007A744A">
        <w:rPr>
          <w:rFonts w:ascii="Segoe UI" w:hAnsi="Segoe UI" w:cs="Segoe UI"/>
          <w:i/>
          <w:szCs w:val="20"/>
        </w:rPr>
        <w:t>performance</w:t>
      </w:r>
      <w:r w:rsidRPr="0062207D">
        <w:rPr>
          <w:rFonts w:ascii="Segoe UI" w:hAnsi="Segoe UI" w:cs="Segoe UI"/>
          <w:szCs w:val="20"/>
        </w:rPr>
        <w:t xml:space="preserve"> </w:t>
      </w:r>
      <w:r w:rsidR="00DB2AAE">
        <w:rPr>
          <w:rFonts w:ascii="Segoe UI" w:hAnsi="Segoe UI" w:cs="Segoe UI"/>
          <w:szCs w:val="20"/>
        </w:rPr>
        <w:t xml:space="preserve">in qualche modo </w:t>
      </w:r>
      <w:r w:rsidR="00BE4CF2">
        <w:rPr>
          <w:rFonts w:ascii="Segoe UI" w:hAnsi="Segoe UI" w:cs="Segoe UI"/>
          <w:szCs w:val="20"/>
        </w:rPr>
        <w:t xml:space="preserve">connesse </w:t>
      </w:r>
      <w:r w:rsidRPr="0062207D">
        <w:rPr>
          <w:rFonts w:ascii="Segoe UI" w:hAnsi="Segoe UI" w:cs="Segoe UI"/>
          <w:szCs w:val="20"/>
        </w:rPr>
        <w:t xml:space="preserve">ai principali temi </w:t>
      </w:r>
      <w:r w:rsidR="00C3386B">
        <w:rPr>
          <w:rFonts w:ascii="Segoe UI" w:hAnsi="Segoe UI" w:cs="Segoe UI"/>
          <w:szCs w:val="20"/>
        </w:rPr>
        <w:t>materiali</w:t>
      </w:r>
      <w:r w:rsidR="00BE4CF2">
        <w:rPr>
          <w:rFonts w:ascii="Segoe UI" w:hAnsi="Segoe UI" w:cs="Segoe UI"/>
          <w:szCs w:val="20"/>
        </w:rPr>
        <w:t xml:space="preserve"> identificati sulla base della connessione ad impatti significativi così come appena definiti</w:t>
      </w:r>
      <w:r w:rsidRPr="0062207D">
        <w:rPr>
          <w:rFonts w:ascii="Segoe UI" w:hAnsi="Segoe UI" w:cs="Segoe UI"/>
          <w:szCs w:val="20"/>
        </w:rPr>
        <w:t>.</w:t>
      </w:r>
    </w:p>
    <w:p w14:paraId="3E4425C5" w14:textId="0A939BA4" w:rsidR="00DC00C7" w:rsidRDefault="00F66A30" w:rsidP="006C5FEA">
      <w:pPr>
        <w:tabs>
          <w:tab w:val="left" w:pos="0"/>
        </w:tabs>
        <w:spacing w:before="120" w:after="120" w:line="240" w:lineRule="auto"/>
        <w:jc w:val="both"/>
        <w:rPr>
          <w:rFonts w:ascii="Segoe UI" w:hAnsi="Segoe UI" w:cs="Segoe UI"/>
          <w:szCs w:val="20"/>
        </w:rPr>
      </w:pPr>
      <w:r>
        <w:rPr>
          <w:rFonts w:ascii="Segoe UI" w:hAnsi="Segoe UI" w:cs="Segoe UI"/>
          <w:szCs w:val="20"/>
        </w:rPr>
        <w:t>Peraltro</w:t>
      </w:r>
      <w:r w:rsidR="006C5FEA" w:rsidRPr="0062207D">
        <w:rPr>
          <w:rFonts w:ascii="Segoe UI" w:hAnsi="Segoe UI" w:cs="Segoe UI"/>
          <w:szCs w:val="20"/>
        </w:rPr>
        <w:t>,</w:t>
      </w:r>
      <w:r w:rsidR="00160E46">
        <w:rPr>
          <w:rFonts w:ascii="Segoe UI" w:hAnsi="Segoe UI" w:cs="Segoe UI"/>
          <w:szCs w:val="20"/>
        </w:rPr>
        <w:t xml:space="preserve"> </w:t>
      </w:r>
      <w:r w:rsidR="00921BF9">
        <w:rPr>
          <w:rFonts w:ascii="Segoe UI" w:hAnsi="Segoe UI" w:cs="Segoe UI"/>
          <w:szCs w:val="20"/>
        </w:rPr>
        <w:t xml:space="preserve">secondo il GRI, </w:t>
      </w:r>
      <w:r w:rsidR="006C5FEA" w:rsidRPr="0062207D">
        <w:rPr>
          <w:rFonts w:ascii="Segoe UI" w:hAnsi="Segoe UI" w:cs="Segoe UI"/>
          <w:szCs w:val="20"/>
        </w:rPr>
        <w:t xml:space="preserve">è possibile </w:t>
      </w:r>
      <w:r>
        <w:rPr>
          <w:rFonts w:ascii="Segoe UI" w:hAnsi="Segoe UI" w:cs="Segoe UI"/>
          <w:szCs w:val="20"/>
        </w:rPr>
        <w:t xml:space="preserve">e ragionevole </w:t>
      </w:r>
      <w:r w:rsidR="006C5FEA" w:rsidRPr="0062207D">
        <w:rPr>
          <w:rFonts w:ascii="Segoe UI" w:hAnsi="Segoe UI" w:cs="Segoe UI"/>
          <w:szCs w:val="20"/>
        </w:rPr>
        <w:t xml:space="preserve">includere </w:t>
      </w:r>
      <w:r>
        <w:rPr>
          <w:rFonts w:ascii="Segoe UI" w:hAnsi="Segoe UI" w:cs="Segoe UI"/>
          <w:szCs w:val="20"/>
        </w:rPr>
        <w:t xml:space="preserve">nel </w:t>
      </w:r>
      <w:r w:rsidRPr="00160E46">
        <w:rPr>
          <w:rFonts w:ascii="Segoe UI" w:hAnsi="Segoe UI" w:cs="Segoe UI"/>
          <w:i/>
          <w:szCs w:val="20"/>
        </w:rPr>
        <w:t>reporting</w:t>
      </w:r>
      <w:r>
        <w:rPr>
          <w:rFonts w:ascii="Segoe UI" w:hAnsi="Segoe UI" w:cs="Segoe UI"/>
          <w:szCs w:val="20"/>
        </w:rPr>
        <w:t xml:space="preserve"> anche </w:t>
      </w:r>
      <w:r w:rsidR="006C5FEA" w:rsidRPr="0062207D">
        <w:rPr>
          <w:rFonts w:ascii="Segoe UI" w:hAnsi="Segoe UI" w:cs="Segoe UI"/>
          <w:szCs w:val="20"/>
        </w:rPr>
        <w:t>altri temi</w:t>
      </w:r>
      <w:r>
        <w:rPr>
          <w:rFonts w:ascii="Segoe UI" w:hAnsi="Segoe UI" w:cs="Segoe UI"/>
          <w:szCs w:val="20"/>
        </w:rPr>
        <w:t>,</w:t>
      </w:r>
      <w:r w:rsidR="006C5FEA" w:rsidRPr="0062207D">
        <w:rPr>
          <w:rFonts w:ascii="Segoe UI" w:hAnsi="Segoe UI" w:cs="Segoe UI"/>
          <w:szCs w:val="20"/>
        </w:rPr>
        <w:t xml:space="preserve"> attribuendo loro comunque minore importanza</w:t>
      </w:r>
      <w:r>
        <w:rPr>
          <w:rFonts w:ascii="Segoe UI" w:hAnsi="Segoe UI" w:cs="Segoe UI"/>
          <w:szCs w:val="20"/>
        </w:rPr>
        <w:t xml:space="preserve"> e </w:t>
      </w:r>
      <w:r w:rsidR="006C5FEA" w:rsidRPr="0062207D">
        <w:rPr>
          <w:rFonts w:ascii="Segoe UI" w:hAnsi="Segoe UI" w:cs="Segoe UI"/>
          <w:szCs w:val="20"/>
        </w:rPr>
        <w:t>purch</w:t>
      </w:r>
      <w:r w:rsidR="006C5FEA">
        <w:rPr>
          <w:rFonts w:ascii="Segoe UI" w:hAnsi="Segoe UI" w:cs="Segoe UI"/>
          <w:szCs w:val="20"/>
        </w:rPr>
        <w:t>é</w:t>
      </w:r>
      <w:r w:rsidR="006C5FEA" w:rsidRPr="0062207D">
        <w:rPr>
          <w:rFonts w:ascii="Segoe UI" w:hAnsi="Segoe UI" w:cs="Segoe UI"/>
          <w:szCs w:val="20"/>
        </w:rPr>
        <w:t xml:space="preserve"> sia </w:t>
      </w:r>
      <w:r>
        <w:rPr>
          <w:rFonts w:ascii="Segoe UI" w:hAnsi="Segoe UI" w:cs="Segoe UI"/>
          <w:szCs w:val="20"/>
        </w:rPr>
        <w:t xml:space="preserve">illustrato </w:t>
      </w:r>
      <w:r w:rsidR="006C5FEA" w:rsidRPr="0062207D">
        <w:rPr>
          <w:rFonts w:ascii="Segoe UI" w:hAnsi="Segoe UI" w:cs="Segoe UI"/>
          <w:szCs w:val="20"/>
        </w:rPr>
        <w:t xml:space="preserve">il processo in base al quale è stata definita la </w:t>
      </w:r>
      <w:r>
        <w:rPr>
          <w:rFonts w:ascii="Segoe UI" w:hAnsi="Segoe UI" w:cs="Segoe UI"/>
          <w:szCs w:val="20"/>
        </w:rPr>
        <w:t xml:space="preserve">gerarchia delle </w:t>
      </w:r>
      <w:r w:rsidR="006C5FEA" w:rsidRPr="0062207D">
        <w:rPr>
          <w:rFonts w:ascii="Segoe UI" w:hAnsi="Segoe UI" w:cs="Segoe UI"/>
          <w:szCs w:val="20"/>
        </w:rPr>
        <w:t>priorità dei temi trattati.</w:t>
      </w:r>
      <w:r w:rsidR="00DC00C7">
        <w:rPr>
          <w:rFonts w:ascii="Segoe UI" w:hAnsi="Segoe UI" w:cs="Segoe UI"/>
          <w:szCs w:val="20"/>
        </w:rPr>
        <w:t xml:space="preserve"> Ora, q</w:t>
      </w:r>
      <w:r>
        <w:rPr>
          <w:rFonts w:ascii="Segoe UI" w:hAnsi="Segoe UI" w:cs="Segoe UI"/>
          <w:szCs w:val="20"/>
        </w:rPr>
        <w:t>uest</w:t>
      </w:r>
      <w:r w:rsidR="00DC00C7">
        <w:rPr>
          <w:rFonts w:ascii="Segoe UI" w:hAnsi="Segoe UI" w:cs="Segoe UI"/>
          <w:szCs w:val="20"/>
        </w:rPr>
        <w:t xml:space="preserve">’ultima </w:t>
      </w:r>
      <w:r>
        <w:rPr>
          <w:rFonts w:ascii="Segoe UI" w:hAnsi="Segoe UI" w:cs="Segoe UI"/>
          <w:szCs w:val="20"/>
        </w:rPr>
        <w:t xml:space="preserve">indicazione, nel nostro contesto, risulta però </w:t>
      </w:r>
      <w:r w:rsidR="00DC00C7">
        <w:rPr>
          <w:rFonts w:ascii="Segoe UI" w:hAnsi="Segoe UI" w:cs="Segoe UI"/>
          <w:szCs w:val="20"/>
        </w:rPr>
        <w:t xml:space="preserve">tutt’altro che banale e ininfluente: come si è già avuto modo di evidenziare in altra sede, l’interpretazione del concetto di rilevanza di Consob, attore istituzionale e regolamentare nell’ambito del sistema normativo di </w:t>
      </w:r>
      <w:r w:rsidR="00DC00C7" w:rsidRPr="00DC00C7">
        <w:rPr>
          <w:rFonts w:ascii="Segoe UI" w:hAnsi="Segoe UI" w:cs="Segoe UI"/>
          <w:i/>
          <w:szCs w:val="20"/>
        </w:rPr>
        <w:t>disclosure</w:t>
      </w:r>
      <w:r w:rsidR="00DC00C7">
        <w:rPr>
          <w:rFonts w:ascii="Segoe UI" w:hAnsi="Segoe UI" w:cs="Segoe UI"/>
          <w:szCs w:val="20"/>
        </w:rPr>
        <w:t xml:space="preserve"> non finanziaria nazionale, ad esempio, sembrerebbe inconciliabile con l’approccio appena esposto e caldeggiato dal GRI, certamente consapevole delle problematiche in questione nel momento in cui ha pubblicato il documento in esame</w:t>
      </w:r>
      <w:r w:rsidR="00DC00C7">
        <w:rPr>
          <w:rStyle w:val="Rimandonotaapidipagina"/>
          <w:rFonts w:cs="Segoe UI"/>
          <w:szCs w:val="20"/>
        </w:rPr>
        <w:footnoteReference w:id="34"/>
      </w:r>
      <w:r w:rsidR="00DC00C7">
        <w:rPr>
          <w:rFonts w:ascii="Segoe UI" w:hAnsi="Segoe UI" w:cs="Segoe UI"/>
          <w:szCs w:val="20"/>
        </w:rPr>
        <w:t>.</w:t>
      </w:r>
    </w:p>
    <w:p w14:paraId="5D3C74DC" w14:textId="734682DE" w:rsidR="006C5FEA" w:rsidRPr="0062207D" w:rsidRDefault="006C5FEA" w:rsidP="006C5FEA">
      <w:pPr>
        <w:tabs>
          <w:tab w:val="left" w:pos="0"/>
        </w:tabs>
        <w:spacing w:before="120" w:after="120" w:line="240" w:lineRule="auto"/>
        <w:jc w:val="both"/>
        <w:rPr>
          <w:rFonts w:ascii="Segoe UI" w:hAnsi="Segoe UI" w:cs="Segoe UI"/>
          <w:szCs w:val="20"/>
        </w:rPr>
      </w:pPr>
      <w:r w:rsidRPr="0062207D">
        <w:rPr>
          <w:rFonts w:ascii="Segoe UI" w:hAnsi="Segoe UI" w:cs="Segoe UI"/>
          <w:szCs w:val="20"/>
        </w:rPr>
        <w:t xml:space="preserve">Oltre a regolare la scelta dei temi da includere nel </w:t>
      </w:r>
      <w:r w:rsidRPr="00CE35BA">
        <w:rPr>
          <w:rFonts w:ascii="Segoe UI" w:hAnsi="Segoe UI" w:cs="Segoe UI"/>
          <w:i/>
          <w:szCs w:val="20"/>
        </w:rPr>
        <w:t>report</w:t>
      </w:r>
      <w:r w:rsidRPr="0062207D">
        <w:rPr>
          <w:rFonts w:ascii="Segoe UI" w:hAnsi="Segoe UI" w:cs="Segoe UI"/>
          <w:szCs w:val="20"/>
        </w:rPr>
        <w:t xml:space="preserve">, il </w:t>
      </w:r>
      <w:r w:rsidR="00921BF9">
        <w:rPr>
          <w:rFonts w:ascii="Segoe UI" w:hAnsi="Segoe UI" w:cs="Segoe UI"/>
          <w:szCs w:val="20"/>
        </w:rPr>
        <w:t xml:space="preserve">processo di determinazione </w:t>
      </w:r>
      <w:r w:rsidRPr="0062207D">
        <w:rPr>
          <w:rFonts w:ascii="Segoe UI" w:hAnsi="Segoe UI" w:cs="Segoe UI"/>
          <w:szCs w:val="20"/>
        </w:rPr>
        <w:t xml:space="preserve">della </w:t>
      </w:r>
      <w:r w:rsidR="00921BF9">
        <w:rPr>
          <w:rFonts w:ascii="Segoe UI" w:hAnsi="Segoe UI" w:cs="Segoe UI"/>
          <w:szCs w:val="20"/>
        </w:rPr>
        <w:t xml:space="preserve">materialità </w:t>
      </w:r>
      <w:r w:rsidRPr="0062207D">
        <w:rPr>
          <w:rFonts w:ascii="Segoe UI" w:hAnsi="Segoe UI" w:cs="Segoe UI"/>
          <w:szCs w:val="20"/>
        </w:rPr>
        <w:t xml:space="preserve">si applica anche all’utilizzo degli indicatori di </w:t>
      </w:r>
      <w:r w:rsidRPr="007A744A">
        <w:rPr>
          <w:rFonts w:ascii="Segoe UI" w:hAnsi="Segoe UI" w:cs="Segoe UI"/>
          <w:i/>
          <w:szCs w:val="20"/>
        </w:rPr>
        <w:t>performance</w:t>
      </w:r>
      <w:r w:rsidRPr="0062207D">
        <w:rPr>
          <w:rFonts w:ascii="Segoe UI" w:hAnsi="Segoe UI" w:cs="Segoe UI"/>
          <w:szCs w:val="20"/>
        </w:rPr>
        <w:t xml:space="preserve">. In alcuni casi, il GRI fornisce linee guida sul livello di dettaglio generalmente considerato appropriato per un determinato </w:t>
      </w:r>
      <w:r w:rsidR="00921BF9">
        <w:rPr>
          <w:rFonts w:ascii="Segoe UI" w:hAnsi="Segoe UI" w:cs="Segoe UI"/>
          <w:szCs w:val="20"/>
        </w:rPr>
        <w:t>i</w:t>
      </w:r>
      <w:r w:rsidRPr="0062207D">
        <w:rPr>
          <w:rFonts w:ascii="Segoe UI" w:hAnsi="Segoe UI" w:cs="Segoe UI"/>
          <w:szCs w:val="20"/>
        </w:rPr>
        <w:t>ndicatore. Nel complesso, la scelta della modalità di presentazione de</w:t>
      </w:r>
      <w:r w:rsidR="00921BF9">
        <w:rPr>
          <w:rFonts w:ascii="Segoe UI" w:hAnsi="Segoe UI" w:cs="Segoe UI"/>
          <w:szCs w:val="20"/>
        </w:rPr>
        <w:t xml:space="preserve">lle informazioni </w:t>
      </w:r>
      <w:r w:rsidRPr="0062207D">
        <w:rPr>
          <w:rFonts w:ascii="Segoe UI" w:hAnsi="Segoe UI" w:cs="Segoe UI"/>
          <w:szCs w:val="20"/>
        </w:rPr>
        <w:t>dovrà basarsi sull</w:t>
      </w:r>
      <w:r w:rsidR="00921BF9">
        <w:rPr>
          <w:rFonts w:ascii="Segoe UI" w:hAnsi="Segoe UI" w:cs="Segoe UI"/>
          <w:szCs w:val="20"/>
        </w:rPr>
        <w:t xml:space="preserve">a loro adeguatezza nel contribuire a </w:t>
      </w:r>
      <w:r w:rsidRPr="0062207D">
        <w:rPr>
          <w:rFonts w:ascii="Segoe UI" w:hAnsi="Segoe UI" w:cs="Segoe UI"/>
          <w:szCs w:val="20"/>
        </w:rPr>
        <w:t xml:space="preserve">valutare la </w:t>
      </w:r>
      <w:r w:rsidRPr="007A744A">
        <w:rPr>
          <w:rFonts w:ascii="Segoe UI" w:hAnsi="Segoe UI" w:cs="Segoe UI"/>
          <w:i/>
          <w:szCs w:val="20"/>
        </w:rPr>
        <w:t>performance</w:t>
      </w:r>
      <w:r w:rsidRPr="0062207D">
        <w:rPr>
          <w:rFonts w:ascii="Segoe UI" w:hAnsi="Segoe UI" w:cs="Segoe UI"/>
          <w:szCs w:val="20"/>
        </w:rPr>
        <w:t xml:space="preserve"> dell’organizzazione e facilitare </w:t>
      </w:r>
      <w:r w:rsidR="00921BF9">
        <w:rPr>
          <w:rFonts w:ascii="Segoe UI" w:hAnsi="Segoe UI" w:cs="Segoe UI"/>
          <w:szCs w:val="20"/>
        </w:rPr>
        <w:t xml:space="preserve">la comparabilità della </w:t>
      </w:r>
      <w:r w:rsidR="00921BF9" w:rsidRPr="00921BF9">
        <w:rPr>
          <w:rFonts w:ascii="Segoe UI" w:hAnsi="Segoe UI" w:cs="Segoe UI"/>
          <w:i/>
          <w:szCs w:val="20"/>
        </w:rPr>
        <w:t>disclosure</w:t>
      </w:r>
      <w:r w:rsidRPr="0062207D">
        <w:rPr>
          <w:rFonts w:ascii="Segoe UI" w:hAnsi="Segoe UI" w:cs="Segoe UI"/>
          <w:szCs w:val="20"/>
        </w:rPr>
        <w:t>.</w:t>
      </w:r>
    </w:p>
    <w:p w14:paraId="2C4E903A" w14:textId="00FC20CD" w:rsidR="006C5FEA" w:rsidRPr="0062207D" w:rsidRDefault="000F1C89" w:rsidP="00363CA0">
      <w:pPr>
        <w:keepNext/>
        <w:keepLines/>
        <w:autoSpaceDE w:val="0"/>
        <w:autoSpaceDN w:val="0"/>
        <w:spacing w:before="120" w:after="120" w:line="240" w:lineRule="auto"/>
        <w:jc w:val="both"/>
        <w:rPr>
          <w:rFonts w:ascii="Segoe UI" w:hAnsi="Segoe UI" w:cs="Segoe UI"/>
          <w:szCs w:val="20"/>
        </w:rPr>
      </w:pPr>
      <w:r>
        <w:rPr>
          <w:rFonts w:ascii="Segoe UI" w:hAnsi="Segoe UI" w:cs="Segoe UI"/>
          <w:szCs w:val="20"/>
        </w:rPr>
        <w:t>In conclusione, i</w:t>
      </w:r>
      <w:r w:rsidR="006C5FEA" w:rsidRPr="0062207D">
        <w:rPr>
          <w:rFonts w:ascii="Segoe UI" w:hAnsi="Segoe UI" w:cs="Segoe UI"/>
          <w:szCs w:val="20"/>
        </w:rPr>
        <w:t>l GRI elabora</w:t>
      </w:r>
      <w:r>
        <w:rPr>
          <w:rFonts w:ascii="Segoe UI" w:hAnsi="Segoe UI" w:cs="Segoe UI"/>
          <w:szCs w:val="20"/>
        </w:rPr>
        <w:t xml:space="preserve"> </w:t>
      </w:r>
      <w:r w:rsidR="00921BF9">
        <w:rPr>
          <w:rFonts w:ascii="Segoe UI" w:hAnsi="Segoe UI" w:cs="Segoe UI"/>
          <w:szCs w:val="20"/>
        </w:rPr>
        <w:t>il p</w:t>
      </w:r>
      <w:r w:rsidR="006C5FEA" w:rsidRPr="0062207D">
        <w:rPr>
          <w:rFonts w:ascii="Segoe UI" w:hAnsi="Segoe UI" w:cs="Segoe UI"/>
          <w:szCs w:val="20"/>
        </w:rPr>
        <w:t xml:space="preserve">roprio processo </w:t>
      </w:r>
      <w:r w:rsidR="00921BF9">
        <w:rPr>
          <w:rFonts w:ascii="Segoe UI" w:hAnsi="Segoe UI" w:cs="Segoe UI"/>
          <w:szCs w:val="20"/>
        </w:rPr>
        <w:t xml:space="preserve">ai fini della determinazione della materialità sviluppandolo </w:t>
      </w:r>
      <w:r w:rsidR="006C5FEA">
        <w:rPr>
          <w:rFonts w:ascii="Segoe UI" w:hAnsi="Segoe UI" w:cs="Segoe UI"/>
          <w:szCs w:val="20"/>
        </w:rPr>
        <w:t>n</w:t>
      </w:r>
      <w:r w:rsidR="00921BF9">
        <w:rPr>
          <w:rFonts w:ascii="Segoe UI" w:hAnsi="Segoe UI" w:cs="Segoe UI"/>
          <w:szCs w:val="20"/>
        </w:rPr>
        <w:t xml:space="preserve">elle seguenti </w:t>
      </w:r>
      <w:r w:rsidR="006C5FEA" w:rsidRPr="0062207D">
        <w:rPr>
          <w:rFonts w:ascii="Segoe UI" w:hAnsi="Segoe UI" w:cs="Segoe UI"/>
          <w:szCs w:val="20"/>
        </w:rPr>
        <w:t>4 fasi:</w:t>
      </w:r>
    </w:p>
    <w:p w14:paraId="5CFFC0FC" w14:textId="77777777" w:rsidR="006C5FEA" w:rsidRPr="0062207D" w:rsidRDefault="006C5FEA" w:rsidP="00363CA0">
      <w:pPr>
        <w:pStyle w:val="Paragrafoelenco"/>
        <w:keepNext/>
        <w:keepLines/>
        <w:numPr>
          <w:ilvl w:val="2"/>
          <w:numId w:val="18"/>
        </w:numPr>
        <w:tabs>
          <w:tab w:val="left" w:pos="567"/>
        </w:tabs>
        <w:autoSpaceDE w:val="0"/>
        <w:autoSpaceDN w:val="0"/>
        <w:spacing w:before="120" w:after="120" w:line="240" w:lineRule="auto"/>
        <w:ind w:left="568" w:hanging="284"/>
        <w:jc w:val="both"/>
        <w:rPr>
          <w:rFonts w:ascii="Segoe UI" w:hAnsi="Segoe UI" w:cs="Segoe UI"/>
          <w:szCs w:val="20"/>
        </w:rPr>
      </w:pPr>
      <w:r w:rsidRPr="0062207D">
        <w:rPr>
          <w:rFonts w:ascii="Segoe UI" w:hAnsi="Segoe UI" w:cs="Segoe UI"/>
          <w:szCs w:val="20"/>
        </w:rPr>
        <w:t>identificazione degli aspetti rilevanti;</w:t>
      </w:r>
    </w:p>
    <w:p w14:paraId="5A9B5B10" w14:textId="77777777" w:rsidR="006C5FEA" w:rsidRPr="0062207D" w:rsidRDefault="006C5FEA" w:rsidP="00363CA0">
      <w:pPr>
        <w:pStyle w:val="Paragrafoelenco"/>
        <w:keepNext/>
        <w:keepLines/>
        <w:numPr>
          <w:ilvl w:val="2"/>
          <w:numId w:val="18"/>
        </w:numPr>
        <w:tabs>
          <w:tab w:val="left" w:pos="567"/>
        </w:tabs>
        <w:autoSpaceDE w:val="0"/>
        <w:autoSpaceDN w:val="0"/>
        <w:spacing w:before="120" w:after="120" w:line="240" w:lineRule="auto"/>
        <w:ind w:left="568" w:hanging="284"/>
        <w:jc w:val="both"/>
        <w:rPr>
          <w:rFonts w:ascii="Segoe UI" w:hAnsi="Segoe UI" w:cs="Segoe UI"/>
          <w:szCs w:val="20"/>
        </w:rPr>
      </w:pPr>
      <w:r w:rsidRPr="0062207D">
        <w:rPr>
          <w:rFonts w:ascii="Segoe UI" w:hAnsi="Segoe UI" w:cs="Segoe UI"/>
          <w:szCs w:val="20"/>
        </w:rPr>
        <w:t>determinazione delle priorità;</w:t>
      </w:r>
    </w:p>
    <w:p w14:paraId="150154A6" w14:textId="77777777" w:rsidR="006C5FEA" w:rsidRPr="0062207D" w:rsidRDefault="006C5FEA" w:rsidP="00363CA0">
      <w:pPr>
        <w:pStyle w:val="Paragrafoelenco"/>
        <w:keepNext/>
        <w:keepLines/>
        <w:numPr>
          <w:ilvl w:val="2"/>
          <w:numId w:val="18"/>
        </w:numPr>
        <w:tabs>
          <w:tab w:val="left" w:pos="567"/>
        </w:tabs>
        <w:autoSpaceDE w:val="0"/>
        <w:autoSpaceDN w:val="0"/>
        <w:spacing w:before="120" w:after="120" w:line="240" w:lineRule="auto"/>
        <w:ind w:left="568" w:hanging="284"/>
        <w:jc w:val="both"/>
        <w:rPr>
          <w:rFonts w:ascii="Segoe UI" w:hAnsi="Segoe UI" w:cs="Segoe UI"/>
          <w:szCs w:val="20"/>
        </w:rPr>
      </w:pPr>
      <w:r w:rsidRPr="0062207D">
        <w:rPr>
          <w:rFonts w:ascii="Segoe UI" w:hAnsi="Segoe UI" w:cs="Segoe UI"/>
          <w:szCs w:val="20"/>
        </w:rPr>
        <w:t>convalida;</w:t>
      </w:r>
    </w:p>
    <w:p w14:paraId="6F1923FE" w14:textId="77777777" w:rsidR="006C5FEA" w:rsidRDefault="006C5FEA" w:rsidP="006C5FEA">
      <w:pPr>
        <w:pStyle w:val="Paragrafoelenco"/>
        <w:numPr>
          <w:ilvl w:val="2"/>
          <w:numId w:val="18"/>
        </w:numPr>
        <w:tabs>
          <w:tab w:val="left" w:pos="567"/>
        </w:tabs>
        <w:autoSpaceDE w:val="0"/>
        <w:autoSpaceDN w:val="0"/>
        <w:spacing w:before="120" w:after="120" w:line="240" w:lineRule="auto"/>
        <w:ind w:left="568" w:hanging="284"/>
        <w:jc w:val="both"/>
        <w:rPr>
          <w:rFonts w:ascii="Segoe UI" w:hAnsi="Segoe UI" w:cs="Segoe UI"/>
          <w:szCs w:val="20"/>
        </w:rPr>
      </w:pPr>
      <w:r w:rsidRPr="0062207D">
        <w:rPr>
          <w:rFonts w:ascii="Segoe UI" w:hAnsi="Segoe UI" w:cs="Segoe UI"/>
          <w:szCs w:val="20"/>
        </w:rPr>
        <w:t>revisione.</w:t>
      </w:r>
    </w:p>
    <w:p w14:paraId="4633C26A" w14:textId="77777777" w:rsidR="003C1912" w:rsidRPr="003C1912" w:rsidRDefault="003C1912" w:rsidP="003C1912">
      <w:pPr>
        <w:tabs>
          <w:tab w:val="left" w:pos="567"/>
        </w:tabs>
        <w:autoSpaceDE w:val="0"/>
        <w:autoSpaceDN w:val="0"/>
        <w:spacing w:before="120" w:after="120" w:line="240" w:lineRule="auto"/>
        <w:jc w:val="both"/>
        <w:rPr>
          <w:rFonts w:ascii="Segoe UI" w:hAnsi="Segoe UI" w:cs="Segoe UI"/>
          <w:szCs w:val="20"/>
        </w:rPr>
      </w:pPr>
    </w:p>
    <w:p w14:paraId="5D8C1B8B" w14:textId="77777777" w:rsidR="003C1912" w:rsidRDefault="003C1912" w:rsidP="003C1912">
      <w:pPr>
        <w:tabs>
          <w:tab w:val="left" w:pos="567"/>
        </w:tabs>
        <w:autoSpaceDE w:val="0"/>
        <w:autoSpaceDN w:val="0"/>
        <w:spacing w:before="120" w:after="120" w:line="240" w:lineRule="auto"/>
        <w:jc w:val="both"/>
        <w:rPr>
          <w:rFonts w:ascii="Segoe UI" w:hAnsi="Segoe UI" w:cs="Segoe UI"/>
          <w:szCs w:val="20"/>
        </w:rPr>
        <w:sectPr w:rsidR="003C1912" w:rsidSect="00B43D98">
          <w:pgSz w:w="11906" w:h="16838" w:code="9"/>
          <w:pgMar w:top="1985" w:right="1134" w:bottom="1134" w:left="1134" w:header="709" w:footer="709" w:gutter="0"/>
          <w:cols w:space="708"/>
          <w:docGrid w:linePitch="360"/>
        </w:sectPr>
      </w:pPr>
    </w:p>
    <w:p w14:paraId="7AB9030B" w14:textId="308DCEDF" w:rsidR="003C0A7E" w:rsidRPr="002F70D1" w:rsidRDefault="00032651" w:rsidP="003C0A7E">
      <w:pPr>
        <w:keepNext/>
        <w:keepLines/>
        <w:tabs>
          <w:tab w:val="left" w:pos="0"/>
        </w:tabs>
        <w:spacing w:before="120" w:after="120" w:line="240" w:lineRule="auto"/>
        <w:jc w:val="center"/>
        <w:rPr>
          <w:rFonts w:ascii="Segoe UI" w:hAnsi="Segoe UI" w:cs="Segoe UI"/>
          <w:sz w:val="20"/>
          <w:szCs w:val="20"/>
        </w:rPr>
      </w:pPr>
      <w:r w:rsidRPr="002F70D1">
        <w:rPr>
          <w:rFonts w:ascii="Segoe UI" w:hAnsi="Segoe UI" w:cs="Segoe UI"/>
          <w:sz w:val="20"/>
          <w:szCs w:val="20"/>
        </w:rPr>
        <w:t xml:space="preserve">Figura </w:t>
      </w:r>
      <w:r w:rsidR="00363CA0">
        <w:rPr>
          <w:rFonts w:ascii="Segoe UI" w:hAnsi="Segoe UI" w:cs="Segoe UI"/>
          <w:sz w:val="20"/>
          <w:szCs w:val="20"/>
        </w:rPr>
        <w:t>1</w:t>
      </w:r>
      <w:r w:rsidRPr="002F70D1">
        <w:rPr>
          <w:rFonts w:ascii="Segoe UI" w:hAnsi="Segoe UI" w:cs="Segoe UI"/>
          <w:sz w:val="20"/>
          <w:szCs w:val="20"/>
        </w:rPr>
        <w:t>: Processo di definizione di aspetti materiali e limiti</w:t>
      </w:r>
    </w:p>
    <w:p w14:paraId="26B6AC31" w14:textId="77777777" w:rsidR="003C0A7E" w:rsidRPr="002F70D1" w:rsidRDefault="003C0A7E" w:rsidP="003C0A7E">
      <w:pPr>
        <w:spacing w:before="120" w:after="120" w:line="240" w:lineRule="auto"/>
        <w:jc w:val="center"/>
        <w:rPr>
          <w:rFonts w:ascii="Segoe UI" w:hAnsi="Segoe UI" w:cs="Segoe UI"/>
          <w:sz w:val="20"/>
          <w:szCs w:val="20"/>
        </w:rPr>
      </w:pPr>
      <w:r w:rsidRPr="002F70D1">
        <w:rPr>
          <w:rFonts w:ascii="Segoe UI" w:hAnsi="Segoe UI" w:cs="Segoe UI"/>
          <w:noProof/>
          <w:sz w:val="20"/>
          <w:szCs w:val="20"/>
          <w:lang w:eastAsia="it-IT"/>
        </w:rPr>
        <mc:AlternateContent>
          <mc:Choice Requires="wps">
            <w:drawing>
              <wp:inline distT="0" distB="0" distL="0" distR="0" wp14:anchorId="43ECA791" wp14:editId="68E55192">
                <wp:extent cx="5400000" cy="360000"/>
                <wp:effectExtent l="0" t="0" r="10795" b="21590"/>
                <wp:docPr id="4" name="Rettangolo con angoli in alto, uno arrotondato e uno ritagliato 15"/>
                <wp:cNvGraphicFramePr/>
                <a:graphic xmlns:a="http://schemas.openxmlformats.org/drawingml/2006/main">
                  <a:graphicData uri="http://schemas.microsoft.com/office/word/2010/wordprocessingShape">
                    <wps:wsp>
                      <wps:cNvSpPr/>
                      <wps:spPr>
                        <a:xfrm>
                          <a:off x="0" y="0"/>
                          <a:ext cx="5400000" cy="360000"/>
                        </a:xfrm>
                        <a:prstGeom prst="snipRound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1CC7695" w14:textId="77777777" w:rsidR="002C2390" w:rsidRPr="002F70D1" w:rsidRDefault="002C2390" w:rsidP="003C0A7E">
                            <w:pPr>
                              <w:spacing w:after="0" w:line="240" w:lineRule="auto"/>
                              <w:jc w:val="center"/>
                              <w:rPr>
                                <w:rFonts w:ascii="Segoe UI" w:hAnsi="Segoe UI" w:cs="Segoe UI"/>
                                <w:color w:val="1F4E79" w:themeColor="accent1" w:themeShade="80"/>
                                <w:sz w:val="18"/>
                                <w:szCs w:val="18"/>
                              </w:rPr>
                            </w:pPr>
                            <w:r w:rsidRPr="002F70D1">
                              <w:rPr>
                                <w:rFonts w:ascii="Segoe UI" w:hAnsi="Segoe UI" w:cs="Segoe UI"/>
                                <w:color w:val="1F4E79" w:themeColor="accent1" w:themeShade="80"/>
                                <w:sz w:val="18"/>
                                <w:szCs w:val="18"/>
                              </w:rPr>
                              <w:t>Ambiti – Aspetti – Disclosure sull’approccio gestionale + Indicatori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43ECA791" id="Rettangolo con angoli in alto, uno arrotondato e uno ritagliato 15" o:spid="_x0000_s1026" style="width:425.2pt;height:28.35pt;visibility:visible;mso-wrap-style:square;mso-left-percent:-10001;mso-top-percent:-10001;mso-position-horizontal:absolute;mso-position-horizontal-relative:char;mso-position-vertical:absolute;mso-position-vertical-relative:line;mso-left-percent:-10001;mso-top-percent:-10001;v-text-anchor:middle" coordsize="5400000,36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" adj="-11796480,,5400" path="m60001,l5339999,r60001,60001l5400000,360000,,360000,,60001c,26863,26863,,60001,xe" fillcolor="#d8d8d8 [2732]" strokecolor="#1f4d78 [1604]" strokeweight="1pt">
                <v:stroke joinstyle="miter"/>
                <v:formulas/>
                <v:path arrowok="t" o:connecttype="custom" o:connectlocs="60001,0;5339999,0;5400000,60001;5400000,360000;0,360000;0,60001;60001,0" o:connectangles="0,0,0,0,0,0,0" textboxrect="0,0,5400000,360000"/>
                <v:textbox>
                  <w:txbxContent>
                    <w:p w14:paraId="01CC7695" w14:textId="77777777" w:rsidR="002C2390" w:rsidRPr="002F70D1" w:rsidRDefault="002C2390" w:rsidP="003C0A7E">
                      <w:pPr>
                        <w:spacing w:after="0" w:line="240" w:lineRule="auto"/>
                        <w:jc w:val="center"/>
                        <w:rPr>
                          <w:rFonts w:ascii="Segoe UI" w:hAnsi="Segoe UI" w:cs="Segoe UI"/>
                          <w:color w:val="1F4E79" w:themeColor="accent1" w:themeShade="80"/>
                          <w:sz w:val="18"/>
                          <w:szCs w:val="18"/>
                        </w:rPr>
                      </w:pPr>
                      <w:r w:rsidRPr="002F70D1">
                        <w:rPr>
                          <w:rFonts w:ascii="Segoe UI" w:hAnsi="Segoe UI" w:cs="Segoe UI"/>
                          <w:color w:val="1F4E79" w:themeColor="accent1" w:themeShade="80"/>
                          <w:sz w:val="18"/>
                          <w:szCs w:val="18"/>
                        </w:rPr>
                        <w:t>Ambiti – Aspetti – Disclosure sull’approccio gestionale + Indicatori</w:t>
                      </w:r>
                    </w:p>
                  </w:txbxContent>
                </v:textbox>
                <w10:anchorlock/>
              </v:shape>
            </w:pict>
          </mc:Fallback>
        </mc:AlternateContent>
      </w:r>
    </w:p>
    <w:p w14:paraId="48F89C8E" w14:textId="77777777" w:rsidR="003C0A7E" w:rsidRPr="002F70D1" w:rsidRDefault="003C0A7E" w:rsidP="003C0A7E">
      <w:pPr>
        <w:keepNext/>
        <w:keepLines/>
        <w:spacing w:before="120" w:after="120" w:line="240" w:lineRule="auto"/>
        <w:jc w:val="center"/>
        <w:rPr>
          <w:rFonts w:ascii="Segoe UI" w:hAnsi="Segoe UI" w:cs="Segoe UI"/>
          <w:sz w:val="20"/>
          <w:szCs w:val="20"/>
        </w:rPr>
      </w:pPr>
      <w:r w:rsidRPr="002F70D1">
        <w:rPr>
          <w:rFonts w:ascii="Segoe UI" w:hAnsi="Segoe UI" w:cs="Segoe UI"/>
          <w:noProof/>
          <w:sz w:val="20"/>
          <w:szCs w:val="20"/>
          <w:lang w:eastAsia="it-IT"/>
        </w:rPr>
        <mc:AlternateContent>
          <mc:Choice Requires="wps">
            <w:drawing>
              <wp:anchor distT="0" distB="0" distL="114300" distR="114300" simplePos="0" relativeHeight="251667456" behindDoc="0" locked="0" layoutInCell="1" allowOverlap="1" wp14:anchorId="40773D75" wp14:editId="1DF3055F">
                <wp:simplePos x="0" y="0"/>
                <wp:positionH relativeFrom="margin">
                  <wp:posOffset>2124710</wp:posOffset>
                </wp:positionH>
                <wp:positionV relativeFrom="paragraph">
                  <wp:posOffset>1783715</wp:posOffset>
                </wp:positionV>
                <wp:extent cx="1872000" cy="431800"/>
                <wp:effectExtent l="19050" t="0" r="33020" b="25400"/>
                <wp:wrapNone/>
                <wp:docPr id="18" name="Freccia a gallone 2"/>
                <wp:cNvGraphicFramePr/>
                <a:graphic xmlns:a="http://schemas.openxmlformats.org/drawingml/2006/main">
                  <a:graphicData uri="http://schemas.microsoft.com/office/word/2010/wordprocessingShape">
                    <wps:wsp>
                      <wps:cNvSpPr/>
                      <wps:spPr>
                        <a:xfrm flipH="1">
                          <a:off x="0" y="0"/>
                          <a:ext cx="1872000" cy="431800"/>
                        </a:xfrm>
                        <a:prstGeom prst="chevron">
                          <a:avLst/>
                        </a:prstGeom>
                      </wps:spPr>
                      <wps:style>
                        <a:lnRef idx="3">
                          <a:schemeClr val="lt1"/>
                        </a:lnRef>
                        <a:fillRef idx="1">
                          <a:schemeClr val="accent5"/>
                        </a:fillRef>
                        <a:effectRef idx="1">
                          <a:schemeClr val="accent5"/>
                        </a:effectRef>
                        <a:fontRef idx="minor">
                          <a:schemeClr val="lt1"/>
                        </a:fontRef>
                      </wps:style>
                      <wps:txbx>
                        <w:txbxContent>
                          <w:p w14:paraId="1051DFB4"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Fase 4</w:t>
                            </w:r>
                          </w:p>
                          <w:p w14:paraId="2FFFA9E0"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Revisione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773D75"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Freccia a gallone 2" o:spid="_x0000_s1027" type="#_x0000_t55" style="position:absolute;left:0;text-align:left;margin-left:167.3pt;margin-top:140.45pt;width:147.4pt;height:34pt;flip:x;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" adj="19109" fillcolor="#4472c4 [3208]" strokecolor="white [3201]" strokeweight="1.5pt">
                <v:textbox>
                  <w:txbxContent>
                    <w:p w14:paraId="1051DFB4"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Fase 4</w:t>
                      </w:r>
                    </w:p>
                    <w:p w14:paraId="2FFFA9E0"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Revisione</w:t>
                      </w:r>
                    </w:p>
                  </w:txbxContent>
                </v:textbox>
                <w10:wrap anchorx="margin"/>
              </v:shape>
            </w:pict>
          </mc:Fallback>
        </mc:AlternateContent>
      </w:r>
      <w:r w:rsidRPr="002F70D1">
        <w:rPr>
          <w:rFonts w:ascii="Segoe UI" w:hAnsi="Segoe UI" w:cs="Segoe UI"/>
          <w:noProof/>
          <w:sz w:val="20"/>
          <w:szCs w:val="20"/>
          <w:lang w:eastAsia="it-IT"/>
        </w:rPr>
        <mc:AlternateContent>
          <mc:Choice Requires="wps">
            <w:drawing>
              <wp:anchor distT="0" distB="0" distL="114300" distR="114300" simplePos="0" relativeHeight="251657216" behindDoc="0" locked="0" layoutInCell="1" allowOverlap="1" wp14:anchorId="20EA1A0C" wp14:editId="0F21CE07">
                <wp:simplePos x="0" y="0"/>
                <wp:positionH relativeFrom="column">
                  <wp:posOffset>1223010</wp:posOffset>
                </wp:positionH>
                <wp:positionV relativeFrom="paragraph">
                  <wp:posOffset>2345690</wp:posOffset>
                </wp:positionV>
                <wp:extent cx="1799590" cy="431800"/>
                <wp:effectExtent l="57150" t="38100" r="29210" b="82550"/>
                <wp:wrapNone/>
                <wp:docPr id="19" name="Rettangolo 19"/>
                <wp:cNvGraphicFramePr/>
                <a:graphic xmlns:a="http://schemas.openxmlformats.org/drawingml/2006/main">
                  <a:graphicData uri="http://schemas.microsoft.com/office/word/2010/wordprocessingShape">
                    <wps:wsp>
                      <wps:cNvSpPr/>
                      <wps:spPr>
                        <a:xfrm>
                          <a:off x="0" y="0"/>
                          <a:ext cx="1799590" cy="431800"/>
                        </a:xfrm>
                        <a:prstGeom prst="rect">
                          <a:avLst/>
                        </a:prstGeom>
                        <a:solidFill>
                          <a:schemeClr val="accent6">
                            <a:lumMod val="40000"/>
                            <a:lumOff val="60000"/>
                          </a:schemeClr>
                        </a:solidFill>
                        <a:ln>
                          <a:noFill/>
                        </a:ln>
                        <a:effectLst>
                          <a:outerShdw blurRad="50800" dist="38100" dir="8100000" algn="tr" rotWithShape="0">
                            <a:prstClr val="black">
                              <a:alpha val="40000"/>
                            </a:prstClr>
                          </a:outerShdw>
                          <a:softEdge rad="31750"/>
                        </a:effectLst>
                      </wps:spPr>
                      <wps:style>
                        <a:lnRef idx="2">
                          <a:schemeClr val="accent6"/>
                        </a:lnRef>
                        <a:fillRef idx="1">
                          <a:schemeClr val="lt1"/>
                        </a:fillRef>
                        <a:effectRef idx="0">
                          <a:schemeClr val="accent6"/>
                        </a:effectRef>
                        <a:fontRef idx="minor">
                          <a:schemeClr val="dk1"/>
                        </a:fontRef>
                      </wps:style>
                      <wps:txbx>
                        <w:txbxContent>
                          <w:p w14:paraId="610D70EC"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Contesto di sostenibilità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EA1A0C" id="Rettangolo 19" o:spid="_x0000_s1028" style="position:absolute;left:0;text-align:left;margin-left:96.3pt;margin-top:184.7pt;width:141.7pt;height:3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" fillcolor="#c5e0b3 [1305]" stroked="f" strokeweight="1pt">
                <v:shadow on="t" color="black" opacity="26214f" origin=".5,-.5" offset="-.74836mm,.74836mm"/>
                <v:textbox>
                  <w:txbxContent>
                    <w:p w14:paraId="610D70EC"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Contesto di sostenibilità</w:t>
                      </w:r>
                    </w:p>
                  </w:txbxContent>
                </v:textbox>
              </v:rect>
            </w:pict>
          </mc:Fallback>
        </mc:AlternateContent>
      </w:r>
      <w:r w:rsidRPr="002F70D1">
        <w:rPr>
          <w:rFonts w:ascii="Segoe UI" w:hAnsi="Segoe UI" w:cs="Segoe UI"/>
          <w:noProof/>
          <w:sz w:val="20"/>
          <w:szCs w:val="20"/>
          <w:lang w:eastAsia="it-IT"/>
        </w:rPr>
        <mc:AlternateContent>
          <mc:Choice Requires="wps">
            <w:drawing>
              <wp:anchor distT="0" distB="0" distL="114300" distR="114300" simplePos="0" relativeHeight="251656192" behindDoc="0" locked="0" layoutInCell="1" allowOverlap="1" wp14:anchorId="2C39AEA9" wp14:editId="1EE9A515">
                <wp:simplePos x="0" y="0"/>
                <wp:positionH relativeFrom="column">
                  <wp:posOffset>3102610</wp:posOffset>
                </wp:positionH>
                <wp:positionV relativeFrom="paragraph">
                  <wp:posOffset>2345690</wp:posOffset>
                </wp:positionV>
                <wp:extent cx="1799590" cy="431800"/>
                <wp:effectExtent l="38100" t="38100" r="48260" b="82550"/>
                <wp:wrapNone/>
                <wp:docPr id="20" name="Rettangolo 20"/>
                <wp:cNvGraphicFramePr/>
                <a:graphic xmlns:a="http://schemas.openxmlformats.org/drawingml/2006/main">
                  <a:graphicData uri="http://schemas.microsoft.com/office/word/2010/wordprocessingShape">
                    <wps:wsp>
                      <wps:cNvSpPr/>
                      <wps:spPr>
                        <a:xfrm>
                          <a:off x="0" y="0"/>
                          <a:ext cx="1799590" cy="431800"/>
                        </a:xfrm>
                        <a:prstGeom prst="rect">
                          <a:avLst/>
                        </a:prstGeom>
                        <a:solidFill>
                          <a:schemeClr val="accent6">
                            <a:lumMod val="40000"/>
                            <a:lumOff val="60000"/>
                          </a:schemeClr>
                        </a:solidFill>
                        <a:ln w="12700" cap="flat" cmpd="sng" algn="ctr">
                          <a:noFill/>
                          <a:prstDash val="solid"/>
                          <a:miter lim="800000"/>
                        </a:ln>
                        <a:effectLst>
                          <a:outerShdw blurRad="50800" dist="38100" dir="2700000" algn="tl" rotWithShape="0">
                            <a:prstClr val="black">
                              <a:alpha val="40000"/>
                            </a:prstClr>
                          </a:outerShdw>
                          <a:softEdge rad="31750"/>
                        </a:effectLst>
                      </wps:spPr>
                      <wps:txbx>
                        <w:txbxContent>
                          <w:p w14:paraId="5854C74A"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Inclusività degli stakeholder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39AEA9" id="Rettangolo 20" o:spid="_x0000_s1029" style="position:absolute;left:0;text-align:left;margin-left:244.3pt;margin-top:184.7pt;width:141.7pt;height:3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" fillcolor="#c5e0b3 [1305]" stroked="f" strokeweight="1pt">
                <v:shadow on="t" color="black" opacity="26214f" origin="-.5,-.5" offset=".74836mm,.74836mm"/>
                <v:textbox>
                  <w:txbxContent>
                    <w:p w14:paraId="5854C74A"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Inclusività degli stakeholder</w:t>
                      </w:r>
                    </w:p>
                  </w:txbxContent>
                </v:textbox>
              </v:rect>
            </w:pict>
          </mc:Fallback>
        </mc:AlternateContent>
      </w:r>
      <w:r w:rsidRPr="002F70D1">
        <w:rPr>
          <w:rFonts w:ascii="Segoe UI" w:hAnsi="Segoe UI" w:cs="Segoe UI"/>
          <w:noProof/>
          <w:sz w:val="20"/>
          <w:szCs w:val="20"/>
          <w:lang w:eastAsia="it-IT"/>
        </w:rPr>
        <mc:AlternateContent>
          <mc:Choice Requires="wps">
            <w:drawing>
              <wp:anchor distT="0" distB="0" distL="114300" distR="114300" simplePos="0" relativeHeight="251658240" behindDoc="0" locked="0" layoutInCell="1" allowOverlap="1" wp14:anchorId="4319E9B4" wp14:editId="046ED57F">
                <wp:simplePos x="0" y="0"/>
                <wp:positionH relativeFrom="margin">
                  <wp:posOffset>605155</wp:posOffset>
                </wp:positionH>
                <wp:positionV relativeFrom="paragraph">
                  <wp:posOffset>1224915</wp:posOffset>
                </wp:positionV>
                <wp:extent cx="4877435" cy="431800"/>
                <wp:effectExtent l="38100" t="95250" r="37465" b="25400"/>
                <wp:wrapNone/>
                <wp:docPr id="21" name="Rettangolo 21"/>
                <wp:cNvGraphicFramePr/>
                <a:graphic xmlns:a="http://schemas.openxmlformats.org/drawingml/2006/main">
                  <a:graphicData uri="http://schemas.microsoft.com/office/word/2010/wordprocessingShape">
                    <wps:wsp>
                      <wps:cNvSpPr/>
                      <wps:spPr>
                        <a:xfrm>
                          <a:off x="0" y="0"/>
                          <a:ext cx="4877435" cy="431800"/>
                        </a:xfrm>
                        <a:prstGeom prst="rect">
                          <a:avLst/>
                        </a:prstGeom>
                        <a:solidFill>
                          <a:schemeClr val="accent6">
                            <a:lumMod val="40000"/>
                            <a:lumOff val="60000"/>
                          </a:schemeClr>
                        </a:solidFill>
                        <a:ln w="12700" cap="flat" cmpd="sng" algn="ctr">
                          <a:noFill/>
                          <a:prstDash val="solid"/>
                          <a:miter lim="800000"/>
                        </a:ln>
                        <a:effectLst>
                          <a:outerShdw blurRad="50800" dist="38100" dir="16200000" rotWithShape="0">
                            <a:prstClr val="black">
                              <a:alpha val="40000"/>
                            </a:prstClr>
                          </a:outerShdw>
                          <a:softEdge rad="31750"/>
                        </a:effectLst>
                      </wps:spPr>
                      <wps:txbx>
                        <w:txbxContent>
                          <w:p w14:paraId="6DD5D8C5"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Inclusività degli stakeholder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19E9B4" id="Rettangolo 21" o:spid="_x0000_s1030" style="position:absolute;left:0;text-align:left;margin-left:47.65pt;margin-top:96.45pt;width:384.05pt;height:3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" fillcolor="#c5e0b3 [1305]" stroked="f" strokeweight="1pt">
                <v:shadow on="t" color="black" opacity="26214f" origin=",.5" offset="0,-3pt"/>
                <v:textbox>
                  <w:txbxContent>
                    <w:p w14:paraId="6DD5D8C5"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Inclusività degli stakeholder</w:t>
                      </w:r>
                    </w:p>
                  </w:txbxContent>
                </v:textbox>
                <w10:wrap anchorx="margin"/>
              </v:rect>
            </w:pict>
          </mc:Fallback>
        </mc:AlternateContent>
      </w:r>
      <w:r w:rsidRPr="002F70D1">
        <w:rPr>
          <w:rFonts w:ascii="Segoe UI" w:hAnsi="Segoe UI" w:cs="Segoe UI"/>
          <w:noProof/>
          <w:sz w:val="20"/>
          <w:szCs w:val="20"/>
          <w:lang w:eastAsia="it-IT"/>
        </w:rPr>
        <mc:AlternateContent>
          <mc:Choice Requires="wps">
            <w:drawing>
              <wp:anchor distT="0" distB="0" distL="114300" distR="114300" simplePos="0" relativeHeight="251664384" behindDoc="0" locked="0" layoutInCell="1" allowOverlap="1" wp14:anchorId="075C36B5" wp14:editId="2B012BD3">
                <wp:simplePos x="0" y="0"/>
                <wp:positionH relativeFrom="column">
                  <wp:posOffset>603885</wp:posOffset>
                </wp:positionH>
                <wp:positionV relativeFrom="paragraph">
                  <wp:posOffset>697865</wp:posOffset>
                </wp:positionV>
                <wp:extent cx="1439545" cy="431800"/>
                <wp:effectExtent l="57150" t="38100" r="46355" b="82550"/>
                <wp:wrapNone/>
                <wp:docPr id="22" name="Rettangolo 22"/>
                <wp:cNvGraphicFramePr/>
                <a:graphic xmlns:a="http://schemas.openxmlformats.org/drawingml/2006/main">
                  <a:graphicData uri="http://schemas.microsoft.com/office/word/2010/wordprocessingShape">
                    <wps:wsp>
                      <wps:cNvSpPr/>
                      <wps:spPr>
                        <a:xfrm>
                          <a:off x="0" y="0"/>
                          <a:ext cx="1439545" cy="431800"/>
                        </a:xfrm>
                        <a:prstGeom prst="rect">
                          <a:avLst/>
                        </a:prstGeom>
                        <a:solidFill>
                          <a:schemeClr val="accent6">
                            <a:lumMod val="40000"/>
                            <a:lumOff val="60000"/>
                          </a:schemeClr>
                        </a:solidFill>
                        <a:ln>
                          <a:noFill/>
                        </a:ln>
                        <a:effectLst>
                          <a:outerShdw blurRad="50800" dist="38100" dir="8100000" algn="tr" rotWithShape="0">
                            <a:prstClr val="black">
                              <a:alpha val="40000"/>
                            </a:prstClr>
                          </a:outerShdw>
                          <a:softEdge rad="31750"/>
                        </a:effectLst>
                      </wps:spPr>
                      <wps:style>
                        <a:lnRef idx="2">
                          <a:schemeClr val="accent6"/>
                        </a:lnRef>
                        <a:fillRef idx="1">
                          <a:schemeClr val="lt1"/>
                        </a:fillRef>
                        <a:effectRef idx="0">
                          <a:schemeClr val="accent6"/>
                        </a:effectRef>
                        <a:fontRef idx="minor">
                          <a:schemeClr val="dk1"/>
                        </a:fontRef>
                      </wps:style>
                      <wps:txbx>
                        <w:txbxContent>
                          <w:p w14:paraId="0BC82233"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Contesto di sostenibilità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5C36B5" id="Rettangolo 22" o:spid="_x0000_s1031" style="position:absolute;left:0;text-align:left;margin-left:47.55pt;margin-top:54.95pt;width:113.35pt;height:3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" fillcolor="#c5e0b3 [1305]" stroked="f" strokeweight="1pt">
                <v:shadow on="t" color="black" opacity="26214f" origin=".5,-.5" offset="-.74836mm,.74836mm"/>
                <v:textbox>
                  <w:txbxContent>
                    <w:p w14:paraId="0BC82233"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Contesto di sostenibilità</w:t>
                      </w:r>
                    </w:p>
                  </w:txbxContent>
                </v:textbox>
              </v:rect>
            </w:pict>
          </mc:Fallback>
        </mc:AlternateContent>
      </w:r>
      <w:r w:rsidRPr="002F70D1">
        <w:rPr>
          <w:rFonts w:ascii="Segoe UI" w:hAnsi="Segoe UI" w:cs="Segoe UI"/>
          <w:noProof/>
          <w:sz w:val="20"/>
          <w:szCs w:val="20"/>
          <w:lang w:eastAsia="it-IT"/>
        </w:rPr>
        <mc:AlternateContent>
          <mc:Choice Requires="wps">
            <w:drawing>
              <wp:anchor distT="0" distB="0" distL="114300" distR="114300" simplePos="0" relativeHeight="251659264" behindDoc="0" locked="0" layoutInCell="1" allowOverlap="1" wp14:anchorId="06B95AE5" wp14:editId="66FB0A74">
                <wp:simplePos x="0" y="0"/>
                <wp:positionH relativeFrom="column">
                  <wp:posOffset>4051300</wp:posOffset>
                </wp:positionH>
                <wp:positionV relativeFrom="paragraph">
                  <wp:posOffset>699135</wp:posOffset>
                </wp:positionV>
                <wp:extent cx="1439545" cy="431800"/>
                <wp:effectExtent l="38100" t="38100" r="65405" b="82550"/>
                <wp:wrapNone/>
                <wp:docPr id="23" name="Rettangolo 23"/>
                <wp:cNvGraphicFramePr/>
                <a:graphic xmlns:a="http://schemas.openxmlformats.org/drawingml/2006/main">
                  <a:graphicData uri="http://schemas.microsoft.com/office/word/2010/wordprocessingShape">
                    <wps:wsp>
                      <wps:cNvSpPr/>
                      <wps:spPr>
                        <a:xfrm>
                          <a:off x="0" y="0"/>
                          <a:ext cx="1439545" cy="431800"/>
                        </a:xfrm>
                        <a:prstGeom prst="rect">
                          <a:avLst/>
                        </a:prstGeom>
                        <a:solidFill>
                          <a:schemeClr val="accent6">
                            <a:lumMod val="40000"/>
                            <a:lumOff val="60000"/>
                          </a:schemeClr>
                        </a:solidFill>
                        <a:ln w="12700" cap="flat" cmpd="sng" algn="ctr">
                          <a:noFill/>
                          <a:prstDash val="solid"/>
                          <a:miter lim="800000"/>
                        </a:ln>
                        <a:effectLst>
                          <a:outerShdw blurRad="50800" dist="38100" dir="2700000" algn="tl" rotWithShape="0">
                            <a:prstClr val="black">
                              <a:alpha val="40000"/>
                            </a:prstClr>
                          </a:outerShdw>
                          <a:softEdge rad="31750"/>
                        </a:effectLst>
                      </wps:spPr>
                      <wps:txbx>
                        <w:txbxContent>
                          <w:p w14:paraId="578C6D36"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Completezza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B95AE5" id="Rettangolo 23" o:spid="_x0000_s1032" style="position:absolute;left:0;text-align:left;margin-left:319pt;margin-top:55.05pt;width:113.35pt;height: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" fillcolor="#c5e0b3 [1305]" stroked="f" strokeweight="1pt">
                <v:shadow on="t" color="black" opacity="26214f" origin="-.5,-.5" offset=".74836mm,.74836mm"/>
                <v:textbox>
                  <w:txbxContent>
                    <w:p w14:paraId="578C6D36"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Completezza</w:t>
                      </w:r>
                    </w:p>
                  </w:txbxContent>
                </v:textbox>
              </v:rect>
            </w:pict>
          </mc:Fallback>
        </mc:AlternateContent>
      </w:r>
      <w:r w:rsidRPr="002F70D1">
        <w:rPr>
          <w:rFonts w:ascii="Segoe UI" w:hAnsi="Segoe UI" w:cs="Segoe UI"/>
          <w:noProof/>
          <w:sz w:val="20"/>
          <w:szCs w:val="20"/>
          <w:lang w:eastAsia="it-IT"/>
        </w:rPr>
        <mc:AlternateContent>
          <mc:Choice Requires="wps">
            <w:drawing>
              <wp:anchor distT="0" distB="0" distL="114300" distR="114300" simplePos="0" relativeHeight="251665408" behindDoc="0" locked="0" layoutInCell="1" allowOverlap="1" wp14:anchorId="3A98D21F" wp14:editId="47CCE4F3">
                <wp:simplePos x="0" y="0"/>
                <wp:positionH relativeFrom="margin">
                  <wp:posOffset>2112010</wp:posOffset>
                </wp:positionH>
                <wp:positionV relativeFrom="paragraph">
                  <wp:posOffset>704215</wp:posOffset>
                </wp:positionV>
                <wp:extent cx="1872000" cy="431800"/>
                <wp:effectExtent l="0" t="0" r="13970" b="25400"/>
                <wp:wrapNone/>
                <wp:docPr id="24" name="Rettangolo 24"/>
                <wp:cNvGraphicFramePr/>
                <a:graphic xmlns:a="http://schemas.openxmlformats.org/drawingml/2006/main">
                  <a:graphicData uri="http://schemas.microsoft.com/office/word/2010/wordprocessingShape">
                    <wps:wsp>
                      <wps:cNvSpPr/>
                      <wps:spPr>
                        <a:xfrm>
                          <a:off x="0" y="0"/>
                          <a:ext cx="1872000" cy="431800"/>
                        </a:xfrm>
                        <a:prstGeom prst="rect">
                          <a:avLst/>
                        </a:prstGeom>
                        <a:noFill/>
                        <a:ln w="9525" cap="flat" cmpd="sng" algn="ctr">
                          <a:solidFill>
                            <a:srgbClr val="C00000"/>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txbx>
                        <w:txbxContent>
                          <w:p w14:paraId="4E36EE44" w14:textId="77777777" w:rsidR="002C2390" w:rsidRPr="00464132" w:rsidRDefault="002C2390" w:rsidP="003C0A7E">
                            <w:pPr>
                              <w:spacing w:after="0" w:line="240" w:lineRule="auto"/>
                              <w:jc w:val="center"/>
                              <w:rPr>
                                <w:rFonts w:ascii="Segoe UI" w:hAnsi="Segoe UI" w:cs="Segoe UI"/>
                                <w:color w:val="C00000"/>
                                <w:sz w:val="18"/>
                                <w:szCs w:val="18"/>
                              </w:rPr>
                            </w:pPr>
                            <w:r w:rsidRPr="00464132">
                              <w:rPr>
                                <w:rFonts w:ascii="Segoe UI" w:hAnsi="Segoe UI" w:cs="Segoe UI"/>
                                <w:color w:val="C00000"/>
                                <w:sz w:val="18"/>
                                <w:szCs w:val="18"/>
                              </w:rPr>
                              <w:t>Materialità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98D21F" id="Rettangolo 24" o:spid="_x0000_s1033" style="position:absolute;left:0;text-align:left;margin-left:166.3pt;margin-top:55.45pt;width:147.4pt;height:34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" filled="f" strokecolor="#c00000">
                <v:stroke joinstyle="round"/>
                <v:textbox>
                  <w:txbxContent>
                    <w:p w14:paraId="4E36EE44" w14:textId="77777777" w:rsidR="002C2390" w:rsidRPr="00464132" w:rsidRDefault="002C2390" w:rsidP="003C0A7E">
                      <w:pPr>
                        <w:spacing w:after="0" w:line="240" w:lineRule="auto"/>
                        <w:jc w:val="center"/>
                        <w:rPr>
                          <w:rFonts w:ascii="Segoe UI" w:hAnsi="Segoe UI" w:cs="Segoe UI"/>
                          <w:color w:val="C00000"/>
                          <w:sz w:val="18"/>
                          <w:szCs w:val="18"/>
                        </w:rPr>
                      </w:pPr>
                      <w:r w:rsidRPr="00464132">
                        <w:rPr>
                          <w:rFonts w:ascii="Segoe UI" w:hAnsi="Segoe UI" w:cs="Segoe UI"/>
                          <w:color w:val="C00000"/>
                          <w:sz w:val="18"/>
                          <w:szCs w:val="18"/>
                        </w:rPr>
                        <w:t>Materialità</w:t>
                      </w:r>
                    </w:p>
                  </w:txbxContent>
                </v:textbox>
                <w10:wrap anchorx="margin"/>
              </v:rect>
            </w:pict>
          </mc:Fallback>
        </mc:AlternateContent>
      </w:r>
      <w:r w:rsidRPr="002F70D1">
        <w:rPr>
          <w:rFonts w:ascii="Segoe UI" w:hAnsi="Segoe UI" w:cs="Segoe UI"/>
          <w:noProof/>
          <w:sz w:val="20"/>
          <w:szCs w:val="20"/>
          <w:lang w:eastAsia="it-IT"/>
        </w:rPr>
        <mc:AlternateContent>
          <mc:Choice Requires="wps">
            <w:drawing>
              <wp:anchor distT="0" distB="0" distL="114300" distR="114300" simplePos="0" relativeHeight="251660288" behindDoc="0" locked="0" layoutInCell="1" allowOverlap="1" wp14:anchorId="0BD9C14B" wp14:editId="1A780BD5">
                <wp:simplePos x="0" y="0"/>
                <wp:positionH relativeFrom="column">
                  <wp:posOffset>489585</wp:posOffset>
                </wp:positionH>
                <wp:positionV relativeFrom="paragraph">
                  <wp:posOffset>354965</wp:posOffset>
                </wp:positionV>
                <wp:extent cx="5724000" cy="1638000"/>
                <wp:effectExtent l="19050" t="19050" r="10160" b="19685"/>
                <wp:wrapNone/>
                <wp:docPr id="37" name="Rettangolo con angoli arrotondati 14"/>
                <wp:cNvGraphicFramePr/>
                <a:graphic xmlns:a="http://schemas.openxmlformats.org/drawingml/2006/main">
                  <a:graphicData uri="http://schemas.microsoft.com/office/word/2010/wordprocessingShape">
                    <wps:wsp>
                      <wps:cNvSpPr/>
                      <wps:spPr>
                        <a:xfrm>
                          <a:off x="0" y="0"/>
                          <a:ext cx="5724000" cy="1638000"/>
                        </a:xfrm>
                        <a:prstGeom prst="roundRect">
                          <a:avLst/>
                        </a:prstGeom>
                        <a:noFill/>
                        <a:ln w="41275">
                          <a:solidFill>
                            <a:schemeClr val="accent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9332A5" id="Rettangolo con angoli arrotondati 14" o:spid="_x0000_s1026" style="position:absolute;margin-left:38.55pt;margin-top:27.95pt;width:450.7pt;height:12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" filled="f" strokecolor="#4472c4 [3208]" strokeweight="3.25pt">
                <v:stroke joinstyle="miter"/>
              </v:roundrect>
            </w:pict>
          </mc:Fallback>
        </mc:AlternateContent>
      </w:r>
      <w:r w:rsidRPr="002F70D1">
        <w:rPr>
          <w:rFonts w:ascii="Segoe UI" w:hAnsi="Segoe UI" w:cs="Segoe UI"/>
          <w:noProof/>
          <w:sz w:val="20"/>
          <w:szCs w:val="20"/>
          <w:lang w:eastAsia="it-IT"/>
        </w:rPr>
        <mc:AlternateContent>
          <mc:Choice Requires="wps">
            <w:drawing>
              <wp:anchor distT="0" distB="0" distL="114300" distR="114300" simplePos="0" relativeHeight="251663360" behindDoc="0" locked="0" layoutInCell="1" allowOverlap="1" wp14:anchorId="1293F100" wp14:editId="0A6A9DC9">
                <wp:simplePos x="0" y="0"/>
                <wp:positionH relativeFrom="column">
                  <wp:posOffset>4032885</wp:posOffset>
                </wp:positionH>
                <wp:positionV relativeFrom="paragraph">
                  <wp:posOffset>142240</wp:posOffset>
                </wp:positionV>
                <wp:extent cx="1439545" cy="431800"/>
                <wp:effectExtent l="19050" t="0" r="46355" b="25400"/>
                <wp:wrapNone/>
                <wp:docPr id="38" name="Freccia a gallone 3"/>
                <wp:cNvGraphicFramePr/>
                <a:graphic xmlns:a="http://schemas.openxmlformats.org/drawingml/2006/main">
                  <a:graphicData uri="http://schemas.microsoft.com/office/word/2010/wordprocessingShape">
                    <wps:wsp>
                      <wps:cNvSpPr/>
                      <wps:spPr>
                        <a:xfrm>
                          <a:off x="0" y="0"/>
                          <a:ext cx="1439545" cy="431800"/>
                        </a:xfrm>
                        <a:prstGeom prst="chevron">
                          <a:avLst/>
                        </a:prstGeom>
                      </wps:spPr>
                      <wps:style>
                        <a:lnRef idx="3">
                          <a:schemeClr val="lt1"/>
                        </a:lnRef>
                        <a:fillRef idx="1">
                          <a:schemeClr val="accent5"/>
                        </a:fillRef>
                        <a:effectRef idx="1">
                          <a:schemeClr val="accent5"/>
                        </a:effectRef>
                        <a:fontRef idx="minor">
                          <a:schemeClr val="lt1"/>
                        </a:fontRef>
                      </wps:style>
                      <wps:txbx>
                        <w:txbxContent>
                          <w:p w14:paraId="65FB8FDE"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Fase 3</w:t>
                            </w:r>
                          </w:p>
                          <w:p w14:paraId="7ECB1335"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Convalida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93F100" id="Freccia a gallone 3" o:spid="_x0000_s1034" type="#_x0000_t55" style="position:absolute;left:0;text-align:left;margin-left:317.55pt;margin-top:11.2pt;width:113.35pt;height:3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" adj="18360" fillcolor="#4472c4 [3208]" strokecolor="white [3201]" strokeweight="1.5pt">
                <v:textbox>
                  <w:txbxContent>
                    <w:p w14:paraId="65FB8FDE"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Fase 3</w:t>
                      </w:r>
                    </w:p>
                    <w:p w14:paraId="7ECB1335"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Convalida</w:t>
                      </w:r>
                    </w:p>
                  </w:txbxContent>
                </v:textbox>
              </v:shape>
            </w:pict>
          </mc:Fallback>
        </mc:AlternateContent>
      </w:r>
      <w:r w:rsidRPr="002F70D1">
        <w:rPr>
          <w:rFonts w:ascii="Segoe UI" w:hAnsi="Segoe UI" w:cs="Segoe UI"/>
          <w:noProof/>
          <w:sz w:val="20"/>
          <w:szCs w:val="20"/>
          <w:lang w:eastAsia="it-IT"/>
        </w:rPr>
        <mc:AlternateContent>
          <mc:Choice Requires="wps">
            <w:drawing>
              <wp:anchor distT="0" distB="0" distL="114300" distR="114300" simplePos="0" relativeHeight="251661312" behindDoc="0" locked="0" layoutInCell="1" allowOverlap="1" wp14:anchorId="7123C5D1" wp14:editId="3733CC5C">
                <wp:simplePos x="0" y="0"/>
                <wp:positionH relativeFrom="column">
                  <wp:posOffset>632460</wp:posOffset>
                </wp:positionH>
                <wp:positionV relativeFrom="paragraph">
                  <wp:posOffset>142240</wp:posOffset>
                </wp:positionV>
                <wp:extent cx="1439545" cy="431800"/>
                <wp:effectExtent l="19050" t="0" r="46355" b="25400"/>
                <wp:wrapNone/>
                <wp:docPr id="39" name="Freccia a gallone 1"/>
                <wp:cNvGraphicFramePr/>
                <a:graphic xmlns:a="http://schemas.openxmlformats.org/drawingml/2006/main">
                  <a:graphicData uri="http://schemas.microsoft.com/office/word/2010/wordprocessingShape">
                    <wps:wsp>
                      <wps:cNvSpPr/>
                      <wps:spPr>
                        <a:xfrm>
                          <a:off x="0" y="0"/>
                          <a:ext cx="1439545" cy="431800"/>
                        </a:xfrm>
                        <a:prstGeom prst="chevron">
                          <a:avLst/>
                        </a:prstGeom>
                      </wps:spPr>
                      <wps:style>
                        <a:lnRef idx="3">
                          <a:schemeClr val="lt1"/>
                        </a:lnRef>
                        <a:fillRef idx="1">
                          <a:schemeClr val="accent5"/>
                        </a:fillRef>
                        <a:effectRef idx="1">
                          <a:schemeClr val="accent5"/>
                        </a:effectRef>
                        <a:fontRef idx="minor">
                          <a:schemeClr val="lt1"/>
                        </a:fontRef>
                      </wps:style>
                      <wps:txbx>
                        <w:txbxContent>
                          <w:p w14:paraId="34C51494"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Fase 1</w:t>
                            </w:r>
                          </w:p>
                          <w:p w14:paraId="07B34F94"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Identificazione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23C5D1" id="Freccia a gallone 1" o:spid="_x0000_s1035" type="#_x0000_t55" style="position:absolute;left:0;text-align:left;margin-left:49.8pt;margin-top:11.2pt;width:113.35pt;height: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" adj="18360" fillcolor="#4472c4 [3208]" strokecolor="white [3201]" strokeweight="1.5pt">
                <v:textbox>
                  <w:txbxContent>
                    <w:p w14:paraId="34C51494"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Fase 1</w:t>
                      </w:r>
                    </w:p>
                    <w:p w14:paraId="07B34F94"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Identificazione</w:t>
                      </w:r>
                    </w:p>
                  </w:txbxContent>
                </v:textbox>
              </v:shape>
            </w:pict>
          </mc:Fallback>
        </mc:AlternateContent>
      </w:r>
      <w:r w:rsidRPr="002F70D1">
        <w:rPr>
          <w:rFonts w:ascii="Segoe UI" w:hAnsi="Segoe UI" w:cs="Segoe UI"/>
          <w:noProof/>
          <w:sz w:val="20"/>
          <w:szCs w:val="20"/>
          <w:lang w:eastAsia="it-IT"/>
        </w:rPr>
        <mc:AlternateContent>
          <mc:Choice Requires="wps">
            <w:drawing>
              <wp:anchor distT="0" distB="0" distL="114300" distR="114300" simplePos="0" relativeHeight="251662336" behindDoc="0" locked="0" layoutInCell="1" allowOverlap="1" wp14:anchorId="4271ADB1" wp14:editId="5933C2EE">
                <wp:simplePos x="0" y="0"/>
                <wp:positionH relativeFrom="margin">
                  <wp:posOffset>2069465</wp:posOffset>
                </wp:positionH>
                <wp:positionV relativeFrom="paragraph">
                  <wp:posOffset>142240</wp:posOffset>
                </wp:positionV>
                <wp:extent cx="1979930" cy="431800"/>
                <wp:effectExtent l="19050" t="0" r="39370" b="25400"/>
                <wp:wrapNone/>
                <wp:docPr id="40" name="Freccia a gallone 2"/>
                <wp:cNvGraphicFramePr/>
                <a:graphic xmlns:a="http://schemas.openxmlformats.org/drawingml/2006/main">
                  <a:graphicData uri="http://schemas.microsoft.com/office/word/2010/wordprocessingShape">
                    <wps:wsp>
                      <wps:cNvSpPr/>
                      <wps:spPr>
                        <a:xfrm>
                          <a:off x="0" y="0"/>
                          <a:ext cx="1979930" cy="431800"/>
                        </a:xfrm>
                        <a:prstGeom prst="chevron">
                          <a:avLst/>
                        </a:prstGeom>
                      </wps:spPr>
                      <wps:style>
                        <a:lnRef idx="3">
                          <a:schemeClr val="lt1"/>
                        </a:lnRef>
                        <a:fillRef idx="1">
                          <a:schemeClr val="accent5"/>
                        </a:fillRef>
                        <a:effectRef idx="1">
                          <a:schemeClr val="accent5"/>
                        </a:effectRef>
                        <a:fontRef idx="minor">
                          <a:schemeClr val="lt1"/>
                        </a:fontRef>
                      </wps:style>
                      <wps:txbx>
                        <w:txbxContent>
                          <w:p w14:paraId="04A544C8"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Fase 2</w:t>
                            </w:r>
                          </w:p>
                          <w:p w14:paraId="534C6860"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Determinazione priorità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71ADB1" id="_x0000_s1036" type="#_x0000_t55" style="position:absolute;left:0;text-align:left;margin-left:162.95pt;margin-top:11.2pt;width:155.9pt;height:34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" adj="19245" fillcolor="#4472c4 [3208]" strokecolor="white [3201]" strokeweight="1.5pt">
                <v:textbox>
                  <w:txbxContent>
                    <w:p w14:paraId="04A544C8"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Fase 2</w:t>
                      </w:r>
                    </w:p>
                    <w:p w14:paraId="534C6860"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Determinazione priorità</w:t>
                      </w:r>
                    </w:p>
                  </w:txbxContent>
                </v:textbox>
                <w10:wrap anchorx="margin"/>
              </v:shape>
            </w:pict>
          </mc:Fallback>
        </mc:AlternateContent>
      </w:r>
      <w:r w:rsidRPr="002F70D1">
        <w:rPr>
          <w:rFonts w:ascii="Segoe UI" w:hAnsi="Segoe UI" w:cs="Segoe UI"/>
          <w:noProof/>
          <w:sz w:val="20"/>
          <w:szCs w:val="20"/>
          <w:lang w:eastAsia="it-IT"/>
        </w:rPr>
        <mc:AlternateContent>
          <mc:Choice Requires="wps">
            <w:drawing>
              <wp:anchor distT="0" distB="0" distL="114300" distR="114300" simplePos="0" relativeHeight="251666432" behindDoc="0" locked="0" layoutInCell="1" allowOverlap="1" wp14:anchorId="78B16D3E" wp14:editId="31CA18AD">
                <wp:simplePos x="0" y="0"/>
                <wp:positionH relativeFrom="margin">
                  <wp:posOffset>5824855</wp:posOffset>
                </wp:positionH>
                <wp:positionV relativeFrom="paragraph">
                  <wp:posOffset>770890</wp:posOffset>
                </wp:positionV>
                <wp:extent cx="756000" cy="756000"/>
                <wp:effectExtent l="0" t="0" r="25400" b="25400"/>
                <wp:wrapNone/>
                <wp:docPr id="41" name="Rettangolo 41"/>
                <wp:cNvGraphicFramePr/>
                <a:graphic xmlns:a="http://schemas.openxmlformats.org/drawingml/2006/main">
                  <a:graphicData uri="http://schemas.microsoft.com/office/word/2010/wordprocessingShape">
                    <wps:wsp>
                      <wps:cNvSpPr/>
                      <wps:spPr>
                        <a:xfrm>
                          <a:off x="0" y="0"/>
                          <a:ext cx="756000" cy="756000"/>
                        </a:xfrm>
                        <a:prstGeom prst="rect">
                          <a:avLst/>
                        </a:prstGeom>
                      </wps:spPr>
                      <wps:style>
                        <a:lnRef idx="3">
                          <a:schemeClr val="lt1"/>
                        </a:lnRef>
                        <a:fillRef idx="1">
                          <a:schemeClr val="accent4"/>
                        </a:fillRef>
                        <a:effectRef idx="1">
                          <a:schemeClr val="accent4"/>
                        </a:effectRef>
                        <a:fontRef idx="minor">
                          <a:schemeClr val="lt1"/>
                        </a:fontRef>
                      </wps:style>
                      <wps:txbx>
                        <w:txbxContent>
                          <w:p w14:paraId="6564A18A"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Report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16D3E" id="Rettangolo 41" o:spid="_x0000_s1037" style="position:absolute;left:0;text-align:left;margin-left:458.65pt;margin-top:60.7pt;width:59.55pt;height:59.5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" fillcolor="#ffc000 [3207]" strokecolor="white [3201]" strokeweight="1.5pt">
                <v:textbox>
                  <w:txbxContent>
                    <w:p w14:paraId="6564A18A" w14:textId="77777777" w:rsidR="002C2390" w:rsidRPr="002F70D1" w:rsidRDefault="002C2390" w:rsidP="003C0A7E">
                      <w:pPr>
                        <w:spacing w:after="0" w:line="240" w:lineRule="auto"/>
                        <w:jc w:val="center"/>
                        <w:rPr>
                          <w:rFonts w:ascii="Segoe UI" w:hAnsi="Segoe UI" w:cs="Segoe UI"/>
                          <w:sz w:val="18"/>
                          <w:szCs w:val="18"/>
                        </w:rPr>
                      </w:pPr>
                      <w:r w:rsidRPr="002F70D1">
                        <w:rPr>
                          <w:rFonts w:ascii="Segoe UI" w:hAnsi="Segoe UI" w:cs="Segoe UI"/>
                          <w:sz w:val="18"/>
                          <w:szCs w:val="18"/>
                        </w:rPr>
                        <w:t>Report</w:t>
                      </w:r>
                    </w:p>
                  </w:txbxContent>
                </v:textbox>
                <w10:wrap anchorx="margin"/>
              </v:rect>
            </w:pict>
          </mc:Fallback>
        </mc:AlternateContent>
      </w:r>
      <w:r w:rsidRPr="002F70D1">
        <w:rPr>
          <w:rFonts w:ascii="Segoe UI" w:hAnsi="Segoe UI" w:cs="Segoe UI"/>
          <w:noProof/>
          <w:sz w:val="18"/>
          <w:szCs w:val="18"/>
          <w:lang w:eastAsia="it-IT"/>
        </w:rPr>
        <mc:AlternateContent>
          <mc:Choice Requires="wps">
            <w:drawing>
              <wp:inline distT="0" distB="0" distL="0" distR="0" wp14:anchorId="53EE54F0" wp14:editId="3121741F">
                <wp:extent cx="5400000" cy="3060000"/>
                <wp:effectExtent l="0" t="0" r="10795" b="26670"/>
                <wp:docPr id="42" name="Rettangolo 42"/>
                <wp:cNvGraphicFramePr/>
                <a:graphic xmlns:a="http://schemas.openxmlformats.org/drawingml/2006/main">
                  <a:graphicData uri="http://schemas.microsoft.com/office/word/2010/wordprocessingShape">
                    <wps:wsp>
                      <wps:cNvSpPr/>
                      <wps:spPr>
                        <a:xfrm>
                          <a:off x="0" y="0"/>
                          <a:ext cx="5400000" cy="3060000"/>
                        </a:xfrm>
                        <a:prstGeom prst="rect">
                          <a:avLst/>
                        </a:prstGeom>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7ED6405" id="Rettangolo 42" o:spid="_x0000_s1026" style="width:425.2pt;height:240.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" fillcolor="white [3201]" strokecolor="#ffc000 [3207]" strokeweight="1pt">
                <w10:anchorlock/>
              </v:rect>
            </w:pict>
          </mc:Fallback>
        </mc:AlternateContent>
      </w:r>
    </w:p>
    <w:p w14:paraId="14D0F8C0" w14:textId="1CEF76D7" w:rsidR="003C1912" w:rsidRDefault="008365BF" w:rsidP="00032651">
      <w:pPr>
        <w:spacing w:before="120" w:after="120" w:line="240" w:lineRule="auto"/>
        <w:jc w:val="center"/>
        <w:rPr>
          <w:rFonts w:ascii="Segoe UI" w:hAnsi="Segoe UI" w:cs="Segoe UI"/>
          <w:i/>
          <w:sz w:val="18"/>
          <w:szCs w:val="18"/>
          <w:lang w:val="en-US"/>
        </w:rPr>
      </w:pPr>
      <w:r w:rsidRPr="008365BF">
        <w:rPr>
          <w:rFonts w:ascii="Segoe UI" w:hAnsi="Segoe UI" w:cs="Segoe UI"/>
          <w:i/>
          <w:sz w:val="18"/>
          <w:szCs w:val="18"/>
          <w:lang w:val="en-US"/>
        </w:rPr>
        <w:t>Fonte: GRI, Sustainability Reporting Guidelines</w:t>
      </w:r>
      <w:r>
        <w:rPr>
          <w:rFonts w:ascii="Segoe UI" w:hAnsi="Segoe UI" w:cs="Segoe UI"/>
          <w:i/>
          <w:sz w:val="18"/>
          <w:szCs w:val="18"/>
          <w:lang w:val="en-US"/>
        </w:rPr>
        <w:t xml:space="preserve"> G4</w:t>
      </w:r>
      <w:r w:rsidRPr="008365BF">
        <w:rPr>
          <w:rFonts w:ascii="Segoe UI" w:hAnsi="Segoe UI" w:cs="Segoe UI"/>
          <w:i/>
          <w:sz w:val="18"/>
          <w:szCs w:val="18"/>
          <w:lang w:val="en-US"/>
        </w:rPr>
        <w:t>, Implementation Manual</w:t>
      </w:r>
      <w:r>
        <w:rPr>
          <w:rFonts w:ascii="Segoe UI" w:hAnsi="Segoe UI" w:cs="Segoe UI"/>
          <w:i/>
          <w:sz w:val="18"/>
          <w:szCs w:val="18"/>
          <w:lang w:val="en-US"/>
        </w:rPr>
        <w:t xml:space="preserve">, </w:t>
      </w:r>
      <w:r w:rsidRPr="008365BF">
        <w:rPr>
          <w:rFonts w:ascii="Segoe UI" w:hAnsi="Segoe UI" w:cs="Segoe UI"/>
          <w:i/>
          <w:sz w:val="18"/>
          <w:szCs w:val="18"/>
          <w:lang w:val="en-US"/>
        </w:rPr>
        <w:t>p. 32, 2013</w:t>
      </w:r>
      <w:r w:rsidR="00032651" w:rsidRPr="008365BF">
        <w:rPr>
          <w:rFonts w:ascii="Segoe UI" w:hAnsi="Segoe UI" w:cs="Segoe UI"/>
          <w:i/>
          <w:sz w:val="18"/>
          <w:szCs w:val="18"/>
          <w:lang w:val="en-US"/>
        </w:rPr>
        <w:t>.</w:t>
      </w:r>
    </w:p>
    <w:p w14:paraId="0321E3FB" w14:textId="77777777" w:rsidR="003C1912" w:rsidRDefault="003C1912" w:rsidP="00032651">
      <w:pPr>
        <w:spacing w:before="120" w:after="120" w:line="240" w:lineRule="auto"/>
        <w:jc w:val="center"/>
        <w:rPr>
          <w:rFonts w:ascii="Segoe UI" w:hAnsi="Segoe UI" w:cs="Segoe UI"/>
          <w:i/>
          <w:sz w:val="18"/>
          <w:szCs w:val="18"/>
          <w:lang w:val="en-US"/>
        </w:rPr>
        <w:sectPr w:rsidR="003C1912" w:rsidSect="003C1912">
          <w:type w:val="continuous"/>
          <w:pgSz w:w="11906" w:h="16838" w:code="9"/>
          <w:pgMar w:top="1985" w:right="1134" w:bottom="1134" w:left="1134" w:header="709" w:footer="709" w:gutter="0"/>
          <w:cols w:space="708"/>
          <w:docGrid w:linePitch="360"/>
        </w:sectPr>
      </w:pPr>
    </w:p>
    <w:p w14:paraId="600F312C" w14:textId="03449B3C" w:rsidR="00032651" w:rsidRPr="008365BF" w:rsidRDefault="00032651" w:rsidP="003C1912">
      <w:pPr>
        <w:autoSpaceDE w:val="0"/>
        <w:autoSpaceDN w:val="0"/>
        <w:spacing w:before="120" w:after="120" w:line="240" w:lineRule="auto"/>
        <w:jc w:val="both"/>
        <w:rPr>
          <w:rFonts w:ascii="Segoe UI" w:hAnsi="Segoe UI" w:cs="Segoe UI"/>
          <w:sz w:val="20"/>
          <w:szCs w:val="20"/>
          <w:lang w:val="en-US"/>
        </w:rPr>
      </w:pPr>
    </w:p>
    <w:p w14:paraId="03EAAD5F" w14:textId="77777777" w:rsidR="00032651" w:rsidRPr="008365BF" w:rsidRDefault="00032651" w:rsidP="00032651">
      <w:pPr>
        <w:autoSpaceDE w:val="0"/>
        <w:autoSpaceDN w:val="0"/>
        <w:spacing w:before="120" w:after="120" w:line="240" w:lineRule="auto"/>
        <w:jc w:val="both"/>
        <w:rPr>
          <w:rFonts w:ascii="Segoe UI" w:hAnsi="Segoe UI" w:cs="Segoe UI"/>
          <w:sz w:val="20"/>
          <w:szCs w:val="20"/>
          <w:lang w:val="en-US"/>
        </w:rPr>
      </w:pPr>
    </w:p>
    <w:p w14:paraId="3011BC04" w14:textId="2B157FCE" w:rsidR="006C5FEA" w:rsidRPr="0062207D" w:rsidRDefault="006C5FEA" w:rsidP="006C5FEA">
      <w:pPr>
        <w:autoSpaceDE w:val="0"/>
        <w:autoSpaceDN w:val="0"/>
        <w:spacing w:before="120" w:after="120" w:line="240" w:lineRule="auto"/>
        <w:jc w:val="both"/>
        <w:rPr>
          <w:rFonts w:ascii="Segoe UI" w:hAnsi="Segoe UI" w:cs="Segoe UI"/>
          <w:szCs w:val="20"/>
        </w:rPr>
      </w:pPr>
      <w:r w:rsidRPr="0062207D">
        <w:rPr>
          <w:rFonts w:ascii="Segoe UI" w:hAnsi="Segoe UI" w:cs="Segoe UI"/>
          <w:szCs w:val="20"/>
        </w:rPr>
        <w:t>L</w:t>
      </w:r>
      <w:r w:rsidR="00921BF9">
        <w:rPr>
          <w:rFonts w:ascii="Segoe UI" w:hAnsi="Segoe UI" w:cs="Segoe UI"/>
          <w:szCs w:val="20"/>
        </w:rPr>
        <w:t xml:space="preserve">a prima fase </w:t>
      </w:r>
      <w:r w:rsidRPr="0062207D">
        <w:rPr>
          <w:rFonts w:ascii="Segoe UI" w:hAnsi="Segoe UI" w:cs="Segoe UI"/>
          <w:szCs w:val="20"/>
        </w:rPr>
        <w:t xml:space="preserve">prevede di identificare gli aspetti </w:t>
      </w:r>
      <w:r w:rsidR="00921BF9">
        <w:rPr>
          <w:rFonts w:ascii="Segoe UI" w:hAnsi="Segoe UI" w:cs="Segoe UI"/>
          <w:szCs w:val="20"/>
        </w:rPr>
        <w:t xml:space="preserve">rilevanti </w:t>
      </w:r>
      <w:r w:rsidRPr="0062207D">
        <w:rPr>
          <w:rFonts w:ascii="Segoe UI" w:hAnsi="Segoe UI" w:cs="Segoe UI"/>
          <w:szCs w:val="20"/>
        </w:rPr>
        <w:t>e i confini</w:t>
      </w:r>
      <w:r w:rsidRPr="0062207D">
        <w:rPr>
          <w:rStyle w:val="Rimandonotaapidipagina"/>
          <w:rFonts w:cs="Segoe UI"/>
          <w:sz w:val="22"/>
          <w:szCs w:val="20"/>
        </w:rPr>
        <w:footnoteReference w:id="35"/>
      </w:r>
      <w:r w:rsidRPr="0062207D">
        <w:rPr>
          <w:rFonts w:ascii="Segoe UI" w:hAnsi="Segoe UI" w:cs="Segoe UI"/>
          <w:szCs w:val="20"/>
        </w:rPr>
        <w:t xml:space="preserve"> che devono essere inclusi nel </w:t>
      </w:r>
      <w:r w:rsidRPr="007A744A">
        <w:rPr>
          <w:rFonts w:ascii="Segoe UI" w:hAnsi="Segoe UI" w:cs="Segoe UI"/>
          <w:i/>
          <w:szCs w:val="20"/>
        </w:rPr>
        <w:t>report</w:t>
      </w:r>
      <w:r w:rsidRPr="0062207D">
        <w:rPr>
          <w:rFonts w:ascii="Segoe UI" w:hAnsi="Segoe UI" w:cs="Segoe UI"/>
          <w:szCs w:val="20"/>
        </w:rPr>
        <w:t xml:space="preserve"> sulla base del loro impatto, interno o esterno, con riferimento a tutte le attività dell’organizzazione, prodotti, servizi e relazioni. La seconda fase è relativa all’assegnazione di priorità degli aspetti selezionati nella fase precedente</w:t>
      </w:r>
      <w:r w:rsidR="00921BF9">
        <w:rPr>
          <w:rFonts w:ascii="Segoe UI" w:hAnsi="Segoe UI" w:cs="Segoe UI"/>
          <w:szCs w:val="20"/>
        </w:rPr>
        <w:t>; i</w:t>
      </w:r>
      <w:r w:rsidRPr="0062207D">
        <w:rPr>
          <w:rFonts w:ascii="Segoe UI" w:hAnsi="Segoe UI" w:cs="Segoe UI"/>
          <w:szCs w:val="20"/>
        </w:rPr>
        <w:t xml:space="preserve">l principio della </w:t>
      </w:r>
      <w:r w:rsidR="00921BF9">
        <w:rPr>
          <w:rFonts w:ascii="Segoe UI" w:hAnsi="Segoe UI" w:cs="Segoe UI"/>
          <w:szCs w:val="20"/>
        </w:rPr>
        <w:t xml:space="preserve">materialità </w:t>
      </w:r>
      <w:r w:rsidRPr="0062207D">
        <w:rPr>
          <w:rFonts w:ascii="Segoe UI" w:hAnsi="Segoe UI" w:cs="Segoe UI"/>
          <w:szCs w:val="20"/>
        </w:rPr>
        <w:t xml:space="preserve">viene, quindi, implementato attraverso una valutazione degli aspetti e dei temi in grado di influenzare le decisioni degli </w:t>
      </w:r>
      <w:r w:rsidRPr="00347F30">
        <w:rPr>
          <w:rFonts w:ascii="Segoe UI" w:hAnsi="Segoe UI" w:cs="Segoe UI"/>
          <w:i/>
          <w:szCs w:val="20"/>
        </w:rPr>
        <w:t>stakeholder</w:t>
      </w:r>
      <w:r w:rsidRPr="0062207D">
        <w:rPr>
          <w:rFonts w:ascii="Segoe UI" w:hAnsi="Segoe UI" w:cs="Segoe UI"/>
          <w:szCs w:val="20"/>
        </w:rPr>
        <w:t xml:space="preserve"> e che hanno un impatto significativo dal punto economico, ambientale e sociale. In questa seconda fase viene stabilito il criterio</w:t>
      </w:r>
      <w:r w:rsidR="00921BF9">
        <w:rPr>
          <w:rFonts w:ascii="Segoe UI" w:hAnsi="Segoe UI" w:cs="Segoe UI"/>
          <w:szCs w:val="20"/>
        </w:rPr>
        <w:t xml:space="preserve"> in base al quale determinare il limite </w:t>
      </w:r>
      <w:r w:rsidRPr="0062207D">
        <w:rPr>
          <w:rFonts w:ascii="Segoe UI" w:hAnsi="Segoe UI" w:cs="Segoe UI"/>
          <w:szCs w:val="20"/>
        </w:rPr>
        <w:t>(</w:t>
      </w:r>
      <w:r w:rsidRPr="0062207D">
        <w:rPr>
          <w:rFonts w:ascii="Segoe UI" w:hAnsi="Segoe UI" w:cs="Segoe UI"/>
          <w:i/>
          <w:szCs w:val="20"/>
        </w:rPr>
        <w:t>threshold</w:t>
      </w:r>
      <w:r w:rsidRPr="0062207D">
        <w:rPr>
          <w:rFonts w:ascii="Segoe UI" w:hAnsi="Segoe UI" w:cs="Segoe UI"/>
          <w:szCs w:val="20"/>
        </w:rPr>
        <w:t>) oltre il quale l’aspetto</w:t>
      </w:r>
      <w:r w:rsidR="00921BF9">
        <w:rPr>
          <w:rFonts w:ascii="Segoe UI" w:hAnsi="Segoe UI" w:cs="Segoe UI"/>
          <w:szCs w:val="20"/>
        </w:rPr>
        <w:t>/tema</w:t>
      </w:r>
      <w:r w:rsidRPr="0062207D">
        <w:rPr>
          <w:rFonts w:ascii="Segoe UI" w:hAnsi="Segoe UI" w:cs="Segoe UI"/>
          <w:szCs w:val="20"/>
        </w:rPr>
        <w:t xml:space="preserve"> è </w:t>
      </w:r>
      <w:r w:rsidR="00921BF9">
        <w:rPr>
          <w:rFonts w:ascii="Segoe UI" w:hAnsi="Segoe UI" w:cs="Segoe UI"/>
          <w:szCs w:val="20"/>
        </w:rPr>
        <w:t xml:space="preserve">da </w:t>
      </w:r>
      <w:r w:rsidRPr="0062207D">
        <w:rPr>
          <w:rFonts w:ascii="Segoe UI" w:hAnsi="Segoe UI" w:cs="Segoe UI"/>
          <w:szCs w:val="20"/>
        </w:rPr>
        <w:t>considera</w:t>
      </w:r>
      <w:r w:rsidR="00921BF9">
        <w:rPr>
          <w:rFonts w:ascii="Segoe UI" w:hAnsi="Segoe UI" w:cs="Segoe UI"/>
          <w:szCs w:val="20"/>
        </w:rPr>
        <w:t>rsi materiale</w:t>
      </w:r>
      <w:r w:rsidRPr="0062207D">
        <w:rPr>
          <w:rFonts w:ascii="Segoe UI" w:hAnsi="Segoe UI" w:cs="Segoe UI"/>
          <w:szCs w:val="20"/>
        </w:rPr>
        <w:t xml:space="preserve">. Nella </w:t>
      </w:r>
      <w:r w:rsidR="00921BF9">
        <w:rPr>
          <w:rFonts w:ascii="Segoe UI" w:hAnsi="Segoe UI" w:cs="Segoe UI"/>
          <w:szCs w:val="20"/>
        </w:rPr>
        <w:t xml:space="preserve">terza </w:t>
      </w:r>
      <w:r w:rsidRPr="0062207D">
        <w:rPr>
          <w:rFonts w:ascii="Segoe UI" w:hAnsi="Segoe UI" w:cs="Segoe UI"/>
          <w:szCs w:val="20"/>
        </w:rPr>
        <w:t>fase, è necessario procede alla convalida degli aspetti e dei temi materiali,</w:t>
      </w:r>
      <w:r w:rsidR="00921BF9">
        <w:rPr>
          <w:rFonts w:ascii="Segoe UI" w:hAnsi="Segoe UI" w:cs="Segoe UI"/>
          <w:szCs w:val="20"/>
        </w:rPr>
        <w:t xml:space="preserve"> anche nella prospettiva di strutturare il sistema di rilevazione appropriato allo scopo di </w:t>
      </w:r>
      <w:r w:rsidRPr="0062207D">
        <w:rPr>
          <w:rFonts w:ascii="Segoe UI" w:hAnsi="Segoe UI" w:cs="Segoe UI"/>
          <w:szCs w:val="20"/>
        </w:rPr>
        <w:t xml:space="preserve">raccogliere le informazioni da inserire nel </w:t>
      </w:r>
      <w:r w:rsidRPr="007A744A">
        <w:rPr>
          <w:rFonts w:ascii="Segoe UI" w:hAnsi="Segoe UI" w:cs="Segoe UI"/>
          <w:i/>
          <w:szCs w:val="20"/>
        </w:rPr>
        <w:t>report</w:t>
      </w:r>
      <w:r w:rsidR="00921BF9">
        <w:rPr>
          <w:rFonts w:ascii="Segoe UI" w:hAnsi="Segoe UI" w:cs="Segoe UI"/>
          <w:szCs w:val="20"/>
        </w:rPr>
        <w:t>;</w:t>
      </w:r>
      <w:r w:rsidRPr="0062207D">
        <w:rPr>
          <w:rFonts w:ascii="Segoe UI" w:hAnsi="Segoe UI" w:cs="Segoe UI"/>
          <w:szCs w:val="20"/>
        </w:rPr>
        <w:t xml:space="preserve"> </w:t>
      </w:r>
      <w:r w:rsidR="00921BF9">
        <w:rPr>
          <w:rFonts w:ascii="Segoe UI" w:hAnsi="Segoe UI" w:cs="Segoe UI"/>
          <w:szCs w:val="20"/>
        </w:rPr>
        <w:t>l</w:t>
      </w:r>
      <w:r w:rsidRPr="0062207D">
        <w:rPr>
          <w:rFonts w:ascii="Segoe UI" w:hAnsi="Segoe UI" w:cs="Segoe UI"/>
          <w:szCs w:val="20"/>
        </w:rPr>
        <w:t xml:space="preserve">’obiettivo della fase di convalida è quello di assicurare che il </w:t>
      </w:r>
      <w:r w:rsidRPr="00CE35BA">
        <w:rPr>
          <w:rFonts w:ascii="Segoe UI" w:hAnsi="Segoe UI" w:cs="Segoe UI"/>
          <w:i/>
          <w:szCs w:val="20"/>
        </w:rPr>
        <w:t>report</w:t>
      </w:r>
      <w:r w:rsidRPr="0062207D">
        <w:rPr>
          <w:rFonts w:ascii="Segoe UI" w:hAnsi="Segoe UI" w:cs="Segoe UI"/>
          <w:szCs w:val="20"/>
        </w:rPr>
        <w:t xml:space="preserve"> fornisca una ragionevole e bilanciata rappresentazione degli impatti e </w:t>
      </w:r>
      <w:r w:rsidRPr="00AF2572">
        <w:rPr>
          <w:rFonts w:ascii="Segoe UI" w:hAnsi="Segoe UI" w:cs="Segoe UI"/>
          <w:i/>
          <w:szCs w:val="20"/>
        </w:rPr>
        <w:t>performance</w:t>
      </w:r>
      <w:r w:rsidRPr="0062207D">
        <w:rPr>
          <w:rFonts w:ascii="Segoe UI" w:hAnsi="Segoe UI" w:cs="Segoe UI"/>
          <w:szCs w:val="20"/>
        </w:rPr>
        <w:t xml:space="preserve"> di sostenibilità dell’organizzazione. Infine, la</w:t>
      </w:r>
      <w:r w:rsidR="00921BF9">
        <w:rPr>
          <w:rFonts w:ascii="Segoe UI" w:hAnsi="Segoe UI" w:cs="Segoe UI"/>
          <w:szCs w:val="20"/>
        </w:rPr>
        <w:t xml:space="preserve"> quarta e ultima </w:t>
      </w:r>
      <w:r w:rsidRPr="0062207D">
        <w:rPr>
          <w:rFonts w:ascii="Segoe UI" w:hAnsi="Segoe UI" w:cs="Segoe UI"/>
          <w:szCs w:val="20"/>
        </w:rPr>
        <w:t xml:space="preserve">fase della </w:t>
      </w:r>
      <w:r w:rsidR="00921BF9">
        <w:rPr>
          <w:rFonts w:ascii="Segoe UI" w:hAnsi="Segoe UI" w:cs="Segoe UI"/>
          <w:szCs w:val="20"/>
        </w:rPr>
        <w:t>(</w:t>
      </w:r>
      <w:r w:rsidRPr="0062207D">
        <w:rPr>
          <w:rFonts w:ascii="Segoe UI" w:hAnsi="Segoe UI" w:cs="Segoe UI"/>
          <w:szCs w:val="20"/>
        </w:rPr>
        <w:t>re</w:t>
      </w:r>
      <w:r w:rsidR="00921BF9">
        <w:rPr>
          <w:rFonts w:ascii="Segoe UI" w:hAnsi="Segoe UI" w:cs="Segoe UI"/>
          <w:szCs w:val="20"/>
        </w:rPr>
        <w:t>)</w:t>
      </w:r>
      <w:r w:rsidRPr="0062207D">
        <w:rPr>
          <w:rFonts w:ascii="Segoe UI" w:hAnsi="Segoe UI" w:cs="Segoe UI"/>
          <w:szCs w:val="20"/>
        </w:rPr>
        <w:t xml:space="preserve">visione degli aspetti e dei temi </w:t>
      </w:r>
      <w:r w:rsidR="00921BF9">
        <w:rPr>
          <w:rFonts w:ascii="Segoe UI" w:hAnsi="Segoe UI" w:cs="Segoe UI"/>
          <w:szCs w:val="20"/>
        </w:rPr>
        <w:t xml:space="preserve">oggetto di </w:t>
      </w:r>
      <w:r w:rsidR="00921BF9" w:rsidRPr="00921BF9">
        <w:rPr>
          <w:rFonts w:ascii="Segoe UI" w:hAnsi="Segoe UI" w:cs="Segoe UI"/>
          <w:i/>
          <w:szCs w:val="20"/>
        </w:rPr>
        <w:t>disclosure</w:t>
      </w:r>
      <w:r w:rsidR="00921BF9">
        <w:rPr>
          <w:rFonts w:ascii="Segoe UI" w:hAnsi="Segoe UI" w:cs="Segoe UI"/>
          <w:szCs w:val="20"/>
        </w:rPr>
        <w:t xml:space="preserve"> dei report degli esercizi </w:t>
      </w:r>
      <w:r w:rsidRPr="0062207D">
        <w:rPr>
          <w:rFonts w:ascii="Segoe UI" w:hAnsi="Segoe UI" w:cs="Segoe UI"/>
          <w:szCs w:val="20"/>
        </w:rPr>
        <w:t xml:space="preserve">precedenti permette di </w:t>
      </w:r>
      <w:r w:rsidR="00921BF9">
        <w:rPr>
          <w:rFonts w:ascii="Segoe UI" w:hAnsi="Segoe UI" w:cs="Segoe UI"/>
          <w:szCs w:val="20"/>
        </w:rPr>
        <w:t xml:space="preserve">valutare </w:t>
      </w:r>
      <w:r w:rsidRPr="0062207D">
        <w:rPr>
          <w:rFonts w:ascii="Segoe UI" w:hAnsi="Segoe UI" w:cs="Segoe UI"/>
          <w:szCs w:val="20"/>
        </w:rPr>
        <w:t xml:space="preserve">feedback </w:t>
      </w:r>
      <w:r w:rsidR="00921BF9">
        <w:rPr>
          <w:rFonts w:ascii="Segoe UI" w:hAnsi="Segoe UI" w:cs="Segoe UI"/>
          <w:szCs w:val="20"/>
        </w:rPr>
        <w:t xml:space="preserve">pervenuti dai diversi </w:t>
      </w:r>
      <w:r w:rsidRPr="00347F30">
        <w:rPr>
          <w:rFonts w:ascii="Segoe UI" w:hAnsi="Segoe UI" w:cs="Segoe UI"/>
          <w:i/>
          <w:szCs w:val="20"/>
        </w:rPr>
        <w:t>stakeholder</w:t>
      </w:r>
      <w:r w:rsidR="008C2A51">
        <w:rPr>
          <w:rFonts w:ascii="Segoe UI" w:hAnsi="Segoe UI" w:cs="Segoe UI"/>
          <w:szCs w:val="20"/>
        </w:rPr>
        <w:t>, il cui giudizio risulta utile per calibrare il processo nel prossimo futuro</w:t>
      </w:r>
      <w:r w:rsidRPr="0062207D">
        <w:rPr>
          <w:rFonts w:ascii="Segoe UI" w:hAnsi="Segoe UI" w:cs="Segoe UI"/>
          <w:szCs w:val="20"/>
        </w:rPr>
        <w:t>.</w:t>
      </w:r>
    </w:p>
    <w:p w14:paraId="3366C31D" w14:textId="77777777" w:rsidR="006C5FEA" w:rsidRPr="0062207D" w:rsidRDefault="006C5FEA" w:rsidP="006C5FEA">
      <w:pPr>
        <w:autoSpaceDE w:val="0"/>
        <w:autoSpaceDN w:val="0"/>
        <w:spacing w:before="120" w:after="120" w:line="240" w:lineRule="auto"/>
        <w:jc w:val="both"/>
        <w:rPr>
          <w:rFonts w:ascii="Segoe UI" w:hAnsi="Segoe UI" w:cs="Segoe UI"/>
          <w:szCs w:val="20"/>
        </w:rPr>
      </w:pPr>
      <w:r w:rsidRPr="0062207D">
        <w:rPr>
          <w:rFonts w:ascii="Segoe UI" w:hAnsi="Segoe UI" w:cs="Segoe UI"/>
          <w:szCs w:val="20"/>
        </w:rPr>
        <w:t>In conclusione, i fattori da prendere in considerazione per l’analisi degli aspetti materiali, sono sinteticamente illustrate nel seguito.</w:t>
      </w:r>
    </w:p>
    <w:p w14:paraId="08580B53" w14:textId="0E5E9A79" w:rsidR="006C5FEA" w:rsidRDefault="006C5FEA" w:rsidP="006C5FEA">
      <w:pPr>
        <w:keepNext/>
        <w:keepLines/>
        <w:autoSpaceDE w:val="0"/>
        <w:autoSpaceDN w:val="0"/>
        <w:spacing w:before="120" w:after="120" w:line="240" w:lineRule="auto"/>
        <w:jc w:val="both"/>
        <w:rPr>
          <w:rFonts w:ascii="Segoe UI" w:hAnsi="Segoe UI" w:cs="Segoe UI"/>
          <w:szCs w:val="20"/>
        </w:rPr>
      </w:pPr>
      <w:r w:rsidRPr="0062207D">
        <w:rPr>
          <w:rFonts w:ascii="Segoe UI" w:hAnsi="Segoe UI" w:cs="Segoe UI"/>
          <w:szCs w:val="20"/>
        </w:rPr>
        <w:t xml:space="preserve">Il </w:t>
      </w:r>
      <w:r w:rsidRPr="007A744A">
        <w:rPr>
          <w:rFonts w:ascii="Segoe UI" w:hAnsi="Segoe UI" w:cs="Segoe UI"/>
          <w:i/>
          <w:szCs w:val="20"/>
        </w:rPr>
        <w:t>test</w:t>
      </w:r>
      <w:r w:rsidRPr="0062207D">
        <w:rPr>
          <w:rFonts w:ascii="Segoe UI" w:hAnsi="Segoe UI" w:cs="Segoe UI"/>
          <w:szCs w:val="20"/>
        </w:rPr>
        <w:t xml:space="preserve"> proposto dal GRI prevede che, in fase di definizione di temi materiali, </w:t>
      </w:r>
      <w:r w:rsidR="008C2A51">
        <w:rPr>
          <w:rFonts w:ascii="Segoe UI" w:hAnsi="Segoe UI" w:cs="Segoe UI"/>
          <w:szCs w:val="20"/>
        </w:rPr>
        <w:t xml:space="preserve">sia </w:t>
      </w:r>
      <w:r w:rsidRPr="0062207D">
        <w:rPr>
          <w:rFonts w:ascii="Segoe UI" w:hAnsi="Segoe UI" w:cs="Segoe UI"/>
          <w:szCs w:val="20"/>
        </w:rPr>
        <w:t>necessario considerare:</w:t>
      </w:r>
    </w:p>
    <w:p w14:paraId="522E6B71" w14:textId="727433C7" w:rsidR="008C2A51" w:rsidRPr="0062207D" w:rsidRDefault="008C2A51" w:rsidP="006C5FEA">
      <w:pPr>
        <w:keepNext/>
        <w:keepLines/>
        <w:autoSpaceDE w:val="0"/>
        <w:autoSpaceDN w:val="0"/>
        <w:spacing w:before="120" w:after="120" w:line="240" w:lineRule="auto"/>
        <w:jc w:val="both"/>
        <w:rPr>
          <w:rFonts w:ascii="Segoe UI" w:hAnsi="Segoe UI" w:cs="Segoe UI"/>
          <w:szCs w:val="20"/>
        </w:rPr>
      </w:pPr>
      <w:r>
        <w:rPr>
          <w:rFonts w:ascii="Segoe UI" w:hAnsi="Segoe UI" w:cs="Segoe UI"/>
          <w:szCs w:val="20"/>
        </w:rPr>
        <w:t>(in generale):</w:t>
      </w:r>
    </w:p>
    <w:p w14:paraId="34B7362F" w14:textId="149FD155" w:rsidR="006C5FEA" w:rsidRPr="0062207D" w:rsidRDefault="006C5FEA" w:rsidP="006C5FEA">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impatti, rischi, opportunità, in tema di sostenibilità, ragionevolmente stimabili e identificati tramite indagini accurat</w:t>
      </w:r>
      <w:r w:rsidR="008C2A51">
        <w:rPr>
          <w:rFonts w:ascii="Segoe UI" w:hAnsi="Segoe UI" w:cs="Segoe UI"/>
          <w:szCs w:val="20"/>
        </w:rPr>
        <w:t>e</w:t>
      </w:r>
      <w:r w:rsidRPr="0062207D">
        <w:rPr>
          <w:rFonts w:ascii="Segoe UI" w:hAnsi="Segoe UI" w:cs="Segoe UI"/>
          <w:szCs w:val="20"/>
        </w:rPr>
        <w:t xml:space="preserve"> condotte da esperti di comprovata esperienza o da organismi le cui credenziali in materia siano riconosciute.</w:t>
      </w:r>
    </w:p>
    <w:p w14:paraId="73A68A67" w14:textId="4CA98EF1" w:rsidR="006C5FEA" w:rsidRPr="0062207D" w:rsidRDefault="008C2A51" w:rsidP="006C5FEA">
      <w:pPr>
        <w:keepNext/>
        <w:keepLines/>
        <w:autoSpaceDE w:val="0"/>
        <w:autoSpaceDN w:val="0"/>
        <w:spacing w:before="120" w:after="120" w:line="240" w:lineRule="auto"/>
        <w:jc w:val="both"/>
        <w:rPr>
          <w:rFonts w:ascii="Segoe UI" w:hAnsi="Segoe UI" w:cs="Segoe UI"/>
          <w:szCs w:val="20"/>
        </w:rPr>
      </w:pPr>
      <w:r>
        <w:rPr>
          <w:rFonts w:ascii="Segoe UI" w:hAnsi="Segoe UI" w:cs="Segoe UI"/>
          <w:szCs w:val="20"/>
        </w:rPr>
        <w:t>(con riferimento alla r</w:t>
      </w:r>
      <w:r w:rsidR="006C5FEA" w:rsidRPr="0062207D">
        <w:rPr>
          <w:rFonts w:ascii="Segoe UI" w:hAnsi="Segoe UI" w:cs="Segoe UI"/>
          <w:szCs w:val="20"/>
        </w:rPr>
        <w:t xml:space="preserve">ilevanza per gli </w:t>
      </w:r>
      <w:r w:rsidR="006C5FEA" w:rsidRPr="00347F30">
        <w:rPr>
          <w:rFonts w:ascii="Segoe UI" w:hAnsi="Segoe UI" w:cs="Segoe UI"/>
          <w:i/>
          <w:szCs w:val="20"/>
        </w:rPr>
        <w:t>stakeholder</w:t>
      </w:r>
      <w:r>
        <w:rPr>
          <w:rFonts w:ascii="Segoe UI" w:hAnsi="Segoe UI" w:cs="Segoe UI"/>
          <w:szCs w:val="20"/>
        </w:rPr>
        <w:t>)</w:t>
      </w:r>
      <w:r w:rsidR="006C5FEA" w:rsidRPr="0062207D">
        <w:rPr>
          <w:rFonts w:ascii="Segoe UI" w:hAnsi="Segoe UI" w:cs="Segoe UI"/>
          <w:szCs w:val="20"/>
        </w:rPr>
        <w:t>:</w:t>
      </w:r>
    </w:p>
    <w:p w14:paraId="57188FBF" w14:textId="77777777" w:rsidR="006C5FEA" w:rsidRPr="0062207D" w:rsidRDefault="006C5FEA" w:rsidP="006C5FEA">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 xml:space="preserve">principali interessi/argomenti sulla sostenibilità e indicatori sollevati dagli </w:t>
      </w:r>
      <w:r w:rsidRPr="00660850">
        <w:rPr>
          <w:rFonts w:ascii="Segoe UI" w:hAnsi="Segoe UI" w:cs="Segoe UI"/>
          <w:i/>
          <w:szCs w:val="20"/>
        </w:rPr>
        <w:t>stakeholder</w:t>
      </w:r>
      <w:r w:rsidRPr="0062207D">
        <w:rPr>
          <w:rFonts w:ascii="Segoe UI" w:hAnsi="Segoe UI" w:cs="Segoe UI"/>
          <w:szCs w:val="20"/>
        </w:rPr>
        <w:t xml:space="preserve"> </w:t>
      </w:r>
      <w:r>
        <w:rPr>
          <w:rFonts w:ascii="Segoe UI" w:hAnsi="Segoe UI" w:cs="Segoe UI"/>
          <w:szCs w:val="20"/>
        </w:rPr>
        <w:t>(</w:t>
      </w:r>
      <w:r w:rsidRPr="0062207D">
        <w:rPr>
          <w:rFonts w:ascii="Segoe UI" w:hAnsi="Segoe UI" w:cs="Segoe UI"/>
          <w:szCs w:val="20"/>
        </w:rPr>
        <w:t>ad esempio soggetti vulnerabili nella comunità locale e società civile nel complesso);</w:t>
      </w:r>
    </w:p>
    <w:p w14:paraId="644F75D1" w14:textId="77777777" w:rsidR="006C5FEA" w:rsidRPr="0062207D" w:rsidRDefault="006C5FEA" w:rsidP="006C5FEA">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principali argomenti e sfide future del settore comunicate da pari e concorrenti;</w:t>
      </w:r>
    </w:p>
    <w:p w14:paraId="5767AE30" w14:textId="77777777" w:rsidR="006C5FEA" w:rsidRPr="0062207D" w:rsidRDefault="006C5FEA" w:rsidP="006C5FEA">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 xml:space="preserve">leggi, regolamenti, accordi internazionali o volontari in vigore e rilevanti che hanno importanza strategica per l’organizzazione e per i suoi </w:t>
      </w:r>
      <w:r w:rsidRPr="00F04A75">
        <w:rPr>
          <w:rFonts w:ascii="Segoe UI" w:hAnsi="Segoe UI" w:cs="Segoe UI"/>
          <w:i/>
          <w:szCs w:val="20"/>
        </w:rPr>
        <w:t>stakeholder</w:t>
      </w:r>
      <w:r w:rsidRPr="0062207D">
        <w:rPr>
          <w:rFonts w:ascii="Segoe UI" w:hAnsi="Segoe UI" w:cs="Segoe UI"/>
          <w:szCs w:val="20"/>
        </w:rPr>
        <w:t>.</w:t>
      </w:r>
    </w:p>
    <w:p w14:paraId="3F924A6B" w14:textId="76F265AD" w:rsidR="006C5FEA" w:rsidRPr="0062207D" w:rsidRDefault="008C2A51" w:rsidP="006C5FEA">
      <w:pPr>
        <w:keepNext/>
        <w:keepLines/>
        <w:autoSpaceDE w:val="0"/>
        <w:autoSpaceDN w:val="0"/>
        <w:spacing w:before="120" w:after="120" w:line="240" w:lineRule="auto"/>
        <w:jc w:val="both"/>
        <w:rPr>
          <w:rFonts w:ascii="Segoe UI" w:hAnsi="Segoe UI" w:cs="Segoe UI"/>
          <w:szCs w:val="20"/>
        </w:rPr>
      </w:pPr>
      <w:r>
        <w:rPr>
          <w:rFonts w:ascii="Segoe UI" w:hAnsi="Segoe UI" w:cs="Segoe UI"/>
          <w:szCs w:val="20"/>
        </w:rPr>
        <w:t>(con riferimento alla r</w:t>
      </w:r>
      <w:r w:rsidR="006C5FEA" w:rsidRPr="0062207D">
        <w:rPr>
          <w:rFonts w:ascii="Segoe UI" w:hAnsi="Segoe UI" w:cs="Segoe UI"/>
          <w:szCs w:val="20"/>
        </w:rPr>
        <w:t>ilevanza per l’organizzazione</w:t>
      </w:r>
      <w:r>
        <w:rPr>
          <w:rFonts w:ascii="Segoe UI" w:hAnsi="Segoe UI" w:cs="Segoe UI"/>
          <w:szCs w:val="20"/>
        </w:rPr>
        <w:t>)</w:t>
      </w:r>
      <w:r w:rsidR="006C5FEA" w:rsidRPr="0062207D">
        <w:rPr>
          <w:rFonts w:ascii="Segoe UI" w:hAnsi="Segoe UI" w:cs="Segoe UI"/>
          <w:szCs w:val="20"/>
        </w:rPr>
        <w:t>:</w:t>
      </w:r>
    </w:p>
    <w:p w14:paraId="6A3DC2AF" w14:textId="77777777" w:rsidR="006C5FEA" w:rsidRPr="0062207D" w:rsidRDefault="006C5FEA" w:rsidP="006C5FEA">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principali valori, politiche, strategie, sistemi di gestione operativa, obiettivi e finalità dell’organizzazione;</w:t>
      </w:r>
    </w:p>
    <w:p w14:paraId="5E62AF47" w14:textId="77777777" w:rsidR="006C5FEA" w:rsidRPr="0062207D" w:rsidRDefault="006C5FEA" w:rsidP="006C5FEA">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 xml:space="preserve">interessi/aspettative degli </w:t>
      </w:r>
      <w:r w:rsidRPr="00347F30">
        <w:rPr>
          <w:rFonts w:ascii="Segoe UI" w:hAnsi="Segoe UI" w:cs="Segoe UI"/>
          <w:i/>
          <w:szCs w:val="20"/>
        </w:rPr>
        <w:t>stakeholder</w:t>
      </w:r>
      <w:r w:rsidRPr="0062207D">
        <w:rPr>
          <w:rFonts w:ascii="Segoe UI" w:hAnsi="Segoe UI" w:cs="Segoe UI"/>
          <w:szCs w:val="20"/>
        </w:rPr>
        <w:t xml:space="preserve"> specificatamente coinvolti nel successo dell’organizzazione (ad esempio, dipendenti, azionisti e fornitori);</w:t>
      </w:r>
    </w:p>
    <w:p w14:paraId="0AEB32BA" w14:textId="77777777" w:rsidR="006C5FEA" w:rsidRPr="0062207D" w:rsidRDefault="006C5FEA" w:rsidP="006C5FEA">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rischi significativi per l’organizzazione;</w:t>
      </w:r>
    </w:p>
    <w:p w14:paraId="7C05CDAD" w14:textId="77777777" w:rsidR="006C5FEA" w:rsidRPr="0062207D" w:rsidRDefault="006C5FEA" w:rsidP="006C5FEA">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fattori critici di successo dell’organizzazione;</w:t>
      </w:r>
    </w:p>
    <w:p w14:paraId="05B06A53" w14:textId="77777777" w:rsidR="006C5FEA" w:rsidRDefault="006C5FEA" w:rsidP="006C5FEA">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competenze principali dell’organizzazione e modo in cui possono o potrebbero contribuire allo sviluppo sostenibile.</w:t>
      </w:r>
    </w:p>
    <w:p w14:paraId="2909F7F2" w14:textId="4CC6251E" w:rsidR="002E1C55" w:rsidRDefault="001C0726" w:rsidP="001E4130">
      <w:pPr>
        <w:tabs>
          <w:tab w:val="left" w:pos="567"/>
        </w:tabs>
        <w:autoSpaceDE w:val="0"/>
        <w:autoSpaceDN w:val="0"/>
        <w:adjustRightInd w:val="0"/>
        <w:spacing w:before="120" w:after="120" w:line="240" w:lineRule="auto"/>
        <w:jc w:val="both"/>
        <w:rPr>
          <w:rFonts w:ascii="Segoe UI" w:hAnsi="Segoe UI" w:cs="Segoe UI"/>
          <w:szCs w:val="20"/>
        </w:rPr>
      </w:pPr>
      <w:r>
        <w:rPr>
          <w:rFonts w:ascii="Segoe UI" w:hAnsi="Segoe UI" w:cs="Segoe UI"/>
          <w:szCs w:val="20"/>
        </w:rPr>
        <w:t xml:space="preserve">Nella figura che segue si riporta la rappresentazione grafica (non di rado inclusa nella sezione “Tematiche materiali” o “Determinazione degli aspetti materiali” di </w:t>
      </w:r>
      <w:r w:rsidRPr="001C0726">
        <w:rPr>
          <w:rFonts w:ascii="Segoe UI" w:hAnsi="Segoe UI" w:cs="Segoe UI"/>
          <w:i/>
          <w:szCs w:val="20"/>
        </w:rPr>
        <w:t>susta</w:t>
      </w:r>
      <w:r w:rsidR="00F24DA5">
        <w:rPr>
          <w:rFonts w:ascii="Segoe UI" w:hAnsi="Segoe UI" w:cs="Segoe UI"/>
          <w:i/>
          <w:szCs w:val="20"/>
        </w:rPr>
        <w:t>i</w:t>
      </w:r>
      <w:r w:rsidRPr="001C0726">
        <w:rPr>
          <w:rFonts w:ascii="Segoe UI" w:hAnsi="Segoe UI" w:cs="Segoe UI"/>
          <w:i/>
          <w:szCs w:val="20"/>
        </w:rPr>
        <w:t>nability report</w:t>
      </w:r>
      <w:r w:rsidR="007E4320">
        <w:rPr>
          <w:rFonts w:ascii="Segoe UI" w:hAnsi="Segoe UI" w:cs="Segoe UI"/>
          <w:szCs w:val="20"/>
        </w:rPr>
        <w:t>,</w:t>
      </w:r>
      <w:r>
        <w:rPr>
          <w:rFonts w:ascii="Segoe UI" w:hAnsi="Segoe UI" w:cs="Segoe UI"/>
          <w:szCs w:val="20"/>
        </w:rPr>
        <w:t xml:space="preserve"> non </w:t>
      </w:r>
      <w:r w:rsidR="007E4320">
        <w:rPr>
          <w:rFonts w:ascii="Segoe UI" w:hAnsi="Segoe UI" w:cs="Segoe UI"/>
          <w:szCs w:val="20"/>
        </w:rPr>
        <w:t xml:space="preserve">necessariamente </w:t>
      </w:r>
      <w:r>
        <w:rPr>
          <w:rFonts w:ascii="Segoe UI" w:hAnsi="Segoe UI" w:cs="Segoe UI"/>
          <w:szCs w:val="20"/>
        </w:rPr>
        <w:t>elaborati secondo la metodologia prevista dalle SR Guidelines del GRI) del risultato finale del processo di attribuzione di pesi/priorità ad ambiti e aspetti (e dunque di determinazione della materialità delle relative informazioni) secondo l’approccio</w:t>
      </w:r>
      <w:r w:rsidR="006A59C4">
        <w:rPr>
          <w:rFonts w:ascii="Segoe UI" w:hAnsi="Segoe UI" w:cs="Segoe UI"/>
          <w:szCs w:val="20"/>
        </w:rPr>
        <w:t xml:space="preserve"> </w:t>
      </w:r>
      <w:r>
        <w:rPr>
          <w:rFonts w:ascii="Segoe UI" w:hAnsi="Segoe UI" w:cs="Segoe UI"/>
          <w:szCs w:val="20"/>
        </w:rPr>
        <w:t>del GRI sopra illustrato.</w:t>
      </w:r>
    </w:p>
    <w:p w14:paraId="0866BAF5" w14:textId="77777777" w:rsidR="001C0726" w:rsidRDefault="001C0726" w:rsidP="001E4130">
      <w:pPr>
        <w:tabs>
          <w:tab w:val="left" w:pos="567"/>
        </w:tabs>
        <w:autoSpaceDE w:val="0"/>
        <w:autoSpaceDN w:val="0"/>
        <w:adjustRightInd w:val="0"/>
        <w:spacing w:before="120" w:after="120" w:line="240" w:lineRule="auto"/>
        <w:jc w:val="both"/>
        <w:rPr>
          <w:rFonts w:ascii="Segoe UI" w:hAnsi="Segoe UI" w:cs="Segoe UI"/>
          <w:szCs w:val="20"/>
        </w:rPr>
      </w:pPr>
    </w:p>
    <w:p w14:paraId="132A0C4B" w14:textId="4C03019E" w:rsidR="00EB0C67" w:rsidRDefault="004E374E" w:rsidP="008057C1">
      <w:pPr>
        <w:keepNext/>
        <w:keepLines/>
        <w:tabs>
          <w:tab w:val="left" w:pos="0"/>
        </w:tabs>
        <w:spacing w:before="120" w:after="120" w:line="240" w:lineRule="auto"/>
        <w:jc w:val="center"/>
        <w:rPr>
          <w:rFonts w:ascii="Segoe UI" w:hAnsi="Segoe UI" w:cs="Segoe UI"/>
          <w:sz w:val="20"/>
          <w:szCs w:val="20"/>
        </w:rPr>
      </w:pPr>
      <w:r>
        <w:rPr>
          <w:noProof/>
          <w:lang w:eastAsia="it-IT"/>
        </w:rPr>
        <mc:AlternateContent>
          <mc:Choice Requires="wps">
            <w:drawing>
              <wp:anchor distT="0" distB="0" distL="114300" distR="114300" simplePos="0" relativeHeight="251662848" behindDoc="0" locked="0" layoutInCell="1" allowOverlap="1" wp14:anchorId="141C2E8A" wp14:editId="57315F3E">
                <wp:simplePos x="0" y="0"/>
                <wp:positionH relativeFrom="column">
                  <wp:posOffset>3067050</wp:posOffset>
                </wp:positionH>
                <wp:positionV relativeFrom="paragraph">
                  <wp:posOffset>132080</wp:posOffset>
                </wp:positionV>
                <wp:extent cx="1188000" cy="1908000"/>
                <wp:effectExtent l="0" t="74295" r="0" b="90805"/>
                <wp:wrapNone/>
                <wp:docPr id="3" name="Ovale 1"/>
                <wp:cNvGraphicFramePr/>
                <a:graphic xmlns:a="http://schemas.openxmlformats.org/drawingml/2006/main">
                  <a:graphicData uri="http://schemas.microsoft.com/office/word/2010/wordprocessingShape">
                    <wps:wsp>
                      <wps:cNvSpPr/>
                      <wps:spPr>
                        <a:xfrm rot="4095428">
                          <a:off x="0" y="0"/>
                          <a:ext cx="1188000" cy="1908000"/>
                        </a:xfrm>
                        <a:prstGeom prst="ellipse">
                          <a:avLst/>
                        </a:prstGeom>
                        <a:noFill/>
                        <a:ln w="22225">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vertOverflow="clip"/>
                    </wps:wsp>
                  </a:graphicData>
                </a:graphic>
                <wp14:sizeRelH relativeFrom="margin">
                  <wp14:pctWidth>0</wp14:pctWidth>
                </wp14:sizeRelH>
                <wp14:sizeRelV relativeFrom="margin">
                  <wp14:pctHeight>0</wp14:pctHeight>
                </wp14:sizeRelV>
              </wp:anchor>
            </w:drawing>
          </mc:Choice>
          <mc:Fallback>
            <w:pict>
              <v:oval w14:anchorId="21ACF06E" id="Ovale 1" o:spid="_x0000_s1026" style="position:absolute;margin-left:241.5pt;margin-top:10.4pt;width:93.55pt;height:150.25pt;rotation:4473299fd;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" filled="f" strokecolor="#70ad47 [3209]" strokeweight="1.75pt">
                <v:stroke joinstyle="miter"/>
              </v:oval>
            </w:pict>
          </mc:Fallback>
        </mc:AlternateContent>
      </w:r>
      <w:r w:rsidR="00101D9A" w:rsidRPr="002F70D1">
        <w:rPr>
          <w:rFonts w:ascii="Segoe UI" w:hAnsi="Segoe UI" w:cs="Segoe UI"/>
          <w:sz w:val="20"/>
          <w:szCs w:val="20"/>
        </w:rPr>
        <w:t xml:space="preserve">Figura </w:t>
      </w:r>
      <w:r w:rsidR="00102F14">
        <w:rPr>
          <w:rFonts w:ascii="Segoe UI" w:hAnsi="Segoe UI" w:cs="Segoe UI"/>
          <w:sz w:val="20"/>
          <w:szCs w:val="20"/>
        </w:rPr>
        <w:t>2</w:t>
      </w:r>
      <w:r w:rsidR="00101D9A" w:rsidRPr="002F70D1">
        <w:rPr>
          <w:rFonts w:ascii="Segoe UI" w:hAnsi="Segoe UI" w:cs="Segoe UI"/>
          <w:sz w:val="20"/>
          <w:szCs w:val="20"/>
        </w:rPr>
        <w:t xml:space="preserve">: </w:t>
      </w:r>
      <w:r w:rsidR="00101D9A">
        <w:rPr>
          <w:rFonts w:ascii="Segoe UI" w:hAnsi="Segoe UI" w:cs="Segoe UI"/>
          <w:sz w:val="20"/>
          <w:szCs w:val="20"/>
        </w:rPr>
        <w:t xml:space="preserve">Rappresentazione grafica del processo di </w:t>
      </w:r>
      <w:r w:rsidR="008057C1" w:rsidRPr="008057C1">
        <w:rPr>
          <w:rFonts w:ascii="Segoe UI" w:hAnsi="Segoe UI" w:cs="Segoe UI"/>
          <w:sz w:val="20"/>
          <w:szCs w:val="20"/>
        </w:rPr>
        <w:t>priorizzazione</w:t>
      </w:r>
      <w:r w:rsidR="00101D9A">
        <w:rPr>
          <w:rFonts w:ascii="Segoe UI" w:hAnsi="Segoe UI" w:cs="Segoe UI"/>
          <w:sz w:val="20"/>
          <w:szCs w:val="20"/>
        </w:rPr>
        <w:t xml:space="preserve"> di ambiti e </w:t>
      </w:r>
      <w:r w:rsidR="00101D9A" w:rsidRPr="002F70D1">
        <w:rPr>
          <w:rFonts w:ascii="Segoe UI" w:hAnsi="Segoe UI" w:cs="Segoe UI"/>
          <w:sz w:val="20"/>
          <w:szCs w:val="20"/>
        </w:rPr>
        <w:t>aspetti</w:t>
      </w:r>
    </w:p>
    <w:p w14:paraId="6AFBD50D" w14:textId="3EDD5497" w:rsidR="00EB0C67" w:rsidRDefault="00BE2609" w:rsidP="008057C1">
      <w:pPr>
        <w:keepNext/>
        <w:keepLines/>
        <w:tabs>
          <w:tab w:val="left" w:pos="0"/>
        </w:tabs>
        <w:spacing w:before="120" w:after="120" w:line="240" w:lineRule="auto"/>
        <w:jc w:val="center"/>
        <w:rPr>
          <w:rFonts w:ascii="Segoe UI" w:hAnsi="Segoe UI" w:cs="Segoe UI"/>
          <w:sz w:val="20"/>
          <w:szCs w:val="20"/>
        </w:rPr>
      </w:pPr>
      <w:r>
        <w:rPr>
          <w:noProof/>
        </w:rPr>
        <mc:AlternateContent>
          <mc:Choice Requires="wps">
            <w:drawing>
              <wp:anchor distT="0" distB="0" distL="114300" distR="114300" simplePos="0" relativeHeight="251653632" behindDoc="0" locked="0" layoutInCell="1" allowOverlap="1" wp14:anchorId="1F6B527E" wp14:editId="5C30A27A">
                <wp:simplePos x="0" y="0"/>
                <wp:positionH relativeFrom="column">
                  <wp:posOffset>1880235</wp:posOffset>
                </wp:positionH>
                <wp:positionV relativeFrom="paragraph">
                  <wp:posOffset>1405255</wp:posOffset>
                </wp:positionV>
                <wp:extent cx="2700005" cy="0"/>
                <wp:effectExtent l="0" t="95250" r="0" b="95250"/>
                <wp:wrapNone/>
                <wp:docPr id="27" name="Connettore 2 1">
                  <a:extLst xmlns:a="http://schemas.openxmlformats.org/drawingml/2006/main"/>
                </wp:docPr>
                <wp:cNvGraphicFramePr/>
                <a:graphic xmlns:a="http://schemas.openxmlformats.org/drawingml/2006/main">
                  <a:graphicData uri="http://schemas.microsoft.com/office/word/2010/wordprocessingShape">
                    <wps:wsp>
                      <wps:cNvCnPr/>
                      <wps:spPr>
                        <a:xfrm>
                          <a:off x="0" y="0"/>
                          <a:ext cx="2700005" cy="0"/>
                        </a:xfrm>
                        <a:prstGeom prst="straightConnector1">
                          <a:avLst/>
                        </a:prstGeom>
                        <a:ln w="31750">
                          <a:solidFill>
                            <a:schemeClr val="accent4">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4555686" id="_x0000_t32" coordsize="21600,21600" o:spt="32" o:oned="t" path="m,l21600,21600e" filled="f">
                <v:path arrowok="t" fillok="f" o:connecttype="none"/>
                <o:lock v:ext="edit" shapetype="t"/>
              </v:shapetype>
              <v:shape id="Connettore 2 1" o:spid="_x0000_s1026" type="#_x0000_t32" style="position:absolute;margin-left:148.05pt;margin-top:110.65pt;width:212.6pt;height:0;z-index:251653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" strokecolor="#ffd966 [1943]" strokeweight="2.5pt">
                <v:stroke endarrow="block" joinstyle="miter"/>
              </v:shape>
            </w:pict>
          </mc:Fallback>
        </mc:AlternateContent>
      </w:r>
      <w:r>
        <w:rPr>
          <w:noProof/>
          <w:lang w:eastAsia="it-IT"/>
        </w:rPr>
        <mc:AlternateContent>
          <mc:Choice Requires="wps">
            <w:drawing>
              <wp:anchor distT="0" distB="0" distL="114300" distR="114300" simplePos="0" relativeHeight="251652608" behindDoc="0" locked="0" layoutInCell="1" allowOverlap="1" wp14:anchorId="52050F20" wp14:editId="50D60872">
                <wp:simplePos x="0" y="0"/>
                <wp:positionH relativeFrom="margin">
                  <wp:posOffset>3244215</wp:posOffset>
                </wp:positionH>
                <wp:positionV relativeFrom="paragraph">
                  <wp:posOffset>184150</wp:posOffset>
                </wp:positionV>
                <wp:extent cx="0" cy="2483485"/>
                <wp:effectExtent l="57150" t="38100" r="57150" b="12065"/>
                <wp:wrapNone/>
                <wp:docPr id="26" name="Connettore 2 7">
                  <a:extLst xmlns:a="http://schemas.openxmlformats.org/drawingml/2006/main"/>
                </wp:docPr>
                <wp:cNvGraphicFramePr/>
                <a:graphic xmlns:a="http://schemas.openxmlformats.org/drawingml/2006/main">
                  <a:graphicData uri="http://schemas.microsoft.com/office/word/2010/wordprocessingShape">
                    <wps:wsp>
                      <wps:cNvCnPr/>
                      <wps:spPr>
                        <a:xfrm flipV="1">
                          <a:off x="0" y="0"/>
                          <a:ext cx="0" cy="2483485"/>
                        </a:xfrm>
                        <a:prstGeom prst="straightConnector1">
                          <a:avLst/>
                        </a:prstGeom>
                        <a:ln w="31750">
                          <a:solidFill>
                            <a:schemeClr val="accent4">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3F06448" id="Connettore 2 7" o:spid="_x0000_s1026" type="#_x0000_t32" style="position:absolute;margin-left:255.45pt;margin-top:14.5pt;width:0;height:195.55pt;flip:y;z-index:2516526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" strokecolor="#ffd966 [1943]" strokeweight="2.5pt">
                <v:stroke endarrow="block" joinstyle="miter"/>
                <w10:wrap anchorx="margin"/>
              </v:shape>
            </w:pict>
          </mc:Fallback>
        </mc:AlternateContent>
      </w:r>
      <w:r w:rsidR="00EB0C67">
        <w:rPr>
          <w:noProof/>
        </w:rPr>
        <w:drawing>
          <wp:inline distT="0" distB="0" distL="0" distR="0" wp14:anchorId="21A2AA96" wp14:editId="3E0EED5B">
            <wp:extent cx="3510000" cy="3240000"/>
            <wp:effectExtent l="0" t="0" r="0" b="0"/>
            <wp:docPr id="25" name="Grafico 25">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440512F" w14:textId="4EB532BF" w:rsidR="008365BF" w:rsidRPr="008365BF" w:rsidRDefault="008365BF" w:rsidP="008365BF">
      <w:pPr>
        <w:spacing w:before="120" w:after="120" w:line="240" w:lineRule="auto"/>
        <w:jc w:val="center"/>
        <w:rPr>
          <w:rFonts w:ascii="Segoe UI" w:hAnsi="Segoe UI" w:cs="Segoe UI"/>
          <w:i/>
          <w:sz w:val="18"/>
          <w:szCs w:val="18"/>
          <w:lang w:val="en-US"/>
        </w:rPr>
      </w:pPr>
      <w:r w:rsidRPr="008365BF">
        <w:rPr>
          <w:rFonts w:ascii="Segoe UI" w:hAnsi="Segoe UI" w:cs="Segoe UI"/>
          <w:i/>
          <w:sz w:val="18"/>
          <w:szCs w:val="18"/>
          <w:lang w:val="en-US"/>
        </w:rPr>
        <w:t>Fonte: GRI, Sustainability Reporting Guidelines</w:t>
      </w:r>
      <w:r>
        <w:rPr>
          <w:rFonts w:ascii="Segoe UI" w:hAnsi="Segoe UI" w:cs="Segoe UI"/>
          <w:i/>
          <w:sz w:val="18"/>
          <w:szCs w:val="18"/>
          <w:lang w:val="en-US"/>
        </w:rPr>
        <w:t xml:space="preserve"> G4</w:t>
      </w:r>
      <w:r w:rsidRPr="008365BF">
        <w:rPr>
          <w:rFonts w:ascii="Segoe UI" w:hAnsi="Segoe UI" w:cs="Segoe UI"/>
          <w:i/>
          <w:sz w:val="18"/>
          <w:szCs w:val="18"/>
          <w:lang w:val="en-US"/>
        </w:rPr>
        <w:t>, Implementation Manual</w:t>
      </w:r>
      <w:r>
        <w:rPr>
          <w:rFonts w:ascii="Segoe UI" w:hAnsi="Segoe UI" w:cs="Segoe UI"/>
          <w:i/>
          <w:sz w:val="18"/>
          <w:szCs w:val="18"/>
          <w:lang w:val="en-US"/>
        </w:rPr>
        <w:t xml:space="preserve">, </w:t>
      </w:r>
      <w:r w:rsidRPr="008365BF">
        <w:rPr>
          <w:rFonts w:ascii="Segoe UI" w:hAnsi="Segoe UI" w:cs="Segoe UI"/>
          <w:i/>
          <w:sz w:val="18"/>
          <w:szCs w:val="18"/>
          <w:lang w:val="en-US"/>
        </w:rPr>
        <w:t xml:space="preserve">p. </w:t>
      </w:r>
      <w:r>
        <w:rPr>
          <w:rFonts w:ascii="Segoe UI" w:hAnsi="Segoe UI" w:cs="Segoe UI"/>
          <w:i/>
          <w:sz w:val="18"/>
          <w:szCs w:val="18"/>
          <w:lang w:val="en-US"/>
        </w:rPr>
        <w:t>12</w:t>
      </w:r>
      <w:r w:rsidRPr="008365BF">
        <w:rPr>
          <w:rFonts w:ascii="Segoe UI" w:hAnsi="Segoe UI" w:cs="Segoe UI"/>
          <w:i/>
          <w:sz w:val="18"/>
          <w:szCs w:val="18"/>
          <w:lang w:val="en-US"/>
        </w:rPr>
        <w:t>, 2013.</w:t>
      </w:r>
    </w:p>
    <w:p w14:paraId="23019B59" w14:textId="7795956F" w:rsidR="002E1C55" w:rsidRPr="008365BF" w:rsidRDefault="002E1C55" w:rsidP="001E4130">
      <w:pPr>
        <w:tabs>
          <w:tab w:val="left" w:pos="567"/>
        </w:tabs>
        <w:autoSpaceDE w:val="0"/>
        <w:autoSpaceDN w:val="0"/>
        <w:adjustRightInd w:val="0"/>
        <w:spacing w:before="120" w:after="120" w:line="240" w:lineRule="auto"/>
        <w:jc w:val="both"/>
        <w:rPr>
          <w:rFonts w:ascii="Segoe UI" w:hAnsi="Segoe UI" w:cs="Segoe UI"/>
          <w:lang w:val="en-US"/>
        </w:rPr>
      </w:pPr>
    </w:p>
    <w:p w14:paraId="4233B5FB" w14:textId="77777777" w:rsidR="00820FB6" w:rsidRPr="008365BF" w:rsidRDefault="00820FB6" w:rsidP="001E4130">
      <w:pPr>
        <w:tabs>
          <w:tab w:val="left" w:pos="567"/>
        </w:tabs>
        <w:autoSpaceDE w:val="0"/>
        <w:autoSpaceDN w:val="0"/>
        <w:adjustRightInd w:val="0"/>
        <w:spacing w:before="120" w:after="120" w:line="240" w:lineRule="auto"/>
        <w:jc w:val="both"/>
        <w:rPr>
          <w:rFonts w:ascii="Segoe UI" w:hAnsi="Segoe UI" w:cs="Segoe UI"/>
          <w:lang w:val="en-US"/>
        </w:rPr>
      </w:pPr>
    </w:p>
    <w:p w14:paraId="17BE9A3F" w14:textId="720CC78F" w:rsidR="00102F14" w:rsidRDefault="00102F14" w:rsidP="001E4130">
      <w:pPr>
        <w:tabs>
          <w:tab w:val="left" w:pos="567"/>
        </w:tabs>
        <w:autoSpaceDE w:val="0"/>
        <w:autoSpaceDN w:val="0"/>
        <w:adjustRightInd w:val="0"/>
        <w:spacing w:before="120" w:after="120" w:line="240" w:lineRule="auto"/>
        <w:jc w:val="both"/>
        <w:rPr>
          <w:rFonts w:ascii="Segoe UI" w:hAnsi="Segoe UI" w:cs="Segoe UI"/>
        </w:rPr>
      </w:pPr>
      <w:r>
        <w:rPr>
          <w:rFonts w:ascii="Segoe UI" w:hAnsi="Segoe UI" w:cs="Segoe UI"/>
        </w:rPr>
        <w:t xml:space="preserve">La lettura della rappresentazione grafica è intuitiva: nel periodo di riferimento, le informazioni relative ad ambiti e temi (in basso a sinistra) contraddistinti da una coppia di valori bassi (per i quali si è dunque rilevata una ridotta idoneità/possibilità di incidere sulle decisioni degli </w:t>
      </w:r>
      <w:r w:rsidRPr="00102F14">
        <w:rPr>
          <w:rFonts w:ascii="Segoe UI" w:hAnsi="Segoe UI" w:cs="Segoe UI"/>
          <w:i/>
        </w:rPr>
        <w:t>stakeholder</w:t>
      </w:r>
      <w:r>
        <w:rPr>
          <w:rFonts w:ascii="Segoe UI" w:hAnsi="Segoe UI" w:cs="Segoe UI"/>
        </w:rPr>
        <w:t xml:space="preserve"> e una altrettanto ridotta portata di eventuali impatti in termini economici, ambientali e sociali), saranno presumibilmente esclusi dalla </w:t>
      </w:r>
      <w:r w:rsidRPr="00102F14">
        <w:rPr>
          <w:rFonts w:ascii="Segoe UI" w:hAnsi="Segoe UI" w:cs="Segoe UI"/>
          <w:i/>
        </w:rPr>
        <w:t>disclosure</w:t>
      </w:r>
      <w:r>
        <w:rPr>
          <w:rFonts w:ascii="Segoe UI" w:hAnsi="Segoe UI" w:cs="Segoe UI"/>
        </w:rPr>
        <w:t xml:space="preserve">; viceversa, saranno inclusi nella </w:t>
      </w:r>
      <w:r w:rsidRPr="00102F14">
        <w:rPr>
          <w:rFonts w:ascii="Segoe UI" w:hAnsi="Segoe UI" w:cs="Segoe UI"/>
          <w:i/>
        </w:rPr>
        <w:t>disclosure</w:t>
      </w:r>
      <w:r>
        <w:rPr>
          <w:rFonts w:ascii="Segoe UI" w:hAnsi="Segoe UI" w:cs="Segoe UI"/>
        </w:rPr>
        <w:t xml:space="preserve"> le informazioni relative ad ambiti e temi (in alto a destra), cui è associata una coppia di valori alti; </w:t>
      </w:r>
      <w:r w:rsidR="00E8070F">
        <w:rPr>
          <w:rFonts w:ascii="Segoe UI" w:hAnsi="Segoe UI" w:cs="Segoe UI"/>
        </w:rPr>
        <w:t xml:space="preserve">la scelta sull’inclusione nella </w:t>
      </w:r>
      <w:r w:rsidR="00E8070F" w:rsidRPr="00E8070F">
        <w:rPr>
          <w:rFonts w:ascii="Segoe UI" w:hAnsi="Segoe UI" w:cs="Segoe UI"/>
          <w:i/>
        </w:rPr>
        <w:t>disclosure</w:t>
      </w:r>
      <w:r w:rsidR="00E8070F">
        <w:rPr>
          <w:rFonts w:ascii="Segoe UI" w:hAnsi="Segoe UI" w:cs="Segoe UI"/>
        </w:rPr>
        <w:t xml:space="preserve"> di </w:t>
      </w:r>
      <w:r>
        <w:rPr>
          <w:rFonts w:ascii="Segoe UI" w:hAnsi="Segoe UI" w:cs="Segoe UI"/>
        </w:rPr>
        <w:t>ambiti e temi (in arancio)</w:t>
      </w:r>
      <w:r w:rsidR="00E8070F">
        <w:rPr>
          <w:rFonts w:ascii="Segoe UI" w:hAnsi="Segoe UI" w:cs="Segoe UI"/>
        </w:rPr>
        <w:t xml:space="preserve"> posizionati nella fascia diagonale della figura potrà essere eventualmente effettuata sulla in base ad altri elementi o strumenti di valutazione politica o strategica da parte della direzione </w:t>
      </w:r>
      <w:r w:rsidR="00E8070F" w:rsidRPr="005C3153">
        <w:rPr>
          <w:rFonts w:ascii="Segoe UI" w:hAnsi="Segoe UI" w:cs="Segoe UI"/>
        </w:rPr>
        <w:t>aziendale</w:t>
      </w:r>
      <w:r w:rsidR="005C3153" w:rsidRPr="005C3153">
        <w:rPr>
          <w:rFonts w:ascii="Segoe UI" w:hAnsi="Segoe UI" w:cs="Segoe UI"/>
        </w:rPr>
        <w:t>, come, ad esempio, una loro appartenenza alla cerchia degli aspetti di sostenibilità di materialità finanziaria (</w:t>
      </w:r>
      <w:r w:rsidR="004C14AD">
        <w:rPr>
          <w:rFonts w:ascii="Segoe UI" w:hAnsi="Segoe UI" w:cs="Segoe UI"/>
        </w:rPr>
        <w:t>vedi</w:t>
      </w:r>
      <w:r w:rsidR="005C3153" w:rsidRPr="005C3153">
        <w:rPr>
          <w:rFonts w:ascii="Segoe UI" w:hAnsi="Segoe UI" w:cs="Segoe UI"/>
        </w:rPr>
        <w:t xml:space="preserve"> </w:t>
      </w:r>
      <w:r w:rsidR="005C3153" w:rsidRPr="004C14AD">
        <w:rPr>
          <w:rFonts w:ascii="Segoe UI" w:hAnsi="Segoe UI" w:cs="Segoe UI"/>
          <w:i/>
        </w:rPr>
        <w:t>infra</w:t>
      </w:r>
      <w:r w:rsidR="005C3153" w:rsidRPr="005C3153">
        <w:rPr>
          <w:rFonts w:ascii="Segoe UI" w:hAnsi="Segoe UI" w:cs="Segoe UI"/>
        </w:rPr>
        <w:t>)</w:t>
      </w:r>
      <w:r w:rsidRPr="005C3153">
        <w:rPr>
          <w:rFonts w:ascii="Segoe UI" w:hAnsi="Segoe UI" w:cs="Segoe UI"/>
        </w:rPr>
        <w:t>.</w:t>
      </w:r>
    </w:p>
    <w:p w14:paraId="5FDC27A2" w14:textId="657E1BF8" w:rsidR="00102F14" w:rsidRDefault="00E8070F" w:rsidP="001E4130">
      <w:pPr>
        <w:tabs>
          <w:tab w:val="left" w:pos="567"/>
        </w:tabs>
        <w:autoSpaceDE w:val="0"/>
        <w:autoSpaceDN w:val="0"/>
        <w:adjustRightInd w:val="0"/>
        <w:spacing w:before="120" w:after="120" w:line="240" w:lineRule="auto"/>
        <w:jc w:val="both"/>
        <w:rPr>
          <w:rFonts w:ascii="Segoe UI" w:hAnsi="Segoe UI" w:cs="Segoe UI"/>
        </w:rPr>
      </w:pPr>
      <w:r>
        <w:rPr>
          <w:rFonts w:ascii="Segoe UI" w:hAnsi="Segoe UI" w:cs="Segoe UI"/>
        </w:rPr>
        <w:t xml:space="preserve">Si tenga presente, in ogni caso, che la matrice aiuta a fornire una rappresentazione degli elementi identificati quali materiali </w:t>
      </w:r>
      <w:r w:rsidR="000D3F1B">
        <w:rPr>
          <w:rFonts w:ascii="Segoe UI" w:hAnsi="Segoe UI" w:cs="Segoe UI"/>
        </w:rPr>
        <w:t xml:space="preserve">(in funzione delle due variabili considerate) per </w:t>
      </w:r>
      <w:r>
        <w:rPr>
          <w:rFonts w:ascii="Segoe UI" w:hAnsi="Segoe UI" w:cs="Segoe UI"/>
        </w:rPr>
        <w:t>la “</w:t>
      </w:r>
      <w:r w:rsidRPr="00E8070F">
        <w:rPr>
          <w:rFonts w:ascii="Segoe UI" w:hAnsi="Segoe UI" w:cs="Segoe UI"/>
          <w:i/>
        </w:rPr>
        <w:t>disclosure</w:t>
      </w:r>
      <w:r>
        <w:rPr>
          <w:rFonts w:ascii="Segoe UI" w:hAnsi="Segoe UI" w:cs="Segoe UI"/>
        </w:rPr>
        <w:t xml:space="preserve">” </w:t>
      </w:r>
      <w:r w:rsidR="00102F14">
        <w:rPr>
          <w:rFonts w:ascii="Segoe UI" w:hAnsi="Segoe UI" w:cs="Segoe UI"/>
        </w:rPr>
        <w:t>nel periodo di riferimento</w:t>
      </w:r>
      <w:r>
        <w:rPr>
          <w:rFonts w:ascii="Segoe UI" w:hAnsi="Segoe UI" w:cs="Segoe UI"/>
        </w:rPr>
        <w:t xml:space="preserve"> </w:t>
      </w:r>
      <w:r w:rsidR="00102F14">
        <w:rPr>
          <w:rFonts w:ascii="Segoe UI" w:hAnsi="Segoe UI" w:cs="Segoe UI"/>
        </w:rPr>
        <w:t>ma non</w:t>
      </w:r>
      <w:r>
        <w:rPr>
          <w:rFonts w:ascii="Segoe UI" w:hAnsi="Segoe UI" w:cs="Segoe UI"/>
        </w:rPr>
        <w:t xml:space="preserve"> degli elementi </w:t>
      </w:r>
      <w:r w:rsidR="000D3F1B">
        <w:rPr>
          <w:rFonts w:ascii="Segoe UI" w:hAnsi="Segoe UI" w:cs="Segoe UI"/>
        </w:rPr>
        <w:t xml:space="preserve">da escludere </w:t>
      </w:r>
      <w:r>
        <w:rPr>
          <w:rFonts w:ascii="Segoe UI" w:hAnsi="Segoe UI" w:cs="Segoe UI"/>
        </w:rPr>
        <w:t>d</w:t>
      </w:r>
      <w:r w:rsidR="000D3F1B">
        <w:rPr>
          <w:rFonts w:ascii="Segoe UI" w:hAnsi="Segoe UI" w:cs="Segoe UI"/>
        </w:rPr>
        <w:t>a</w:t>
      </w:r>
      <w:r>
        <w:rPr>
          <w:rFonts w:ascii="Segoe UI" w:hAnsi="Segoe UI" w:cs="Segoe UI"/>
        </w:rPr>
        <w:t>l sistema di rendicontazione</w:t>
      </w:r>
      <w:r w:rsidR="000D3F1B">
        <w:rPr>
          <w:rFonts w:ascii="Segoe UI" w:hAnsi="Segoe UI" w:cs="Segoe UI"/>
        </w:rPr>
        <w:t xml:space="preserve">: </w:t>
      </w:r>
      <w:r>
        <w:rPr>
          <w:rFonts w:ascii="Segoe UI" w:hAnsi="Segoe UI" w:cs="Segoe UI"/>
        </w:rPr>
        <w:t xml:space="preserve">in altri termini, anche </w:t>
      </w:r>
      <w:r w:rsidR="000D3F1B">
        <w:rPr>
          <w:rFonts w:ascii="Segoe UI" w:hAnsi="Segoe UI" w:cs="Segoe UI"/>
        </w:rPr>
        <w:t xml:space="preserve">gli </w:t>
      </w:r>
      <w:r>
        <w:rPr>
          <w:rFonts w:ascii="Segoe UI" w:hAnsi="Segoe UI" w:cs="Segoe UI"/>
        </w:rPr>
        <w:t xml:space="preserve">ambiti e </w:t>
      </w:r>
      <w:r w:rsidR="000D3F1B">
        <w:rPr>
          <w:rFonts w:ascii="Segoe UI" w:hAnsi="Segoe UI" w:cs="Segoe UI"/>
        </w:rPr>
        <w:t xml:space="preserve">i </w:t>
      </w:r>
      <w:r>
        <w:rPr>
          <w:rFonts w:ascii="Segoe UI" w:hAnsi="Segoe UI" w:cs="Segoe UI"/>
        </w:rPr>
        <w:t xml:space="preserve">temi in rosso </w:t>
      </w:r>
      <w:r w:rsidR="000D3F1B">
        <w:rPr>
          <w:rFonts w:ascii="Segoe UI" w:hAnsi="Segoe UI" w:cs="Segoe UI"/>
        </w:rPr>
        <w:t>(</w:t>
      </w:r>
      <w:r>
        <w:rPr>
          <w:rFonts w:ascii="Segoe UI" w:hAnsi="Segoe UI" w:cs="Segoe UI"/>
        </w:rPr>
        <w:t xml:space="preserve">che in una </w:t>
      </w:r>
      <w:r w:rsidR="000D3F1B">
        <w:rPr>
          <w:rFonts w:ascii="Segoe UI" w:hAnsi="Segoe UI" w:cs="Segoe UI"/>
        </w:rPr>
        <w:t xml:space="preserve">determinata </w:t>
      </w:r>
      <w:r>
        <w:rPr>
          <w:rFonts w:ascii="Segoe UI" w:hAnsi="Segoe UI" w:cs="Segoe UI"/>
        </w:rPr>
        <w:t>matrice appai</w:t>
      </w:r>
      <w:r w:rsidR="000D3F1B">
        <w:rPr>
          <w:rFonts w:ascii="Segoe UI" w:hAnsi="Segoe UI" w:cs="Segoe UI"/>
        </w:rPr>
        <w:t>a</w:t>
      </w:r>
      <w:r>
        <w:rPr>
          <w:rFonts w:ascii="Segoe UI" w:hAnsi="Segoe UI" w:cs="Segoe UI"/>
        </w:rPr>
        <w:t>no in basso a sinistra</w:t>
      </w:r>
      <w:r w:rsidR="000D3F1B">
        <w:rPr>
          <w:rFonts w:ascii="Segoe UI" w:hAnsi="Segoe UI" w:cs="Segoe UI"/>
        </w:rPr>
        <w:t>)</w:t>
      </w:r>
      <w:r>
        <w:rPr>
          <w:rFonts w:ascii="Segoe UI" w:hAnsi="Segoe UI" w:cs="Segoe UI"/>
        </w:rPr>
        <w:t xml:space="preserve"> dovranno o potranno essere comunque inclusi nel processo di rendicontazione</w:t>
      </w:r>
      <w:r w:rsidR="000D3F1B">
        <w:rPr>
          <w:rFonts w:ascii="Segoe UI" w:hAnsi="Segoe UI" w:cs="Segoe UI"/>
        </w:rPr>
        <w:t xml:space="preserve"> </w:t>
      </w:r>
      <w:r>
        <w:rPr>
          <w:rFonts w:ascii="Segoe UI" w:hAnsi="Segoe UI" w:cs="Segoe UI"/>
        </w:rPr>
        <w:t>(raccolta di informazioni e dati</w:t>
      </w:r>
      <w:r w:rsidR="000D3F1B">
        <w:rPr>
          <w:rFonts w:ascii="Segoe UI" w:hAnsi="Segoe UI" w:cs="Segoe UI"/>
        </w:rPr>
        <w:t>, rielaborazione, analisi, valutazione)</w:t>
      </w:r>
      <w:r>
        <w:rPr>
          <w:rFonts w:ascii="Segoe UI" w:hAnsi="Segoe UI" w:cs="Segoe UI"/>
        </w:rPr>
        <w:t xml:space="preserve"> </w:t>
      </w:r>
      <w:r w:rsidR="000D3F1B">
        <w:rPr>
          <w:rFonts w:ascii="Segoe UI" w:hAnsi="Segoe UI" w:cs="Segoe UI"/>
        </w:rPr>
        <w:t xml:space="preserve">per il periodo successivo </w:t>
      </w:r>
      <w:r>
        <w:rPr>
          <w:rFonts w:ascii="Segoe UI" w:hAnsi="Segoe UI" w:cs="Segoe UI"/>
        </w:rPr>
        <w:t xml:space="preserve">laddove </w:t>
      </w:r>
      <w:r w:rsidR="000D3F1B">
        <w:rPr>
          <w:rFonts w:ascii="Segoe UI" w:hAnsi="Segoe UI" w:cs="Segoe UI"/>
        </w:rPr>
        <w:t xml:space="preserve">la loro </w:t>
      </w:r>
      <w:r>
        <w:rPr>
          <w:rFonts w:ascii="Segoe UI" w:hAnsi="Segoe UI" w:cs="Segoe UI"/>
        </w:rPr>
        <w:t xml:space="preserve">posizione nella figura </w:t>
      </w:r>
      <w:r w:rsidR="000D3F1B">
        <w:rPr>
          <w:rFonts w:ascii="Segoe UI" w:hAnsi="Segoe UI" w:cs="Segoe UI"/>
        </w:rPr>
        <w:t xml:space="preserve">sia ritenuta suscettibile di variazione </w:t>
      </w:r>
      <w:r>
        <w:rPr>
          <w:rFonts w:ascii="Segoe UI" w:hAnsi="Segoe UI" w:cs="Segoe UI"/>
        </w:rPr>
        <w:t xml:space="preserve">nel corso del tempo (perché suscettibili di variazioni di rilievo </w:t>
      </w:r>
      <w:r w:rsidR="000D3F1B">
        <w:rPr>
          <w:rFonts w:ascii="Segoe UI" w:hAnsi="Segoe UI" w:cs="Segoe UI"/>
        </w:rPr>
        <w:t xml:space="preserve">siano </w:t>
      </w:r>
      <w:r>
        <w:rPr>
          <w:rFonts w:ascii="Segoe UI" w:hAnsi="Segoe UI" w:cs="Segoe UI"/>
        </w:rPr>
        <w:t xml:space="preserve">la </w:t>
      </w:r>
      <w:r w:rsidR="000D3F1B">
        <w:rPr>
          <w:rFonts w:ascii="Segoe UI" w:hAnsi="Segoe UI" w:cs="Segoe UI"/>
        </w:rPr>
        <w:t xml:space="preserve">loro </w:t>
      </w:r>
      <w:r>
        <w:rPr>
          <w:rFonts w:ascii="Segoe UI" w:hAnsi="Segoe UI" w:cs="Segoe UI"/>
        </w:rPr>
        <w:t xml:space="preserve">potenziale influenza sulle decisioni degli </w:t>
      </w:r>
      <w:r w:rsidRPr="00E8070F">
        <w:rPr>
          <w:rFonts w:ascii="Segoe UI" w:hAnsi="Segoe UI" w:cs="Segoe UI"/>
          <w:i/>
        </w:rPr>
        <w:t>stakeholder</w:t>
      </w:r>
      <w:r>
        <w:rPr>
          <w:rFonts w:ascii="Segoe UI" w:hAnsi="Segoe UI" w:cs="Segoe UI"/>
        </w:rPr>
        <w:t>, o la portata dei relativi impatti economici o ESG, ovvero entrambe quest</w:t>
      </w:r>
      <w:r w:rsidR="000D3F1B">
        <w:rPr>
          <w:rFonts w:ascii="Segoe UI" w:hAnsi="Segoe UI" w:cs="Segoe UI"/>
        </w:rPr>
        <w:t>e</w:t>
      </w:r>
      <w:r>
        <w:rPr>
          <w:rFonts w:ascii="Segoe UI" w:hAnsi="Segoe UI" w:cs="Segoe UI"/>
        </w:rPr>
        <w:t xml:space="preserve"> due variabili)</w:t>
      </w:r>
      <w:r w:rsidR="000D3F1B">
        <w:rPr>
          <w:rFonts w:ascii="Segoe UI" w:hAnsi="Segoe UI" w:cs="Segoe UI"/>
        </w:rPr>
        <w:t>.</w:t>
      </w:r>
    </w:p>
    <w:p w14:paraId="7115850D" w14:textId="1FA436C4" w:rsidR="002A7430" w:rsidRPr="002A7430" w:rsidRDefault="001E4130" w:rsidP="002A7430">
      <w:pPr>
        <w:tabs>
          <w:tab w:val="left" w:pos="567"/>
        </w:tabs>
        <w:autoSpaceDE w:val="0"/>
        <w:autoSpaceDN w:val="0"/>
        <w:adjustRightInd w:val="0"/>
        <w:spacing w:before="120" w:after="120" w:line="240" w:lineRule="auto"/>
        <w:jc w:val="both"/>
        <w:rPr>
          <w:rFonts w:ascii="Segoe UI" w:hAnsi="Segoe UI" w:cs="Segoe UI"/>
        </w:rPr>
      </w:pPr>
      <w:r w:rsidRPr="002A7430">
        <w:rPr>
          <w:rFonts w:ascii="Segoe UI" w:hAnsi="Segoe UI" w:cs="Segoe UI"/>
        </w:rPr>
        <w:t xml:space="preserve">Il documento in esame, in cui il GRI fornisce gli elementi necessari a </w:t>
      </w:r>
      <w:r w:rsidR="002A7430" w:rsidRPr="002A7430">
        <w:rPr>
          <w:rFonts w:ascii="Segoe UI" w:hAnsi="Segoe UI" w:cs="Segoe UI"/>
        </w:rPr>
        <w:t xml:space="preserve">meglio </w:t>
      </w:r>
      <w:r w:rsidRPr="002A7430">
        <w:rPr>
          <w:rFonts w:ascii="Segoe UI" w:hAnsi="Segoe UI" w:cs="Segoe UI"/>
        </w:rPr>
        <w:t xml:space="preserve">esplicitare il proprio approccio ai fini della determinazione della materialità, possiede però ulteriori aspetti di notevole interesse nella prospettiva dell’analisi oggetto del presente documento. “Definig What Matters. Do companies and investors agree on what is material?” è stato infatti elaborato </w:t>
      </w:r>
      <w:r w:rsidR="002A7430" w:rsidRPr="002A7430">
        <w:rPr>
          <w:rFonts w:ascii="Segoe UI" w:hAnsi="Segoe UI" w:cs="Segoe UI"/>
        </w:rPr>
        <w:t xml:space="preserve">dal GRI </w:t>
      </w:r>
      <w:r w:rsidRPr="002A7430">
        <w:rPr>
          <w:rFonts w:ascii="Segoe UI" w:hAnsi="Segoe UI" w:cs="Segoe UI"/>
        </w:rPr>
        <w:t>insiem</w:t>
      </w:r>
      <w:r w:rsidR="002A7430" w:rsidRPr="002A7430">
        <w:rPr>
          <w:rFonts w:ascii="Segoe UI" w:hAnsi="Segoe UI" w:cs="Segoe UI"/>
        </w:rPr>
        <w:t>e</w:t>
      </w:r>
      <w:r w:rsidRPr="002A7430">
        <w:rPr>
          <w:rFonts w:ascii="Segoe UI" w:hAnsi="Segoe UI" w:cs="Segoe UI"/>
        </w:rPr>
        <w:t xml:space="preserve"> a RobecoSAM, organizza</w:t>
      </w:r>
      <w:r w:rsidR="002A7430" w:rsidRPr="002A7430">
        <w:rPr>
          <w:rFonts w:ascii="Segoe UI" w:hAnsi="Segoe UI" w:cs="Segoe UI"/>
        </w:rPr>
        <w:t>z</w:t>
      </w:r>
      <w:r w:rsidRPr="002A7430">
        <w:rPr>
          <w:rFonts w:ascii="Segoe UI" w:hAnsi="Segoe UI" w:cs="Segoe UI"/>
        </w:rPr>
        <w:t xml:space="preserve">ione i cui principali </w:t>
      </w:r>
      <w:r w:rsidRPr="002A7430">
        <w:rPr>
          <w:rFonts w:ascii="Segoe UI" w:hAnsi="Segoe UI" w:cs="Segoe UI"/>
          <w:i/>
        </w:rPr>
        <w:t>stakehol</w:t>
      </w:r>
      <w:r w:rsidR="002A7430" w:rsidRPr="002A7430">
        <w:rPr>
          <w:rFonts w:ascii="Segoe UI" w:hAnsi="Segoe UI" w:cs="Segoe UI"/>
          <w:i/>
        </w:rPr>
        <w:t>d</w:t>
      </w:r>
      <w:r w:rsidRPr="002A7430">
        <w:rPr>
          <w:rFonts w:ascii="Segoe UI" w:hAnsi="Segoe UI" w:cs="Segoe UI"/>
          <w:i/>
        </w:rPr>
        <w:t>er</w:t>
      </w:r>
      <w:r w:rsidRPr="002A7430">
        <w:rPr>
          <w:rFonts w:ascii="Segoe UI" w:hAnsi="Segoe UI" w:cs="Segoe UI"/>
        </w:rPr>
        <w:t xml:space="preserve"> sono gli investitori finanziari</w:t>
      </w:r>
      <w:r w:rsidR="002A7430" w:rsidRPr="002A7430">
        <w:rPr>
          <w:rFonts w:ascii="Segoe UI" w:hAnsi="Segoe UI" w:cs="Segoe UI"/>
        </w:rPr>
        <w:t>, interessati ad aspetti che sono considerati “</w:t>
      </w:r>
      <w:r w:rsidR="002A7430" w:rsidRPr="002A7430">
        <w:rPr>
          <w:rFonts w:ascii="Segoe UI" w:hAnsi="Segoe UI" w:cs="Segoe UI"/>
          <w:i/>
        </w:rPr>
        <w:t>financially material</w:t>
      </w:r>
      <w:r w:rsidR="002A7430" w:rsidRPr="002A7430">
        <w:rPr>
          <w:rFonts w:ascii="Segoe UI" w:hAnsi="Segoe UI" w:cs="Segoe UI"/>
        </w:rPr>
        <w:t>”, circostanza che si riflette per definire la materialità di fattori di sostenibilità come segue: “Any factor which might have a present or future impact on companies’ value drivers, competitive position, and thus on long-term shareholder value creation.”.</w:t>
      </w:r>
    </w:p>
    <w:p w14:paraId="79D5BEB0" w14:textId="6BB2116C" w:rsidR="002A7430" w:rsidRPr="009C0EC1" w:rsidRDefault="009C0EC1" w:rsidP="009C0EC1">
      <w:pPr>
        <w:tabs>
          <w:tab w:val="left" w:pos="567"/>
        </w:tabs>
        <w:autoSpaceDE w:val="0"/>
        <w:autoSpaceDN w:val="0"/>
        <w:adjustRightInd w:val="0"/>
        <w:spacing w:before="120" w:after="120" w:line="240" w:lineRule="auto"/>
        <w:jc w:val="both"/>
        <w:rPr>
          <w:rFonts w:ascii="Segoe UI" w:hAnsi="Segoe UI" w:cs="Segoe UI"/>
        </w:rPr>
      </w:pPr>
      <w:r w:rsidRPr="009C0EC1">
        <w:rPr>
          <w:rFonts w:ascii="Segoe UI" w:hAnsi="Segoe UI" w:cs="Segoe UI"/>
        </w:rPr>
        <w:t xml:space="preserve">Nel considerare gli impatti sui </w:t>
      </w:r>
      <w:r w:rsidRPr="009C0EC1">
        <w:rPr>
          <w:rFonts w:ascii="Segoe UI" w:hAnsi="Segoe UI" w:cs="Segoe UI"/>
          <w:i/>
        </w:rPr>
        <w:t>driver</w:t>
      </w:r>
      <w:r w:rsidRPr="009C0EC1">
        <w:rPr>
          <w:rFonts w:ascii="Segoe UI" w:hAnsi="Segoe UI" w:cs="Segoe UI"/>
        </w:rPr>
        <w:t xml:space="preserve"> che </w:t>
      </w:r>
      <w:r>
        <w:rPr>
          <w:rFonts w:ascii="Segoe UI" w:hAnsi="Segoe UI" w:cs="Segoe UI"/>
        </w:rPr>
        <w:t xml:space="preserve">possono </w:t>
      </w:r>
      <w:r w:rsidRPr="009C0EC1">
        <w:rPr>
          <w:rFonts w:ascii="Segoe UI" w:hAnsi="Segoe UI" w:cs="Segoe UI"/>
        </w:rPr>
        <w:t>influi</w:t>
      </w:r>
      <w:r>
        <w:rPr>
          <w:rFonts w:ascii="Segoe UI" w:hAnsi="Segoe UI" w:cs="Segoe UI"/>
        </w:rPr>
        <w:t xml:space="preserve">re </w:t>
      </w:r>
      <w:r w:rsidRPr="009C0EC1">
        <w:rPr>
          <w:rFonts w:ascii="Segoe UI" w:hAnsi="Segoe UI" w:cs="Segoe UI"/>
        </w:rPr>
        <w:t>sul valore e sulla posizione di una società, RobecoSAM considera</w:t>
      </w:r>
      <w:r>
        <w:rPr>
          <w:rFonts w:ascii="Segoe UI" w:hAnsi="Segoe UI" w:cs="Segoe UI"/>
        </w:rPr>
        <w:t xml:space="preserve"> le seguenti variabili: rischi e opportunità reddituali generati dallo sviluppo del mercato e dalla posizione competitiva; implicazioni sui costi generate da oneri connessi alla </w:t>
      </w:r>
      <w:r w:rsidRPr="009C0EC1">
        <w:rPr>
          <w:rFonts w:ascii="Segoe UI" w:hAnsi="Segoe UI" w:cs="Segoe UI"/>
          <w:i/>
        </w:rPr>
        <w:t>compliance</w:t>
      </w:r>
      <w:r>
        <w:rPr>
          <w:rFonts w:ascii="Segoe UI" w:hAnsi="Segoe UI" w:cs="Segoe UI"/>
        </w:rPr>
        <w:t xml:space="preserve"> normativa e alla legittimità sociale ad operare, alla gestione ambientale e alla gestione delle risorse umane e della sicurezza; efficienza operativa e del capitale che rifletta investimenti addizionali al fine di adempiere disposizioni regolamentari e di soddisfare altri requisiti e aspettative degli </w:t>
      </w:r>
      <w:r w:rsidRPr="003D4FE0">
        <w:rPr>
          <w:rFonts w:ascii="Segoe UI" w:hAnsi="Segoe UI" w:cs="Segoe UI"/>
          <w:i/>
        </w:rPr>
        <w:t>stakeholder</w:t>
      </w:r>
      <w:r>
        <w:rPr>
          <w:rFonts w:ascii="Segoe UI" w:hAnsi="Segoe UI" w:cs="Segoe UI"/>
        </w:rPr>
        <w:t xml:space="preserve">, gestione ambientale, </w:t>
      </w:r>
      <w:r w:rsidRPr="003D4FE0">
        <w:rPr>
          <w:rFonts w:ascii="Segoe UI" w:hAnsi="Segoe UI" w:cs="Segoe UI"/>
          <w:i/>
        </w:rPr>
        <w:t>trend</w:t>
      </w:r>
      <w:r>
        <w:rPr>
          <w:rFonts w:ascii="Segoe UI" w:hAnsi="Segoe UI" w:cs="Segoe UI"/>
        </w:rPr>
        <w:t xml:space="preserve"> nei costi per la gestione della capacità produttiva e della vita operativa degli </w:t>
      </w:r>
      <w:r w:rsidRPr="003D4FE0">
        <w:rPr>
          <w:rFonts w:ascii="Segoe UI" w:hAnsi="Segoe UI" w:cs="Segoe UI"/>
          <w:i/>
        </w:rPr>
        <w:t>asset</w:t>
      </w:r>
      <w:r>
        <w:rPr>
          <w:rFonts w:ascii="Segoe UI" w:hAnsi="Segoe UI" w:cs="Segoe UI"/>
        </w:rPr>
        <w:t xml:space="preserve">; esposizione ai rischi connessi alla </w:t>
      </w:r>
      <w:r w:rsidRPr="009C0EC1">
        <w:rPr>
          <w:rFonts w:ascii="Segoe UI" w:hAnsi="Segoe UI" w:cs="Segoe UI"/>
          <w:i/>
        </w:rPr>
        <w:t>governance</w:t>
      </w:r>
      <w:r>
        <w:rPr>
          <w:rFonts w:ascii="Segoe UI" w:hAnsi="Segoe UI" w:cs="Segoe UI"/>
        </w:rPr>
        <w:t xml:space="preserve">, alla regolamentazione generale, alla condotta aziendale o a tematiche ambientali e sociali inerenti a tipologie di </w:t>
      </w:r>
      <w:r w:rsidRPr="003D4FE0">
        <w:rPr>
          <w:rFonts w:ascii="Segoe UI" w:hAnsi="Segoe UI" w:cs="Segoe UI"/>
          <w:i/>
        </w:rPr>
        <w:t>stakeholder</w:t>
      </w:r>
      <w:r>
        <w:rPr>
          <w:rFonts w:ascii="Segoe UI" w:hAnsi="Segoe UI" w:cs="Segoe UI"/>
        </w:rPr>
        <w:t xml:space="preserve"> diverse dagli </w:t>
      </w:r>
      <w:r w:rsidRPr="009C0EC1">
        <w:rPr>
          <w:rFonts w:ascii="Segoe UI" w:hAnsi="Segoe UI" w:cs="Segoe UI"/>
          <w:i/>
        </w:rPr>
        <w:t>investor</w:t>
      </w:r>
      <w:r>
        <w:rPr>
          <w:rFonts w:ascii="Segoe UI" w:hAnsi="Segoe UI" w:cs="Segoe UI"/>
        </w:rPr>
        <w:t>.</w:t>
      </w:r>
    </w:p>
    <w:p w14:paraId="754F5C29" w14:textId="1B93243C" w:rsidR="009C0EC1" w:rsidRDefault="009C0EC1" w:rsidP="009C0EC1">
      <w:pPr>
        <w:tabs>
          <w:tab w:val="left" w:pos="567"/>
        </w:tabs>
        <w:autoSpaceDE w:val="0"/>
        <w:autoSpaceDN w:val="0"/>
        <w:adjustRightInd w:val="0"/>
        <w:spacing w:before="120" w:after="120" w:line="240" w:lineRule="auto"/>
        <w:jc w:val="both"/>
        <w:rPr>
          <w:rFonts w:ascii="Segoe UI" w:hAnsi="Segoe UI" w:cs="Segoe UI"/>
        </w:rPr>
      </w:pPr>
      <w:r>
        <w:rPr>
          <w:rFonts w:ascii="Segoe UI" w:hAnsi="Segoe UI" w:cs="Segoe UI"/>
        </w:rPr>
        <w:t xml:space="preserve">Questo approccio implica che le variabili fondamentali ai fini della determinazione della materialità dei fattori </w:t>
      </w:r>
      <w:r w:rsidR="003D4FE0">
        <w:rPr>
          <w:rFonts w:ascii="Segoe UI" w:hAnsi="Segoe UI" w:cs="Segoe UI"/>
        </w:rPr>
        <w:t xml:space="preserve">di sostenibilità </w:t>
      </w:r>
      <w:r>
        <w:rPr>
          <w:rFonts w:ascii="Segoe UI" w:hAnsi="Segoe UI" w:cs="Segoe UI"/>
        </w:rPr>
        <w:t>sopraelencati, nell’ottica strategica di RobecoSAM, siano sostanzialmente: a) la probabilità del verificarsi di un evento che possa incidere sulla variabile considerata; b) la portata dell’impatto.</w:t>
      </w:r>
    </w:p>
    <w:p w14:paraId="53CDCF52" w14:textId="1C7D3025" w:rsidR="00900988" w:rsidRDefault="00900988" w:rsidP="00900988">
      <w:pPr>
        <w:tabs>
          <w:tab w:val="left" w:pos="567"/>
        </w:tabs>
        <w:autoSpaceDE w:val="0"/>
        <w:autoSpaceDN w:val="0"/>
        <w:adjustRightInd w:val="0"/>
        <w:spacing w:before="120" w:after="120" w:line="240" w:lineRule="auto"/>
        <w:jc w:val="both"/>
        <w:rPr>
          <w:rFonts w:ascii="Segoe UI" w:hAnsi="Segoe UI" w:cs="Segoe UI"/>
        </w:rPr>
      </w:pPr>
      <w:r w:rsidRPr="00900988">
        <w:rPr>
          <w:rFonts w:ascii="Segoe UI" w:hAnsi="Segoe UI" w:cs="Segoe UI"/>
        </w:rPr>
        <w:t>Nella figura che segue è rappresentato il risultato finale di tale processo, in cui nell’ellisse blu sono inclusi i fattori di sostenibilità individuati quali materiali (in funzione della portata e della probabilità d’impatto) nell’ambito dell’analisi di materialità finanziaria (</w:t>
      </w:r>
      <w:r>
        <w:rPr>
          <w:rFonts w:ascii="Segoe UI" w:hAnsi="Segoe UI" w:cs="Segoe UI"/>
        </w:rPr>
        <w:t xml:space="preserve">il significato </w:t>
      </w:r>
      <w:r w:rsidRPr="00900988">
        <w:rPr>
          <w:rFonts w:ascii="Segoe UI" w:hAnsi="Segoe UI" w:cs="Segoe UI"/>
        </w:rPr>
        <w:t>dell’ellisse arancione sarà chiar</w:t>
      </w:r>
      <w:r>
        <w:rPr>
          <w:rFonts w:ascii="Segoe UI" w:hAnsi="Segoe UI" w:cs="Segoe UI"/>
        </w:rPr>
        <w:t>ito</w:t>
      </w:r>
      <w:r w:rsidRPr="00900988">
        <w:rPr>
          <w:rFonts w:ascii="Segoe UI" w:hAnsi="Segoe UI" w:cs="Segoe UI"/>
        </w:rPr>
        <w:t xml:space="preserve"> di qui a poco).</w:t>
      </w:r>
    </w:p>
    <w:p w14:paraId="09283903" w14:textId="77777777" w:rsidR="00900988" w:rsidRDefault="00900988" w:rsidP="009C0EC1">
      <w:pPr>
        <w:tabs>
          <w:tab w:val="left" w:pos="567"/>
        </w:tabs>
        <w:autoSpaceDE w:val="0"/>
        <w:autoSpaceDN w:val="0"/>
        <w:adjustRightInd w:val="0"/>
        <w:spacing w:before="120" w:after="120" w:line="240" w:lineRule="auto"/>
        <w:jc w:val="both"/>
        <w:rPr>
          <w:rFonts w:ascii="Segoe UI" w:hAnsi="Segoe UI" w:cs="Segoe UI"/>
        </w:rPr>
      </w:pPr>
    </w:p>
    <w:p w14:paraId="67232A7C" w14:textId="4CB2058C" w:rsidR="00D14E32" w:rsidRDefault="00A91C40" w:rsidP="00A91C40">
      <w:pPr>
        <w:keepNext/>
        <w:keepLines/>
        <w:tabs>
          <w:tab w:val="left" w:pos="0"/>
        </w:tabs>
        <w:spacing w:before="120" w:after="120" w:line="240" w:lineRule="auto"/>
        <w:jc w:val="center"/>
        <w:rPr>
          <w:rFonts w:ascii="Segoe UI" w:hAnsi="Segoe UI" w:cs="Segoe UI"/>
          <w:sz w:val="20"/>
          <w:szCs w:val="20"/>
        </w:rPr>
      </w:pPr>
      <w:r w:rsidRPr="002F70D1">
        <w:rPr>
          <w:rFonts w:ascii="Segoe UI" w:hAnsi="Segoe UI" w:cs="Segoe UI"/>
          <w:sz w:val="20"/>
          <w:szCs w:val="20"/>
        </w:rPr>
        <w:t xml:space="preserve">Figura </w:t>
      </w:r>
      <w:r w:rsidR="00102F14">
        <w:rPr>
          <w:rFonts w:ascii="Segoe UI" w:hAnsi="Segoe UI" w:cs="Segoe UI"/>
          <w:sz w:val="20"/>
          <w:szCs w:val="20"/>
        </w:rPr>
        <w:t>3:</w:t>
      </w:r>
      <w:r w:rsidRPr="002F70D1">
        <w:rPr>
          <w:rFonts w:ascii="Segoe UI" w:hAnsi="Segoe UI" w:cs="Segoe UI"/>
          <w:sz w:val="20"/>
          <w:szCs w:val="20"/>
        </w:rPr>
        <w:t xml:space="preserve"> </w:t>
      </w:r>
      <w:r>
        <w:rPr>
          <w:rFonts w:ascii="Segoe UI" w:hAnsi="Segoe UI" w:cs="Segoe UI"/>
          <w:sz w:val="20"/>
          <w:szCs w:val="20"/>
        </w:rPr>
        <w:t xml:space="preserve">Rappresentazione grafica del processo di </w:t>
      </w:r>
      <w:r w:rsidRPr="008057C1">
        <w:rPr>
          <w:rFonts w:ascii="Segoe UI" w:hAnsi="Segoe UI" w:cs="Segoe UI"/>
          <w:sz w:val="20"/>
          <w:szCs w:val="20"/>
        </w:rPr>
        <w:t>priorizzazione</w:t>
      </w:r>
      <w:r>
        <w:rPr>
          <w:rFonts w:ascii="Segoe UI" w:hAnsi="Segoe UI" w:cs="Segoe UI"/>
          <w:sz w:val="20"/>
          <w:szCs w:val="20"/>
        </w:rPr>
        <w:t xml:space="preserve"> di ambiti e </w:t>
      </w:r>
      <w:r w:rsidRPr="002F70D1">
        <w:rPr>
          <w:rFonts w:ascii="Segoe UI" w:hAnsi="Segoe UI" w:cs="Segoe UI"/>
          <w:sz w:val="20"/>
          <w:szCs w:val="20"/>
        </w:rPr>
        <w:t>aspetti</w:t>
      </w:r>
      <w:r w:rsidR="00C54DCF">
        <w:rPr>
          <w:rFonts w:ascii="Segoe UI" w:hAnsi="Segoe UI" w:cs="Segoe UI"/>
          <w:sz w:val="20"/>
          <w:szCs w:val="20"/>
        </w:rPr>
        <w:t xml:space="preserve"> di materialità finanziaria</w:t>
      </w:r>
    </w:p>
    <w:p w14:paraId="35E39468" w14:textId="1056477B" w:rsidR="00D14E32" w:rsidRDefault="00E24DF7" w:rsidP="00A91C40">
      <w:pPr>
        <w:keepNext/>
        <w:keepLines/>
        <w:tabs>
          <w:tab w:val="left" w:pos="0"/>
        </w:tabs>
        <w:spacing w:before="120" w:after="120" w:line="240" w:lineRule="auto"/>
        <w:jc w:val="center"/>
        <w:rPr>
          <w:rFonts w:ascii="Segoe UI" w:hAnsi="Segoe UI" w:cs="Segoe UI"/>
          <w:sz w:val="20"/>
          <w:szCs w:val="20"/>
        </w:rPr>
      </w:pPr>
      <w:r>
        <w:rPr>
          <w:noProof/>
          <w:lang w:eastAsia="it-IT"/>
        </w:rPr>
        <mc:AlternateContent>
          <mc:Choice Requires="wps">
            <w:drawing>
              <wp:anchor distT="0" distB="0" distL="114300" distR="114300" simplePos="0" relativeHeight="251649024" behindDoc="0" locked="0" layoutInCell="1" allowOverlap="1" wp14:anchorId="3525F238" wp14:editId="5DB4A422">
                <wp:simplePos x="0" y="0"/>
                <wp:positionH relativeFrom="column">
                  <wp:posOffset>2579370</wp:posOffset>
                </wp:positionH>
                <wp:positionV relativeFrom="paragraph">
                  <wp:posOffset>546735</wp:posOffset>
                </wp:positionV>
                <wp:extent cx="400685" cy="1400810"/>
                <wp:effectExtent l="38100" t="19050" r="37465" b="8890"/>
                <wp:wrapNone/>
                <wp:docPr id="36" name="Ovale 1"/>
                <wp:cNvGraphicFramePr/>
                <a:graphic xmlns:a="http://schemas.openxmlformats.org/drawingml/2006/main">
                  <a:graphicData uri="http://schemas.microsoft.com/office/word/2010/wordprocessingShape">
                    <wps:wsp>
                      <wps:cNvSpPr/>
                      <wps:spPr>
                        <a:xfrm rot="21115160">
                          <a:off x="0" y="0"/>
                          <a:ext cx="400685" cy="1400810"/>
                        </a:xfrm>
                        <a:prstGeom prst="ellipse">
                          <a:avLst/>
                        </a:prstGeom>
                        <a:noFill/>
                        <a:ln w="22225">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vertOverflow="clip"/>
                    </wps:wsp>
                  </a:graphicData>
                </a:graphic>
                <wp14:sizeRelH relativeFrom="margin">
                  <wp14:pctWidth>0</wp14:pctWidth>
                </wp14:sizeRelH>
                <wp14:sizeRelV relativeFrom="margin">
                  <wp14:pctHeight>0</wp14:pctHeight>
                </wp14:sizeRelV>
              </wp:anchor>
            </w:drawing>
          </mc:Choice>
          <mc:Fallback>
            <w:pict>
              <v:oval w14:anchorId="2C39E234" id="Ovale 1" o:spid="_x0000_s1026" style="position:absolute;margin-left:203.1pt;margin-top:43.05pt;width:31.55pt;height:110.3pt;rotation:-529575fd;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" filled="f" strokecolor="#ffc000" strokeweight="1.75pt">
                <v:stroke joinstyle="miter"/>
              </v:oval>
            </w:pict>
          </mc:Fallback>
        </mc:AlternateContent>
      </w:r>
      <w:r w:rsidR="00BE2609">
        <w:rPr>
          <w:noProof/>
        </w:rPr>
        <mc:AlternateContent>
          <mc:Choice Requires="wps">
            <w:drawing>
              <wp:anchor distT="0" distB="0" distL="114300" distR="114300" simplePos="0" relativeHeight="251655168" behindDoc="0" locked="0" layoutInCell="1" allowOverlap="1" wp14:anchorId="187DD08E" wp14:editId="760991A7">
                <wp:simplePos x="0" y="0"/>
                <wp:positionH relativeFrom="column">
                  <wp:posOffset>1660525</wp:posOffset>
                </wp:positionH>
                <wp:positionV relativeFrom="paragraph">
                  <wp:posOffset>2912110</wp:posOffset>
                </wp:positionV>
                <wp:extent cx="2987675" cy="0"/>
                <wp:effectExtent l="0" t="95250" r="0" b="95250"/>
                <wp:wrapNone/>
                <wp:docPr id="35" name="Connettore 2 1">
                  <a:extLst xmlns:a="http://schemas.openxmlformats.org/drawingml/2006/main"/>
                </wp:docPr>
                <wp:cNvGraphicFramePr/>
                <a:graphic xmlns:a="http://schemas.openxmlformats.org/drawingml/2006/main">
                  <a:graphicData uri="http://schemas.microsoft.com/office/word/2010/wordprocessingShape">
                    <wps:wsp>
                      <wps:cNvCnPr/>
                      <wps:spPr>
                        <a:xfrm>
                          <a:off x="0" y="0"/>
                          <a:ext cx="2987675" cy="0"/>
                        </a:xfrm>
                        <a:prstGeom prst="straightConnector1">
                          <a:avLst/>
                        </a:prstGeom>
                        <a:ln w="38100">
                          <a:solidFill>
                            <a:schemeClr val="accent4">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5D05A7F" id="Connettore 2 1" o:spid="_x0000_s1026" type="#_x0000_t32" style="position:absolute;margin-left:130.75pt;margin-top:229.3pt;width:235.25pt;height:0;z-index:251655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" strokecolor="#bf8f00 [2407]" strokeweight="3pt">
                <v:stroke endarrow="block" joinstyle="miter"/>
              </v:shape>
            </w:pict>
          </mc:Fallback>
        </mc:AlternateContent>
      </w:r>
      <w:r w:rsidR="00BE2609">
        <w:rPr>
          <w:noProof/>
          <w:lang w:eastAsia="it-IT"/>
        </w:rPr>
        <mc:AlternateContent>
          <mc:Choice Requires="wps">
            <w:drawing>
              <wp:anchor distT="0" distB="0" distL="114300" distR="114300" simplePos="0" relativeHeight="251652096" behindDoc="0" locked="0" layoutInCell="1" allowOverlap="1" wp14:anchorId="2539F98F" wp14:editId="6825A3AF">
                <wp:simplePos x="0" y="0"/>
                <wp:positionH relativeFrom="column">
                  <wp:posOffset>1635125</wp:posOffset>
                </wp:positionH>
                <wp:positionV relativeFrom="paragraph">
                  <wp:posOffset>147320</wp:posOffset>
                </wp:positionV>
                <wp:extent cx="0" cy="2735580"/>
                <wp:effectExtent l="57150" t="38100" r="57150" b="7620"/>
                <wp:wrapNone/>
                <wp:docPr id="34" name="Connettore 2 4">
                  <a:extLst xmlns:a="http://schemas.openxmlformats.org/drawingml/2006/main"/>
                </wp:docPr>
                <wp:cNvGraphicFramePr/>
                <a:graphic xmlns:a="http://schemas.openxmlformats.org/drawingml/2006/main">
                  <a:graphicData uri="http://schemas.microsoft.com/office/word/2010/wordprocessingShape">
                    <wps:wsp>
                      <wps:cNvCnPr/>
                      <wps:spPr>
                        <a:xfrm flipV="1">
                          <a:off x="0" y="0"/>
                          <a:ext cx="0" cy="2735580"/>
                        </a:xfrm>
                        <a:prstGeom prst="straightConnector1">
                          <a:avLst/>
                        </a:prstGeom>
                        <a:ln w="38100">
                          <a:solidFill>
                            <a:schemeClr val="accent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F2E4B0A" id="Connettore 2 4" o:spid="_x0000_s1026" type="#_x0000_t32" style="position:absolute;margin-left:128.75pt;margin-top:11.6pt;width:0;height:215.4pt;flip:y;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" strokecolor="#2e74b5 [2404]" strokeweight="3pt">
                <v:stroke endarrow="block" joinstyle="miter"/>
              </v:shape>
            </w:pict>
          </mc:Fallback>
        </mc:AlternateContent>
      </w:r>
      <w:r w:rsidR="00C73955">
        <w:rPr>
          <w:noProof/>
          <w:lang w:eastAsia="it-IT"/>
        </w:rPr>
        <mc:AlternateContent>
          <mc:Choice Requires="wps">
            <w:drawing>
              <wp:anchor distT="0" distB="0" distL="114300" distR="114300" simplePos="0" relativeHeight="251654144" behindDoc="0" locked="0" layoutInCell="1" allowOverlap="1" wp14:anchorId="03293DEB" wp14:editId="07055FB2">
                <wp:simplePos x="0" y="0"/>
                <wp:positionH relativeFrom="column">
                  <wp:posOffset>3267075</wp:posOffset>
                </wp:positionH>
                <wp:positionV relativeFrom="paragraph">
                  <wp:posOffset>165735</wp:posOffset>
                </wp:positionV>
                <wp:extent cx="1268513" cy="1738236"/>
                <wp:effectExtent l="133350" t="0" r="141605" b="0"/>
                <wp:wrapNone/>
                <wp:docPr id="32" name="Ovale 1"/>
                <wp:cNvGraphicFramePr/>
                <a:graphic xmlns:a="http://schemas.openxmlformats.org/drawingml/2006/main">
                  <a:graphicData uri="http://schemas.microsoft.com/office/word/2010/wordprocessingShape">
                    <wps:wsp>
                      <wps:cNvSpPr/>
                      <wps:spPr>
                        <a:xfrm rot="2497660">
                          <a:off x="0" y="0"/>
                          <a:ext cx="1268513" cy="1738236"/>
                        </a:xfrm>
                        <a:prstGeom prst="ellipse">
                          <a:avLst/>
                        </a:prstGeom>
                        <a:noFill/>
                        <a:ln w="22225">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vertOverflow="clip"/>
                    </wps:wsp>
                  </a:graphicData>
                </a:graphic>
                <wp14:sizeRelH relativeFrom="margin">
                  <wp14:pctWidth>0</wp14:pctWidth>
                </wp14:sizeRelH>
              </wp:anchor>
            </w:drawing>
          </mc:Choice>
          <mc:Fallback>
            <w:pict>
              <v:oval w14:anchorId="525AB325" id="Ovale 1" o:spid="_x0000_s1026" style="position:absolute;margin-left:257.25pt;margin-top:13.05pt;width:99.9pt;height:136.85pt;rotation:2728111fd;z-index:251654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" filled="f" strokecolor="#5b9bd5 [3204]" strokeweight="1.75pt">
                <v:stroke joinstyle="miter"/>
              </v:oval>
            </w:pict>
          </mc:Fallback>
        </mc:AlternateContent>
      </w:r>
      <w:r w:rsidR="00D14E32">
        <w:rPr>
          <w:noProof/>
        </w:rPr>
        <w:drawing>
          <wp:inline distT="0" distB="0" distL="0" distR="0" wp14:anchorId="79E1AD15" wp14:editId="7434F173">
            <wp:extent cx="3510000" cy="3240000"/>
            <wp:effectExtent l="0" t="0" r="0" b="0"/>
            <wp:docPr id="28" name="Grafico 28">
              <a:extLst xmlns:a="http://schemas.openxmlformats.org/drawingml/2006/main">
                <a:ext uri="{FF2B5EF4-FFF2-40B4-BE49-F238E27FC236}">
                  <a16:creationId xmlns:a16="http://schemas.microsoft.com/office/drawing/2014/main" id="{00000000-0008-0000-0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E72DA81" w14:textId="1820974A" w:rsidR="00A91C40" w:rsidRDefault="00A91C40" w:rsidP="00A91C40">
      <w:pPr>
        <w:spacing w:before="120" w:after="120" w:line="240" w:lineRule="auto"/>
        <w:jc w:val="center"/>
        <w:rPr>
          <w:rFonts w:ascii="Segoe UI" w:hAnsi="Segoe UI" w:cs="Segoe UI"/>
          <w:i/>
          <w:sz w:val="18"/>
          <w:szCs w:val="18"/>
        </w:rPr>
      </w:pPr>
      <w:r w:rsidRPr="000476EC">
        <w:rPr>
          <w:rFonts w:ascii="Segoe UI" w:hAnsi="Segoe UI" w:cs="Segoe UI"/>
          <w:i/>
          <w:sz w:val="18"/>
          <w:szCs w:val="18"/>
        </w:rPr>
        <w:t xml:space="preserve">Fonte: rielaborazione grafico in GRI e RobecoSAM, “Definig What </w:t>
      </w:r>
      <w:r>
        <w:rPr>
          <w:rFonts w:ascii="Segoe UI" w:hAnsi="Segoe UI" w:cs="Segoe UI"/>
          <w:i/>
          <w:sz w:val="18"/>
          <w:szCs w:val="18"/>
        </w:rPr>
        <w:t>M</w:t>
      </w:r>
      <w:r w:rsidRPr="000476EC">
        <w:rPr>
          <w:rFonts w:ascii="Segoe UI" w:hAnsi="Segoe UI" w:cs="Segoe UI"/>
          <w:i/>
          <w:sz w:val="18"/>
          <w:szCs w:val="18"/>
        </w:rPr>
        <w:t>atters”,</w:t>
      </w:r>
      <w:r w:rsidR="00373952">
        <w:rPr>
          <w:rFonts w:ascii="Segoe UI" w:hAnsi="Segoe UI" w:cs="Segoe UI"/>
          <w:i/>
          <w:sz w:val="18"/>
          <w:szCs w:val="18"/>
        </w:rPr>
        <w:t xml:space="preserve"> </w:t>
      </w:r>
      <w:r w:rsidRPr="000476EC">
        <w:rPr>
          <w:rFonts w:ascii="Segoe UI" w:hAnsi="Segoe UI" w:cs="Segoe UI"/>
          <w:i/>
          <w:sz w:val="18"/>
          <w:szCs w:val="18"/>
        </w:rPr>
        <w:t>201</w:t>
      </w:r>
      <w:r>
        <w:rPr>
          <w:rFonts w:ascii="Segoe UI" w:hAnsi="Segoe UI" w:cs="Segoe UI"/>
          <w:i/>
          <w:sz w:val="18"/>
          <w:szCs w:val="18"/>
        </w:rPr>
        <w:t>6</w:t>
      </w:r>
      <w:r w:rsidRPr="000476EC">
        <w:rPr>
          <w:rFonts w:ascii="Segoe UI" w:hAnsi="Segoe UI" w:cs="Segoe UI"/>
          <w:i/>
          <w:sz w:val="18"/>
          <w:szCs w:val="18"/>
        </w:rPr>
        <w:t>.</w:t>
      </w:r>
    </w:p>
    <w:p w14:paraId="18015CB4" w14:textId="0362C4BD" w:rsidR="002A7430" w:rsidRDefault="002A7430" w:rsidP="00C73955">
      <w:pPr>
        <w:tabs>
          <w:tab w:val="left" w:pos="567"/>
        </w:tabs>
        <w:autoSpaceDE w:val="0"/>
        <w:autoSpaceDN w:val="0"/>
        <w:adjustRightInd w:val="0"/>
        <w:spacing w:before="120" w:after="120" w:line="240" w:lineRule="auto"/>
        <w:jc w:val="both"/>
        <w:rPr>
          <w:rFonts w:ascii="Segoe UI" w:hAnsi="Segoe UI" w:cs="Segoe UI"/>
          <w:szCs w:val="20"/>
        </w:rPr>
      </w:pPr>
    </w:p>
    <w:p w14:paraId="48589308" w14:textId="25FFCF45" w:rsidR="00515DA8" w:rsidRDefault="00515DA8" w:rsidP="001E4130">
      <w:pPr>
        <w:tabs>
          <w:tab w:val="left" w:pos="567"/>
        </w:tabs>
        <w:autoSpaceDE w:val="0"/>
        <w:autoSpaceDN w:val="0"/>
        <w:adjustRightInd w:val="0"/>
        <w:spacing w:before="120" w:after="120" w:line="240" w:lineRule="auto"/>
        <w:jc w:val="both"/>
        <w:rPr>
          <w:rFonts w:ascii="Segoe UI" w:hAnsi="Segoe UI" w:cs="Segoe UI"/>
          <w:szCs w:val="20"/>
        </w:rPr>
      </w:pPr>
    </w:p>
    <w:p w14:paraId="6590F198" w14:textId="7D542606" w:rsidR="00515DA8" w:rsidRPr="00515DA8" w:rsidRDefault="00515DA8" w:rsidP="00515DA8">
      <w:pPr>
        <w:spacing w:before="120" w:after="120" w:line="240" w:lineRule="auto"/>
        <w:jc w:val="both"/>
        <w:rPr>
          <w:rFonts w:ascii="Segoe UI" w:hAnsi="Segoe UI" w:cs="Segoe UI"/>
          <w:noProof/>
          <w:lang w:eastAsia="it-IT"/>
        </w:rPr>
      </w:pPr>
      <w:r w:rsidRPr="00515DA8">
        <w:rPr>
          <w:rFonts w:ascii="Segoe UI" w:hAnsi="Segoe UI" w:cs="Segoe UI"/>
          <w:noProof/>
          <w:lang w:eastAsia="it-IT"/>
        </w:rPr>
        <w:t>In questa prospettiva, quindi, l’analisi di mater</w:t>
      </w:r>
      <w:r w:rsidR="00C73955">
        <w:rPr>
          <w:rFonts w:ascii="Segoe UI" w:hAnsi="Segoe UI" w:cs="Segoe UI"/>
          <w:noProof/>
          <w:lang w:eastAsia="it-IT"/>
        </w:rPr>
        <w:t>i</w:t>
      </w:r>
      <w:r w:rsidRPr="00515DA8">
        <w:rPr>
          <w:rFonts w:ascii="Segoe UI" w:hAnsi="Segoe UI" w:cs="Segoe UI"/>
          <w:noProof/>
          <w:lang w:eastAsia="it-IT"/>
        </w:rPr>
        <w:t>a</w:t>
      </w:r>
      <w:r w:rsidR="00C73955">
        <w:rPr>
          <w:rFonts w:ascii="Segoe UI" w:hAnsi="Segoe UI" w:cs="Segoe UI"/>
          <w:noProof/>
          <w:lang w:eastAsia="it-IT"/>
        </w:rPr>
        <w:t xml:space="preserve">lità </w:t>
      </w:r>
      <w:r w:rsidRPr="00515DA8">
        <w:rPr>
          <w:rFonts w:ascii="Segoe UI" w:hAnsi="Segoe UI" w:cs="Segoe UI"/>
          <w:noProof/>
          <w:lang w:eastAsia="it-IT"/>
        </w:rPr>
        <w:t>degli elementi (</w:t>
      </w:r>
      <w:r w:rsidRPr="00515DA8">
        <w:rPr>
          <w:rFonts w:ascii="Segoe UI" w:hAnsi="Segoe UI" w:cs="Segoe UI"/>
        </w:rPr>
        <w:t xml:space="preserve">impatti ambientali e sociali) è effettuata in termini di probabilità degli impatti sull’azienda e, di conseguenza, sulle eventuali implicazioni generate sul valore di un investimento in quella azienda. Gli impatti sui </w:t>
      </w:r>
      <w:r w:rsidRPr="00515DA8">
        <w:rPr>
          <w:rFonts w:ascii="Segoe UI" w:hAnsi="Segoe UI" w:cs="Segoe UI"/>
          <w:i/>
        </w:rPr>
        <w:t>driver</w:t>
      </w:r>
      <w:r w:rsidRPr="00515DA8">
        <w:rPr>
          <w:rFonts w:ascii="Segoe UI" w:hAnsi="Segoe UI" w:cs="Segoe UI"/>
        </w:rPr>
        <w:t xml:space="preserve"> del valore sono quindi utilizzati per adeguare la valutazione del valore dell’azienda e le decisioni sugli investimenti. Una matrice di materialità basata su queste variabili aiuta a concentrarsi sulle problematiche da considerare sotto il profilo</w:t>
      </w:r>
      <w:r w:rsidR="00116747">
        <w:rPr>
          <w:rFonts w:ascii="Segoe UI" w:hAnsi="Segoe UI" w:cs="Segoe UI"/>
        </w:rPr>
        <w:t xml:space="preserve"> </w:t>
      </w:r>
      <w:r w:rsidRPr="00515DA8">
        <w:rPr>
          <w:rFonts w:ascii="Segoe UI" w:hAnsi="Segoe UI" w:cs="Segoe UI"/>
        </w:rPr>
        <w:t>dell’</w:t>
      </w:r>
      <w:r w:rsidRPr="00515DA8">
        <w:rPr>
          <w:rFonts w:ascii="Segoe UI" w:hAnsi="Segoe UI" w:cs="Segoe UI"/>
          <w:i/>
        </w:rPr>
        <w:t>investing</w:t>
      </w:r>
      <w:r w:rsidRPr="00515DA8">
        <w:rPr>
          <w:rFonts w:ascii="Segoe UI" w:hAnsi="Segoe UI" w:cs="Segoe UI"/>
        </w:rPr>
        <w:t xml:space="preserve">; e tuttavia vi sono comunque alcuni argomenti trasversali, la cui valutazione deve prescindere dalla posizione che occupano nella matrice: ci si riferisce, ad esempio, della </w:t>
      </w:r>
      <w:r w:rsidRPr="00515DA8">
        <w:rPr>
          <w:rFonts w:ascii="Segoe UI" w:hAnsi="Segoe UI" w:cs="Segoe UI"/>
          <w:i/>
        </w:rPr>
        <w:t>corporate governance</w:t>
      </w:r>
      <w:r w:rsidRPr="00515DA8">
        <w:rPr>
          <w:rFonts w:ascii="Segoe UI" w:hAnsi="Segoe UI" w:cs="Segoe UI"/>
        </w:rPr>
        <w:t xml:space="preserve">, dei codici di condotta, del rischio reputazionale connesso alle aspettative e alle valutazioni dei </w:t>
      </w:r>
      <w:r w:rsidRPr="00515DA8">
        <w:rPr>
          <w:rFonts w:ascii="Segoe UI" w:hAnsi="Segoe UI" w:cs="Segoe UI"/>
          <w:i/>
        </w:rPr>
        <w:t>media</w:t>
      </w:r>
      <w:r w:rsidRPr="00515DA8">
        <w:rPr>
          <w:rFonts w:ascii="Segoe UI" w:hAnsi="Segoe UI" w:cs="Segoe UI"/>
        </w:rPr>
        <w:t xml:space="preserve"> e di altri </w:t>
      </w:r>
      <w:r w:rsidRPr="00515DA8">
        <w:rPr>
          <w:rFonts w:ascii="Segoe UI" w:hAnsi="Segoe UI" w:cs="Segoe UI"/>
          <w:i/>
        </w:rPr>
        <w:t>stakeholder</w:t>
      </w:r>
      <w:r w:rsidRPr="00515DA8">
        <w:rPr>
          <w:rFonts w:ascii="Segoe UI" w:hAnsi="Segoe UI" w:cs="Segoe UI"/>
        </w:rPr>
        <w:t>.</w:t>
      </w:r>
    </w:p>
    <w:p w14:paraId="112D529E" w14:textId="7E0B925C" w:rsidR="00515DA8" w:rsidRPr="00515DA8" w:rsidRDefault="00515DA8" w:rsidP="00515DA8">
      <w:pPr>
        <w:spacing w:before="120" w:after="120" w:line="240" w:lineRule="auto"/>
        <w:jc w:val="both"/>
        <w:rPr>
          <w:rFonts w:ascii="Segoe UI" w:eastAsiaTheme="minorHAnsi" w:hAnsi="Segoe UI" w:cs="Segoe UI"/>
        </w:rPr>
      </w:pPr>
      <w:r w:rsidRPr="00515DA8">
        <w:rPr>
          <w:rFonts w:ascii="Segoe UI" w:hAnsi="Segoe UI" w:cs="Segoe UI"/>
        </w:rPr>
        <w:t>Questo tipo di approccio sposa</w:t>
      </w:r>
      <w:r w:rsidR="000B5163">
        <w:rPr>
          <w:rFonts w:ascii="Segoe UI" w:hAnsi="Segoe UI" w:cs="Segoe UI"/>
        </w:rPr>
        <w:t>,</w:t>
      </w:r>
      <w:r w:rsidRPr="00515DA8">
        <w:rPr>
          <w:rFonts w:ascii="Segoe UI" w:hAnsi="Segoe UI" w:cs="Segoe UI"/>
        </w:rPr>
        <w:t xml:space="preserve"> dunque</w:t>
      </w:r>
      <w:r w:rsidR="000B5163">
        <w:rPr>
          <w:rFonts w:ascii="Segoe UI" w:hAnsi="Segoe UI" w:cs="Segoe UI"/>
        </w:rPr>
        <w:t>,</w:t>
      </w:r>
      <w:r w:rsidRPr="00515DA8">
        <w:rPr>
          <w:rFonts w:ascii="Segoe UI" w:hAnsi="Segoe UI" w:cs="Segoe UI"/>
        </w:rPr>
        <w:t xml:space="preserve"> le esigenze degli investitori, interessati soprattutto ad individuare temi/impatti materiali</w:t>
      </w:r>
      <w:r w:rsidR="00B067C4">
        <w:rPr>
          <w:rFonts w:ascii="Segoe UI" w:hAnsi="Segoe UI" w:cs="Segoe UI"/>
        </w:rPr>
        <w:t xml:space="preserve"> (definiti “finanziari”)</w:t>
      </w:r>
      <w:r w:rsidRPr="00515DA8">
        <w:rPr>
          <w:rFonts w:ascii="Segoe UI" w:hAnsi="Segoe UI" w:cs="Segoe UI"/>
        </w:rPr>
        <w:t xml:space="preserve"> sul valore economico di una azienda.</w:t>
      </w:r>
    </w:p>
    <w:p w14:paraId="12C71ED0" w14:textId="77777777" w:rsidR="00515DA8" w:rsidRPr="00515DA8" w:rsidRDefault="00515DA8" w:rsidP="00515DA8">
      <w:pPr>
        <w:spacing w:before="120" w:after="120" w:line="240" w:lineRule="auto"/>
        <w:jc w:val="both"/>
        <w:rPr>
          <w:rFonts w:ascii="Segoe UI" w:hAnsi="Segoe UI" w:cs="Segoe UI"/>
        </w:rPr>
      </w:pPr>
      <w:r w:rsidRPr="00515DA8">
        <w:rPr>
          <w:rFonts w:ascii="Segoe UI" w:hAnsi="Segoe UI" w:cs="Segoe UI"/>
        </w:rPr>
        <w:t xml:space="preserve">Il documento in esame, tuttavia, sottolinea come questo approccio non possa non tenere nella giusta considerazione proprio la circostanza per la quale il </w:t>
      </w:r>
      <w:r w:rsidRPr="00515DA8">
        <w:rPr>
          <w:rFonts w:ascii="Segoe UI" w:hAnsi="Segoe UI" w:cs="Segoe UI"/>
          <w:i/>
        </w:rPr>
        <w:t>management</w:t>
      </w:r>
      <w:r w:rsidRPr="00515DA8">
        <w:rPr>
          <w:rFonts w:ascii="Segoe UI" w:hAnsi="Segoe UI" w:cs="Segoe UI"/>
        </w:rPr>
        <w:t xml:space="preserve"> aziendale e il legislatore stiano rivolgendo attenzione crescente ai temi della sostenibilità nella gestione e alle relative aspettative di varie altre categorie di portatori d’interesse.</w:t>
      </w:r>
    </w:p>
    <w:p w14:paraId="7BF5D9DD" w14:textId="77777777" w:rsidR="00515DA8" w:rsidRPr="00515DA8" w:rsidRDefault="00515DA8" w:rsidP="00515DA8">
      <w:pPr>
        <w:spacing w:before="120" w:after="120" w:line="240" w:lineRule="auto"/>
        <w:jc w:val="both"/>
        <w:rPr>
          <w:rFonts w:ascii="Segoe UI" w:hAnsi="Segoe UI" w:cs="Segoe UI"/>
        </w:rPr>
      </w:pPr>
      <w:r w:rsidRPr="00515DA8">
        <w:rPr>
          <w:rFonts w:ascii="Segoe UI" w:hAnsi="Segoe UI" w:cs="Segoe UI"/>
        </w:rPr>
        <w:t>In questa ottica, i due approcci per la determinazione della materialità appena illustrati possono risultare complementari. Per realizzare tale complementarità occorre, si sostiene, che i due approcci prendano in considerazione i seguenti elementi chiave:</w:t>
      </w:r>
    </w:p>
    <w:p w14:paraId="21B3FE5B" w14:textId="77777777" w:rsidR="00515DA8" w:rsidRPr="00515DA8" w:rsidRDefault="00515DA8" w:rsidP="000B5163">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noProof/>
          <w:lang w:eastAsia="it-IT"/>
        </w:rPr>
      </w:pPr>
      <w:r w:rsidRPr="00515DA8">
        <w:rPr>
          <w:rFonts w:ascii="Segoe UI" w:hAnsi="Segoe UI" w:cs="Segoe UI"/>
        </w:rPr>
        <w:t xml:space="preserve">prospettive degli stakeholder: gli Standards del GRI stabiliscono che l’organizzazione identifichi i propri </w:t>
      </w:r>
      <w:r w:rsidRPr="00515DA8">
        <w:rPr>
          <w:rFonts w:ascii="Segoe UI" w:hAnsi="Segoe UI" w:cs="Segoe UI"/>
          <w:i/>
        </w:rPr>
        <w:t>stakeholder</w:t>
      </w:r>
      <w:r w:rsidRPr="00515DA8">
        <w:rPr>
          <w:rFonts w:ascii="Segoe UI" w:hAnsi="Segoe UI" w:cs="Segoe UI"/>
        </w:rPr>
        <w:t xml:space="preserve"> e spieghi in che modo risponda alle loro aspettative ed esigenze; RobecoSAM rappresenta, in particolare, la prospettiva degli </w:t>
      </w:r>
      <w:r w:rsidRPr="00515DA8">
        <w:rPr>
          <w:rFonts w:ascii="Segoe UI" w:hAnsi="Segoe UI" w:cs="Segoe UI"/>
          <w:i/>
        </w:rPr>
        <w:t>investor</w:t>
      </w:r>
      <w:r w:rsidRPr="00515DA8">
        <w:rPr>
          <w:rFonts w:ascii="Segoe UI" w:hAnsi="Segoe UI" w:cs="Segoe UI"/>
        </w:rPr>
        <w:t>;</w:t>
      </w:r>
    </w:p>
    <w:p w14:paraId="1131A155" w14:textId="77777777" w:rsidR="00515DA8" w:rsidRPr="00515DA8" w:rsidRDefault="00515DA8" w:rsidP="000B5163">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noProof/>
          <w:lang w:eastAsia="it-IT"/>
        </w:rPr>
      </w:pPr>
      <w:r w:rsidRPr="00515DA8">
        <w:rPr>
          <w:rFonts w:ascii="Segoe UI" w:hAnsi="Segoe UI" w:cs="Segoe UI"/>
        </w:rPr>
        <w:t xml:space="preserve">impatti: il principio di materialità negli Standards del GRI stabilisce che il </w:t>
      </w:r>
      <w:r w:rsidRPr="00515DA8">
        <w:rPr>
          <w:rFonts w:ascii="Segoe UI" w:hAnsi="Segoe UI" w:cs="Segoe UI"/>
          <w:i/>
        </w:rPr>
        <w:t>reporting</w:t>
      </w:r>
      <w:r w:rsidRPr="00515DA8">
        <w:rPr>
          <w:rFonts w:ascii="Segoe UI" w:hAnsi="Segoe UI" w:cs="Segoe UI"/>
        </w:rPr>
        <w:t xml:space="preserve"> debba coprire gli impatti aziendali sulle persone e sull'ambiente; la valutazione della materialità di RobecoSAM si focalizza sugli impatti sui </w:t>
      </w:r>
      <w:r w:rsidRPr="00515DA8">
        <w:rPr>
          <w:rFonts w:ascii="Segoe UI" w:hAnsi="Segoe UI" w:cs="Segoe UI"/>
          <w:i/>
        </w:rPr>
        <w:t>driver</w:t>
      </w:r>
      <w:r w:rsidRPr="00515DA8">
        <w:rPr>
          <w:rFonts w:ascii="Segoe UI" w:hAnsi="Segoe UI" w:cs="Segoe UI"/>
        </w:rPr>
        <w:t xml:space="preserve"> del valore aziendale;</w:t>
      </w:r>
    </w:p>
    <w:p w14:paraId="3806FD2A" w14:textId="77777777" w:rsidR="00515DA8" w:rsidRPr="00515DA8" w:rsidRDefault="00515DA8" w:rsidP="000B5163">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noProof/>
          <w:lang w:eastAsia="it-IT"/>
        </w:rPr>
      </w:pPr>
      <w:r w:rsidRPr="00515DA8">
        <w:rPr>
          <w:rFonts w:ascii="Segoe UI" w:hAnsi="Segoe UI" w:cs="Segoe UI"/>
        </w:rPr>
        <w:t xml:space="preserve">utilizzo delle informazioni: le indicazioni sulla materialità del GRI stabiliscono che devono essere fornite informazioni sulle decisioni relative al </w:t>
      </w:r>
      <w:r w:rsidRPr="00515DA8">
        <w:rPr>
          <w:rFonts w:ascii="Segoe UI" w:hAnsi="Segoe UI" w:cs="Segoe UI"/>
          <w:i/>
        </w:rPr>
        <w:t>reporting</w:t>
      </w:r>
      <w:r w:rsidRPr="00515DA8">
        <w:rPr>
          <w:rFonts w:ascii="Segoe UI" w:hAnsi="Segoe UI" w:cs="Segoe UI"/>
        </w:rPr>
        <w:t xml:space="preserve">, evidenziando il flusso di informazioni sulla gestione e le informazioni che passano dall’organizzazione ai propri </w:t>
      </w:r>
      <w:r w:rsidRPr="00515DA8">
        <w:rPr>
          <w:rFonts w:ascii="Segoe UI" w:hAnsi="Segoe UI" w:cs="Segoe UI"/>
          <w:i/>
        </w:rPr>
        <w:t>stakeholder</w:t>
      </w:r>
      <w:r w:rsidRPr="00515DA8">
        <w:rPr>
          <w:rFonts w:ascii="Segoe UI" w:hAnsi="Segoe UI" w:cs="Segoe UI"/>
        </w:rPr>
        <w:t xml:space="preserve">; le indicazioni sulla materialità di RobecoSAM sono finalizzate a supportare le analisi per le scelte d’investimento, laddove sui temi materiali gli investitori devono conoscere rischi e opportunità connessi a tali temi e come essi impattino sulle </w:t>
      </w:r>
      <w:r w:rsidRPr="00515DA8">
        <w:rPr>
          <w:rFonts w:ascii="Segoe UI" w:hAnsi="Segoe UI" w:cs="Segoe UI"/>
          <w:i/>
        </w:rPr>
        <w:t>performance</w:t>
      </w:r>
      <w:r w:rsidRPr="00515DA8">
        <w:rPr>
          <w:rFonts w:ascii="Segoe UI" w:hAnsi="Segoe UI" w:cs="Segoe UI"/>
        </w:rPr>
        <w:t xml:space="preserve"> e sulle valutazioni patrimoniali e reddituali dell'azienda;</w:t>
      </w:r>
    </w:p>
    <w:p w14:paraId="7F2B1270" w14:textId="77777777" w:rsidR="00515DA8" w:rsidRPr="00515DA8" w:rsidRDefault="00515DA8" w:rsidP="000B5163">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eastAsiaTheme="minorHAnsi" w:hAnsi="Segoe UI" w:cs="Segoe UI"/>
        </w:rPr>
      </w:pPr>
      <w:r w:rsidRPr="00515DA8">
        <w:rPr>
          <w:rFonts w:ascii="Segoe UI" w:hAnsi="Segoe UI" w:cs="Segoe UI"/>
        </w:rPr>
        <w:t xml:space="preserve">utilizzo del principio: il GRI fornisce indicazioni che le organizzazioni possono applicare al processo teso ad individuare, tra i temi rilevanti, quelli materiali, assegnando ad essi una priorità; l’approccio di RobecoSAM è determinato anche in relazione alla </w:t>
      </w:r>
      <w:r w:rsidRPr="00515DA8">
        <w:rPr>
          <w:rFonts w:ascii="Segoe UI" w:hAnsi="Segoe UI" w:cs="Segoe UI"/>
          <w:i/>
        </w:rPr>
        <w:t>compliance</w:t>
      </w:r>
      <w:r w:rsidRPr="00515DA8">
        <w:rPr>
          <w:rFonts w:ascii="Segoe UI" w:hAnsi="Segoe UI" w:cs="Segoe UI"/>
        </w:rPr>
        <w:t xml:space="preserve"> al Dow Jones Sustainability Index (DJSI), circostanza per la quale occorre valutare sia l’approccio alla materialità adottato da un’azienda nel suo complesso, sia la razionalità nella priorizzazione degli aspetti rilevanti, sia la coerenza della gerarchia di priorità stabilita con i </w:t>
      </w:r>
      <w:r w:rsidRPr="00515DA8">
        <w:rPr>
          <w:rFonts w:ascii="Segoe UI" w:hAnsi="Segoe UI" w:cs="Segoe UI"/>
          <w:i/>
        </w:rPr>
        <w:t>target</w:t>
      </w:r>
      <w:r w:rsidRPr="00515DA8">
        <w:rPr>
          <w:rFonts w:ascii="Segoe UI" w:hAnsi="Segoe UI" w:cs="Segoe UI"/>
        </w:rPr>
        <w:t xml:space="preserve"> aziendali.</w:t>
      </w:r>
    </w:p>
    <w:p w14:paraId="75A61129" w14:textId="001023E6" w:rsidR="00515DA8" w:rsidRPr="00515DA8" w:rsidRDefault="00515DA8" w:rsidP="00515DA8">
      <w:pPr>
        <w:spacing w:before="120" w:after="120" w:line="240" w:lineRule="auto"/>
        <w:jc w:val="both"/>
        <w:rPr>
          <w:rFonts w:ascii="Segoe UI" w:hAnsi="Segoe UI" w:cs="Segoe UI"/>
        </w:rPr>
      </w:pPr>
      <w:r w:rsidRPr="00515DA8">
        <w:rPr>
          <w:rFonts w:ascii="Segoe UI" w:hAnsi="Segoe UI" w:cs="Segoe UI"/>
        </w:rPr>
        <w:t xml:space="preserve">In conclusione, la distinzione tra materialità </w:t>
      </w:r>
      <w:r w:rsidR="003D4FE0">
        <w:rPr>
          <w:rFonts w:ascii="Segoe UI" w:hAnsi="Segoe UI" w:cs="Segoe UI"/>
        </w:rPr>
        <w:t xml:space="preserve">per il </w:t>
      </w:r>
      <w:r w:rsidR="003D4FE0" w:rsidRPr="003D4FE0">
        <w:rPr>
          <w:rFonts w:ascii="Segoe UI" w:hAnsi="Segoe UI" w:cs="Segoe UI"/>
          <w:i/>
        </w:rPr>
        <w:t>reporting</w:t>
      </w:r>
      <w:r w:rsidR="003D4FE0">
        <w:rPr>
          <w:rFonts w:ascii="Segoe UI" w:hAnsi="Segoe UI" w:cs="Segoe UI"/>
        </w:rPr>
        <w:t xml:space="preserve"> </w:t>
      </w:r>
      <w:r w:rsidRPr="00515DA8">
        <w:rPr>
          <w:rFonts w:ascii="Segoe UI" w:hAnsi="Segoe UI" w:cs="Segoe UI"/>
        </w:rPr>
        <w:t>dei temi</w:t>
      </w:r>
      <w:r w:rsidR="009720C2">
        <w:rPr>
          <w:rFonts w:ascii="Segoe UI" w:hAnsi="Segoe UI" w:cs="Segoe UI"/>
        </w:rPr>
        <w:t xml:space="preserve"> di sostenibilità </w:t>
      </w:r>
      <w:r w:rsidRPr="00515DA8">
        <w:rPr>
          <w:rFonts w:ascii="Segoe UI" w:hAnsi="Segoe UI" w:cs="Segoe UI"/>
        </w:rPr>
        <w:t xml:space="preserve">e materialità </w:t>
      </w:r>
      <w:r w:rsidR="003D4FE0">
        <w:rPr>
          <w:rFonts w:ascii="Segoe UI" w:hAnsi="Segoe UI" w:cs="Segoe UI"/>
        </w:rPr>
        <w:t xml:space="preserve">finanziaria </w:t>
      </w:r>
      <w:r w:rsidRPr="00515DA8">
        <w:rPr>
          <w:rFonts w:ascii="Segoe UI" w:hAnsi="Segoe UI" w:cs="Segoe UI"/>
        </w:rPr>
        <w:t xml:space="preserve">degli aspetti </w:t>
      </w:r>
      <w:r w:rsidR="009720C2">
        <w:rPr>
          <w:rFonts w:ascii="Segoe UI" w:hAnsi="Segoe UI" w:cs="Segoe UI"/>
        </w:rPr>
        <w:t xml:space="preserve">di sostenibilità </w:t>
      </w:r>
      <w:r w:rsidRPr="00515DA8">
        <w:rPr>
          <w:rFonts w:ascii="Segoe UI" w:hAnsi="Segoe UI" w:cs="Segoe UI"/>
        </w:rPr>
        <w:t>fa sì che questi ultimi si identifichino in una cerchia più ristretta di argomenti (</w:t>
      </w:r>
      <w:r w:rsidR="009720C2">
        <w:rPr>
          <w:rFonts w:ascii="Segoe UI" w:hAnsi="Segoe UI" w:cs="Segoe UI"/>
        </w:rPr>
        <w:t xml:space="preserve">contraddistinti da </w:t>
      </w:r>
      <w:r w:rsidRPr="00515DA8">
        <w:rPr>
          <w:rFonts w:ascii="Segoe UI" w:hAnsi="Segoe UI" w:cs="Segoe UI"/>
        </w:rPr>
        <w:t xml:space="preserve">un collegamento con i </w:t>
      </w:r>
      <w:r w:rsidRPr="00515DA8">
        <w:rPr>
          <w:rFonts w:ascii="Segoe UI" w:hAnsi="Segoe UI" w:cs="Segoe UI"/>
          <w:i/>
        </w:rPr>
        <w:t>driver</w:t>
      </w:r>
      <w:r w:rsidRPr="00515DA8">
        <w:rPr>
          <w:rFonts w:ascii="Segoe UI" w:hAnsi="Segoe UI" w:cs="Segoe UI"/>
        </w:rPr>
        <w:t xml:space="preserve"> del valore aziendale) che </w:t>
      </w:r>
      <w:r w:rsidR="009720C2">
        <w:rPr>
          <w:rFonts w:ascii="Segoe UI" w:hAnsi="Segoe UI" w:cs="Segoe UI"/>
        </w:rPr>
        <w:t>evidenzino</w:t>
      </w:r>
      <w:r w:rsidRPr="00515DA8">
        <w:rPr>
          <w:rFonts w:ascii="Segoe UI" w:hAnsi="Segoe UI" w:cs="Segoe UI"/>
        </w:rPr>
        <w:t xml:space="preserve">, rispetto ai primi, </w:t>
      </w:r>
      <w:r w:rsidR="009720C2">
        <w:rPr>
          <w:rFonts w:ascii="Segoe UI" w:hAnsi="Segoe UI" w:cs="Segoe UI"/>
        </w:rPr>
        <w:t xml:space="preserve">proprio in virtù di una </w:t>
      </w:r>
      <w:r w:rsidR="004C5D71">
        <w:rPr>
          <w:rFonts w:ascii="Segoe UI" w:hAnsi="Segoe UI" w:cs="Segoe UI"/>
        </w:rPr>
        <w:t xml:space="preserve">maggiore </w:t>
      </w:r>
      <w:r w:rsidR="009720C2">
        <w:rPr>
          <w:rFonts w:ascii="Segoe UI" w:hAnsi="Segoe UI" w:cs="Segoe UI"/>
        </w:rPr>
        <w:t xml:space="preserve">connessione, </w:t>
      </w:r>
      <w:r w:rsidRPr="00515DA8">
        <w:rPr>
          <w:rFonts w:ascii="Segoe UI" w:hAnsi="Segoe UI" w:cs="Segoe UI"/>
        </w:rPr>
        <w:t>un’influenza più “diretta” sui ricavi e/o sui costi, sull’efficienza del capitale e/o sui rischi attuali o futuri, e che possano incidere sul valore di capitalizzazione o d’indebitamento.</w:t>
      </w:r>
    </w:p>
    <w:p w14:paraId="207D230D" w14:textId="6DFB23F6" w:rsidR="004E183E" w:rsidRPr="00937CE2" w:rsidRDefault="004E183E" w:rsidP="004E183E">
      <w:pPr>
        <w:spacing w:before="120" w:after="120" w:line="240" w:lineRule="auto"/>
        <w:jc w:val="both"/>
        <w:rPr>
          <w:rFonts w:ascii="Segoe UI" w:hAnsi="Segoe UI" w:cs="Segoe UI"/>
        </w:rPr>
      </w:pPr>
      <w:r w:rsidRPr="00937CE2">
        <w:rPr>
          <w:rFonts w:ascii="Segoe UI" w:hAnsi="Segoe UI" w:cs="Segoe UI"/>
        </w:rPr>
        <w:t>Nella figura che segue si fornisce una rappresentazione grafica di questo contesto</w:t>
      </w:r>
      <w:r w:rsidR="003A1C7E">
        <w:rPr>
          <w:rFonts w:ascii="Segoe UI" w:hAnsi="Segoe UI" w:cs="Segoe UI"/>
        </w:rPr>
        <w:t xml:space="preserve"> ma si vuole altresì </w:t>
      </w:r>
      <w:r w:rsidR="00BB0F92">
        <w:rPr>
          <w:rFonts w:ascii="Segoe UI" w:hAnsi="Segoe UI" w:cs="Segoe UI"/>
        </w:rPr>
        <w:t xml:space="preserve">mostrare come </w:t>
      </w:r>
      <w:r w:rsidRPr="00937CE2">
        <w:rPr>
          <w:rFonts w:ascii="Segoe UI" w:hAnsi="Segoe UI" w:cs="Segoe UI"/>
        </w:rPr>
        <w:t xml:space="preserve">la potenziale complementarità degli strumenti per la determinazione della materialità (di </w:t>
      </w:r>
      <w:r w:rsidRPr="00937CE2">
        <w:rPr>
          <w:rFonts w:ascii="Segoe UI" w:hAnsi="Segoe UI" w:cs="Segoe UI"/>
          <w:i/>
        </w:rPr>
        <w:t>sustainability</w:t>
      </w:r>
      <w:r w:rsidRPr="00937CE2">
        <w:rPr>
          <w:rFonts w:ascii="Segoe UI" w:hAnsi="Segoe UI" w:cs="Segoe UI"/>
        </w:rPr>
        <w:t xml:space="preserve"> </w:t>
      </w:r>
      <w:r w:rsidRPr="00937CE2">
        <w:rPr>
          <w:rFonts w:ascii="Segoe UI" w:hAnsi="Segoe UI" w:cs="Segoe UI"/>
          <w:i/>
        </w:rPr>
        <w:t>reporting</w:t>
      </w:r>
      <w:r w:rsidRPr="00937CE2">
        <w:rPr>
          <w:rFonts w:ascii="Segoe UI" w:hAnsi="Segoe UI" w:cs="Segoe UI"/>
        </w:rPr>
        <w:t xml:space="preserve"> e finanziaria) p</w:t>
      </w:r>
      <w:r w:rsidR="00BB0F92">
        <w:rPr>
          <w:rFonts w:ascii="Segoe UI" w:hAnsi="Segoe UI" w:cs="Segoe UI"/>
        </w:rPr>
        <w:t xml:space="preserve">ossa </w:t>
      </w:r>
      <w:r w:rsidRPr="00937CE2">
        <w:rPr>
          <w:rFonts w:ascii="Segoe UI" w:hAnsi="Segoe UI" w:cs="Segoe UI"/>
        </w:rPr>
        <w:t xml:space="preserve">essere utilizzata per raffinare ulteriormente l’analisi di ciò che potrebbe essere oggetto di </w:t>
      </w:r>
      <w:r w:rsidRPr="00937CE2">
        <w:rPr>
          <w:rFonts w:ascii="Segoe UI" w:hAnsi="Segoe UI" w:cs="Segoe UI"/>
          <w:i/>
        </w:rPr>
        <w:t>disclosure</w:t>
      </w:r>
      <w:r w:rsidRPr="00937CE2">
        <w:rPr>
          <w:rFonts w:ascii="Segoe UI" w:hAnsi="Segoe UI" w:cs="Segoe UI"/>
        </w:rPr>
        <w:t xml:space="preserve"> o per includere nella </w:t>
      </w:r>
      <w:r w:rsidRPr="00937CE2">
        <w:rPr>
          <w:rFonts w:ascii="Segoe UI" w:hAnsi="Segoe UI" w:cs="Segoe UI"/>
          <w:i/>
        </w:rPr>
        <w:t>disclosure</w:t>
      </w:r>
      <w:r w:rsidRPr="00937CE2">
        <w:rPr>
          <w:rFonts w:ascii="Segoe UI" w:hAnsi="Segoe UI" w:cs="Segoe UI"/>
        </w:rPr>
        <w:t>, ad esempio, ambiti e/o temi appartenenti alla fascia diagonale della matrice di materialità del GRI (per intenderci, quelli in arancio</w:t>
      </w:r>
      <w:r w:rsidR="008C108A" w:rsidRPr="00937CE2">
        <w:rPr>
          <w:rFonts w:ascii="Segoe UI" w:hAnsi="Segoe UI" w:cs="Segoe UI"/>
        </w:rPr>
        <w:t xml:space="preserve"> nella Figura 2</w:t>
      </w:r>
      <w:r w:rsidRPr="00937CE2">
        <w:rPr>
          <w:rFonts w:ascii="Segoe UI" w:hAnsi="Segoe UI" w:cs="Segoe UI"/>
        </w:rPr>
        <w:t>), matrice che, per una specifica azienda, dovrebbe contare per sua natura, appunto, un numero più elevato di tematiche rispetto a quello della matrice di materialità finanziaria.</w:t>
      </w:r>
    </w:p>
    <w:p w14:paraId="7EED35D8" w14:textId="6EE92F04" w:rsidR="00515DA8" w:rsidRPr="00515DA8" w:rsidRDefault="004E183E" w:rsidP="00515DA8">
      <w:pPr>
        <w:spacing w:before="120" w:after="120" w:line="240" w:lineRule="auto"/>
        <w:jc w:val="both"/>
        <w:rPr>
          <w:rFonts w:ascii="Segoe UI" w:hAnsi="Segoe UI" w:cs="Segoe UI"/>
        </w:rPr>
      </w:pPr>
      <w:r w:rsidRPr="00937CE2">
        <w:rPr>
          <w:rFonts w:ascii="Segoe UI" w:hAnsi="Segoe UI" w:cs="Segoe UI"/>
        </w:rPr>
        <w:t xml:space="preserve">L’apparenza caleidoscopica del grafico ha una sua valida ragione. Esso è infatti il risultato della “somma” dei due precedenti: in rosso, in arancio e in blu (e nelle loro sfumature) sono indicati temi esclusi da quelli “rilevanti” </w:t>
      </w:r>
      <w:r w:rsidR="00F47B57" w:rsidRPr="00937CE2">
        <w:rPr>
          <w:rFonts w:ascii="Segoe UI" w:hAnsi="Segoe UI" w:cs="Segoe UI"/>
        </w:rPr>
        <w:t xml:space="preserve">sia </w:t>
      </w:r>
      <w:r w:rsidRPr="00937CE2">
        <w:rPr>
          <w:rFonts w:ascii="Segoe UI" w:hAnsi="Segoe UI" w:cs="Segoe UI"/>
        </w:rPr>
        <w:t xml:space="preserve">nell’analisi per la determinazione della materialità </w:t>
      </w:r>
      <w:r w:rsidR="00A00CED">
        <w:rPr>
          <w:rFonts w:ascii="Segoe UI" w:hAnsi="Segoe UI" w:cs="Segoe UI"/>
        </w:rPr>
        <w:t xml:space="preserve">nel </w:t>
      </w:r>
      <w:r w:rsidRPr="00937CE2">
        <w:rPr>
          <w:rFonts w:ascii="Segoe UI" w:hAnsi="Segoe UI" w:cs="Segoe UI"/>
          <w:i/>
        </w:rPr>
        <w:t>sustainability</w:t>
      </w:r>
      <w:r w:rsidRPr="00937CE2">
        <w:rPr>
          <w:rFonts w:ascii="Segoe UI" w:hAnsi="Segoe UI" w:cs="Segoe UI"/>
        </w:rPr>
        <w:t xml:space="preserve"> </w:t>
      </w:r>
      <w:r w:rsidRPr="00937CE2">
        <w:rPr>
          <w:rFonts w:ascii="Segoe UI" w:hAnsi="Segoe UI" w:cs="Segoe UI"/>
          <w:i/>
        </w:rPr>
        <w:t>reporting</w:t>
      </w:r>
      <w:r w:rsidRPr="00937CE2">
        <w:rPr>
          <w:rFonts w:ascii="Segoe UI" w:hAnsi="Segoe UI" w:cs="Segoe UI"/>
        </w:rPr>
        <w:t xml:space="preserve"> sia </w:t>
      </w:r>
      <w:r w:rsidR="00F47B57" w:rsidRPr="00937CE2">
        <w:rPr>
          <w:rFonts w:ascii="Segoe UI" w:hAnsi="Segoe UI" w:cs="Segoe UI"/>
        </w:rPr>
        <w:t xml:space="preserve">nell’analisi </w:t>
      </w:r>
      <w:r w:rsidRPr="00937CE2">
        <w:rPr>
          <w:rFonts w:ascii="Segoe UI" w:hAnsi="Segoe UI" w:cs="Segoe UI"/>
        </w:rPr>
        <w:t xml:space="preserve">della materialità finanziaria; in verde chiaro, temi </w:t>
      </w:r>
      <w:r w:rsidR="00B806A9" w:rsidRPr="00937CE2">
        <w:rPr>
          <w:rFonts w:ascii="Segoe UI" w:hAnsi="Segoe UI" w:cs="Segoe UI"/>
        </w:rPr>
        <w:t>(</w:t>
      </w:r>
      <w:r w:rsidR="00EC38D3" w:rsidRPr="00937CE2">
        <w:rPr>
          <w:rFonts w:ascii="Segoe UI" w:hAnsi="Segoe UI" w:cs="Segoe UI"/>
        </w:rPr>
        <w:t>tr</w:t>
      </w:r>
      <w:r w:rsidR="00B806A9" w:rsidRPr="00937CE2">
        <w:rPr>
          <w:rFonts w:ascii="Segoe UI" w:hAnsi="Segoe UI" w:cs="Segoe UI"/>
        </w:rPr>
        <w:t xml:space="preserve">a loro diversi) </w:t>
      </w:r>
      <w:r w:rsidRPr="00937CE2">
        <w:rPr>
          <w:rFonts w:ascii="Segoe UI" w:hAnsi="Segoe UI" w:cs="Segoe UI"/>
        </w:rPr>
        <w:t xml:space="preserve">identificati come rilevanti nei due processi singolarmente considerati; in verde scuro, </w:t>
      </w:r>
      <w:r w:rsidR="00B806A9" w:rsidRPr="00937CE2">
        <w:rPr>
          <w:rFonts w:ascii="Segoe UI" w:hAnsi="Segoe UI" w:cs="Segoe UI"/>
        </w:rPr>
        <w:t>(</w:t>
      </w:r>
      <w:r w:rsidR="00604761" w:rsidRPr="00937CE2">
        <w:rPr>
          <w:rFonts w:ascii="Segoe UI" w:hAnsi="Segoe UI" w:cs="Segoe UI"/>
        </w:rPr>
        <w:t>medesimi</w:t>
      </w:r>
      <w:r w:rsidR="00B806A9" w:rsidRPr="00937CE2">
        <w:rPr>
          <w:rFonts w:ascii="Segoe UI" w:hAnsi="Segoe UI" w:cs="Segoe UI"/>
        </w:rPr>
        <w:t>)</w:t>
      </w:r>
      <w:r w:rsidR="00604761" w:rsidRPr="00937CE2">
        <w:rPr>
          <w:rFonts w:ascii="Segoe UI" w:hAnsi="Segoe UI" w:cs="Segoe UI"/>
        </w:rPr>
        <w:t xml:space="preserve"> </w:t>
      </w:r>
      <w:r w:rsidRPr="00937CE2">
        <w:rPr>
          <w:rFonts w:ascii="Segoe UI" w:hAnsi="Segoe UI" w:cs="Segoe UI"/>
        </w:rPr>
        <w:t>temi di sostenibilità individuati come rilevanti in entrambi i processi.</w:t>
      </w:r>
    </w:p>
    <w:p w14:paraId="0BC1468B" w14:textId="3898DDBA" w:rsidR="00515DA8" w:rsidRDefault="00515DA8" w:rsidP="00515DA8">
      <w:pPr>
        <w:spacing w:before="120" w:after="120" w:line="240" w:lineRule="auto"/>
        <w:jc w:val="both"/>
        <w:rPr>
          <w:rFonts w:ascii="Segoe UI" w:hAnsi="Segoe UI" w:cs="Segoe UI"/>
        </w:rPr>
      </w:pPr>
    </w:p>
    <w:p w14:paraId="3A28AE45" w14:textId="67460C13" w:rsidR="00757442" w:rsidRDefault="008F74F7" w:rsidP="008F74F7">
      <w:pPr>
        <w:keepNext/>
        <w:keepLines/>
        <w:tabs>
          <w:tab w:val="left" w:pos="0"/>
        </w:tabs>
        <w:spacing w:before="120" w:after="120" w:line="240" w:lineRule="auto"/>
        <w:jc w:val="center"/>
        <w:rPr>
          <w:rFonts w:ascii="Segoe UI" w:hAnsi="Segoe UI" w:cs="Segoe UI"/>
          <w:sz w:val="20"/>
          <w:szCs w:val="20"/>
        </w:rPr>
      </w:pPr>
      <w:r w:rsidRPr="002F70D1">
        <w:rPr>
          <w:rFonts w:ascii="Segoe UI" w:hAnsi="Segoe UI" w:cs="Segoe UI"/>
          <w:sz w:val="20"/>
          <w:szCs w:val="20"/>
        </w:rPr>
        <w:t>Figura</w:t>
      </w:r>
      <w:r w:rsidR="003338E4">
        <w:rPr>
          <w:rFonts w:ascii="Segoe UI" w:hAnsi="Segoe UI" w:cs="Segoe UI"/>
          <w:sz w:val="20"/>
          <w:szCs w:val="20"/>
        </w:rPr>
        <w:t xml:space="preserve"> </w:t>
      </w:r>
      <w:r w:rsidR="0010364D">
        <w:rPr>
          <w:rFonts w:ascii="Segoe UI" w:hAnsi="Segoe UI" w:cs="Segoe UI"/>
          <w:sz w:val="20"/>
          <w:szCs w:val="20"/>
        </w:rPr>
        <w:t>4</w:t>
      </w:r>
      <w:r>
        <w:rPr>
          <w:rFonts w:ascii="Segoe UI" w:hAnsi="Segoe UI" w:cs="Segoe UI"/>
          <w:sz w:val="20"/>
          <w:szCs w:val="20"/>
        </w:rPr>
        <w:t>:</w:t>
      </w:r>
      <w:r w:rsidR="003338E4">
        <w:rPr>
          <w:rFonts w:ascii="Segoe UI" w:hAnsi="Segoe UI" w:cs="Segoe UI"/>
          <w:sz w:val="20"/>
          <w:szCs w:val="20"/>
        </w:rPr>
        <w:t xml:space="preserve"> </w:t>
      </w:r>
      <w:r w:rsidR="0010364D">
        <w:rPr>
          <w:rFonts w:ascii="Segoe UI" w:hAnsi="Segoe UI" w:cs="Segoe UI"/>
          <w:sz w:val="20"/>
          <w:szCs w:val="20"/>
        </w:rPr>
        <w:t>Temi</w:t>
      </w:r>
      <w:r w:rsidR="00F9619E">
        <w:rPr>
          <w:rFonts w:ascii="Segoe UI" w:hAnsi="Segoe UI" w:cs="Segoe UI"/>
          <w:sz w:val="20"/>
          <w:szCs w:val="20"/>
        </w:rPr>
        <w:t xml:space="preserve"> di sostenibilità </w:t>
      </w:r>
      <w:r w:rsidR="0010364D">
        <w:rPr>
          <w:rFonts w:ascii="Segoe UI" w:hAnsi="Segoe UI" w:cs="Segoe UI"/>
          <w:sz w:val="20"/>
          <w:szCs w:val="20"/>
        </w:rPr>
        <w:t xml:space="preserve">di materialità </w:t>
      </w:r>
      <w:r w:rsidR="00F9619E">
        <w:rPr>
          <w:rFonts w:ascii="Segoe UI" w:hAnsi="Segoe UI" w:cs="Segoe UI"/>
          <w:sz w:val="20"/>
          <w:szCs w:val="20"/>
        </w:rPr>
        <w:t xml:space="preserve">per il </w:t>
      </w:r>
      <w:r w:rsidR="00F9619E" w:rsidRPr="00F9619E">
        <w:rPr>
          <w:rFonts w:ascii="Segoe UI" w:hAnsi="Segoe UI" w:cs="Segoe UI"/>
          <w:i/>
          <w:sz w:val="20"/>
          <w:szCs w:val="20"/>
        </w:rPr>
        <w:t>reporting</w:t>
      </w:r>
      <w:r w:rsidR="00F9619E">
        <w:rPr>
          <w:rFonts w:ascii="Segoe UI" w:hAnsi="Segoe UI" w:cs="Segoe UI"/>
          <w:sz w:val="20"/>
          <w:szCs w:val="20"/>
        </w:rPr>
        <w:t xml:space="preserve"> </w:t>
      </w:r>
      <w:r w:rsidR="0010364D">
        <w:rPr>
          <w:rFonts w:ascii="Segoe UI" w:hAnsi="Segoe UI" w:cs="Segoe UI"/>
          <w:sz w:val="20"/>
          <w:szCs w:val="20"/>
        </w:rPr>
        <w:t xml:space="preserve">e temi di </w:t>
      </w:r>
      <w:r w:rsidR="00F9619E">
        <w:rPr>
          <w:rFonts w:ascii="Segoe UI" w:hAnsi="Segoe UI" w:cs="Segoe UI"/>
          <w:sz w:val="20"/>
          <w:szCs w:val="20"/>
        </w:rPr>
        <w:t xml:space="preserve">sostenibilità di </w:t>
      </w:r>
      <w:r w:rsidR="0010364D">
        <w:rPr>
          <w:rFonts w:ascii="Segoe UI" w:hAnsi="Segoe UI" w:cs="Segoe UI"/>
          <w:sz w:val="20"/>
          <w:szCs w:val="20"/>
        </w:rPr>
        <w:t>materialità finanziaria</w:t>
      </w:r>
    </w:p>
    <w:p w14:paraId="31FD8315" w14:textId="42C7F410" w:rsidR="00757442" w:rsidRDefault="00A00331" w:rsidP="008F74F7">
      <w:pPr>
        <w:keepNext/>
        <w:keepLines/>
        <w:tabs>
          <w:tab w:val="left" w:pos="0"/>
        </w:tabs>
        <w:spacing w:before="120" w:after="120" w:line="240" w:lineRule="auto"/>
        <w:jc w:val="center"/>
        <w:rPr>
          <w:rFonts w:ascii="Segoe UI" w:hAnsi="Segoe UI" w:cs="Segoe UI"/>
          <w:sz w:val="20"/>
          <w:szCs w:val="20"/>
        </w:rPr>
      </w:pPr>
      <w:r>
        <w:rPr>
          <w:noProof/>
          <w:lang w:eastAsia="it-IT"/>
        </w:rPr>
        <mc:AlternateContent>
          <mc:Choice Requires="wps">
            <w:drawing>
              <wp:anchor distT="0" distB="0" distL="114300" distR="114300" simplePos="0" relativeHeight="251657728" behindDoc="0" locked="0" layoutInCell="1" allowOverlap="1" wp14:anchorId="42186068" wp14:editId="2E1FB50D">
                <wp:simplePos x="0" y="0"/>
                <wp:positionH relativeFrom="column">
                  <wp:posOffset>1647190</wp:posOffset>
                </wp:positionH>
                <wp:positionV relativeFrom="paragraph">
                  <wp:posOffset>1121410</wp:posOffset>
                </wp:positionV>
                <wp:extent cx="360000" cy="1260000"/>
                <wp:effectExtent l="152400" t="0" r="154940" b="0"/>
                <wp:wrapNone/>
                <wp:docPr id="1" name="Ovale 1"/>
                <wp:cNvGraphicFramePr/>
                <a:graphic xmlns:a="http://schemas.openxmlformats.org/drawingml/2006/main">
                  <a:graphicData uri="http://schemas.microsoft.com/office/word/2010/wordprocessingShape">
                    <wps:wsp>
                      <wps:cNvSpPr/>
                      <wps:spPr>
                        <a:xfrm rot="20116930">
                          <a:off x="0" y="0"/>
                          <a:ext cx="360000" cy="1260000"/>
                        </a:xfrm>
                        <a:prstGeom prst="ellipse">
                          <a:avLst/>
                        </a:prstGeom>
                        <a:noFill/>
                        <a:ln w="22225">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vertOverflow="clip"/>
                    </wps:wsp>
                  </a:graphicData>
                </a:graphic>
                <wp14:sizeRelH relativeFrom="margin">
                  <wp14:pctWidth>0</wp14:pctWidth>
                </wp14:sizeRelH>
                <wp14:sizeRelV relativeFrom="margin">
                  <wp14:pctHeight>0</wp14:pctHeight>
                </wp14:sizeRelV>
              </wp:anchor>
            </w:drawing>
          </mc:Choice>
          <mc:Fallback>
            <w:pict>
              <v:oval w14:anchorId="7C328253" id="Ovale 1" o:spid="_x0000_s1026" style="position:absolute;margin-left:129.7pt;margin-top:88.3pt;width:28.35pt;height:99.2pt;rotation:-1619908fd;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" filled="f" strokecolor="#ffc000" strokeweight="1.75pt">
                <v:stroke joinstyle="miter"/>
              </v:oval>
            </w:pict>
          </mc:Fallback>
        </mc:AlternateContent>
      </w:r>
      <w:r w:rsidR="00A37EA6">
        <w:rPr>
          <w:noProof/>
        </w:rPr>
        <mc:AlternateContent>
          <mc:Choice Requires="wps">
            <w:drawing>
              <wp:anchor distT="0" distB="0" distL="114300" distR="114300" simplePos="0" relativeHeight="251654656" behindDoc="0" locked="0" layoutInCell="1" allowOverlap="1" wp14:anchorId="11156DEE" wp14:editId="11717956">
                <wp:simplePos x="0" y="0"/>
                <wp:positionH relativeFrom="column">
                  <wp:posOffset>1982311</wp:posOffset>
                </wp:positionH>
                <wp:positionV relativeFrom="paragraph">
                  <wp:posOffset>1999615</wp:posOffset>
                </wp:positionV>
                <wp:extent cx="2159635" cy="899795"/>
                <wp:effectExtent l="0" t="0" r="12065" b="14605"/>
                <wp:wrapNone/>
                <wp:docPr id="33" name="Ovale 9">
                  <a:extLst xmlns:a="http://schemas.openxmlformats.org/drawingml/2006/main"/>
                </wp:docPr>
                <wp:cNvGraphicFramePr/>
                <a:graphic xmlns:a="http://schemas.openxmlformats.org/drawingml/2006/main">
                  <a:graphicData uri="http://schemas.microsoft.com/office/word/2010/wordprocessingShape">
                    <wps:wsp>
                      <wps:cNvSpPr/>
                      <wps:spPr>
                        <a:xfrm>
                          <a:off x="0" y="0"/>
                          <a:ext cx="2159635" cy="899795"/>
                        </a:xfrm>
                        <a:prstGeom prst="ellipse">
                          <a:avLst/>
                        </a:prstGeom>
                        <a:solidFill>
                          <a:schemeClr val="accent4">
                            <a:alpha val="15000"/>
                          </a:schemeClr>
                        </a:solidFill>
                        <a:ln w="22225">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oval w14:anchorId="76689C1E" id="Ovale 9" o:spid="_x0000_s1026" style="position:absolute;margin-left:156.1pt;margin-top:157.45pt;width:170.05pt;height:70.85pt;z-index:251654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" fillcolor="#ffc000 [3207]" strokecolor="#5b9bd5 [3204]" strokeweight="1.75pt">
                <v:fill opacity="9766f"/>
                <v:stroke joinstyle="miter"/>
              </v:oval>
            </w:pict>
          </mc:Fallback>
        </mc:AlternateContent>
      </w:r>
      <w:r w:rsidR="00A37EA6">
        <w:rPr>
          <w:noProof/>
        </w:rPr>
        <mc:AlternateContent>
          <mc:Choice Requires="wps">
            <w:drawing>
              <wp:anchor distT="0" distB="0" distL="114300" distR="114300" simplePos="0" relativeHeight="251655680" behindDoc="0" locked="0" layoutInCell="1" allowOverlap="1" wp14:anchorId="3BDDF381" wp14:editId="494881E7">
                <wp:simplePos x="0" y="0"/>
                <wp:positionH relativeFrom="column">
                  <wp:posOffset>1079659</wp:posOffset>
                </wp:positionH>
                <wp:positionV relativeFrom="paragraph">
                  <wp:posOffset>1097915</wp:posOffset>
                </wp:positionV>
                <wp:extent cx="3959860" cy="1259840"/>
                <wp:effectExtent l="0" t="0" r="21590" b="16510"/>
                <wp:wrapNone/>
                <wp:docPr id="30" name="Ovale 8">
                  <a:extLst xmlns:a="http://schemas.openxmlformats.org/drawingml/2006/main"/>
                </wp:docPr>
                <wp:cNvGraphicFramePr/>
                <a:graphic xmlns:a="http://schemas.openxmlformats.org/drawingml/2006/main">
                  <a:graphicData uri="http://schemas.microsoft.com/office/word/2010/wordprocessingShape">
                    <wps:wsp>
                      <wps:cNvSpPr/>
                      <wps:spPr>
                        <a:xfrm>
                          <a:off x="0" y="0"/>
                          <a:ext cx="3959860" cy="1259840"/>
                        </a:xfrm>
                        <a:prstGeom prst="ellipse">
                          <a:avLst/>
                        </a:prstGeom>
                        <a:solidFill>
                          <a:schemeClr val="accent6">
                            <a:alpha val="10000"/>
                          </a:schemeClr>
                        </a:solidFill>
                        <a:ln w="22225">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oval w14:anchorId="1421F23D" id="Ovale 8" o:spid="_x0000_s1026" style="position:absolute;margin-left:85pt;margin-top:86.45pt;width:311.8pt;height:99.2pt;z-index:251655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" fillcolor="#70ad47 [3209]" strokecolor="#70ad47 [3209]" strokeweight="1.75pt">
                <v:fill opacity="6682f"/>
                <v:stroke joinstyle="miter"/>
              </v:oval>
            </w:pict>
          </mc:Fallback>
        </mc:AlternateContent>
      </w:r>
      <w:r w:rsidR="00757442">
        <w:rPr>
          <w:noProof/>
        </w:rPr>
        <w:drawing>
          <wp:inline distT="0" distB="0" distL="0" distR="0" wp14:anchorId="205E4B1C" wp14:editId="7DAC5474">
            <wp:extent cx="5760000" cy="3240000"/>
            <wp:effectExtent l="0" t="0" r="0" b="0"/>
            <wp:docPr id="29" name="Grafico 29">
              <a:extLst xmlns:a="http://schemas.openxmlformats.org/drawingml/2006/main">
                <a:ext uri="{FF2B5EF4-FFF2-40B4-BE49-F238E27FC236}">
                  <a16:creationId xmlns:a16="http://schemas.microsoft.com/office/drawing/2014/main" id="{3F70B586-B003-4125-BF5C-ADBE2DD5724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676734B2" w14:textId="3AE209A1" w:rsidR="008F74F7" w:rsidRDefault="008F74F7" w:rsidP="008F74F7">
      <w:pPr>
        <w:spacing w:before="120" w:after="120" w:line="240" w:lineRule="auto"/>
        <w:jc w:val="center"/>
        <w:rPr>
          <w:rFonts w:ascii="Segoe UI" w:hAnsi="Segoe UI" w:cs="Segoe UI"/>
          <w:i/>
          <w:sz w:val="18"/>
          <w:szCs w:val="18"/>
        </w:rPr>
      </w:pPr>
      <w:r w:rsidRPr="000476EC">
        <w:rPr>
          <w:rFonts w:ascii="Segoe UI" w:hAnsi="Segoe UI" w:cs="Segoe UI"/>
          <w:i/>
          <w:sz w:val="18"/>
          <w:szCs w:val="18"/>
        </w:rPr>
        <w:t xml:space="preserve">Fonte: rielaborazione grafico in GRI e RobecoSAM, “Definig What </w:t>
      </w:r>
      <w:r>
        <w:rPr>
          <w:rFonts w:ascii="Segoe UI" w:hAnsi="Segoe UI" w:cs="Segoe UI"/>
          <w:i/>
          <w:sz w:val="18"/>
          <w:szCs w:val="18"/>
        </w:rPr>
        <w:t>M</w:t>
      </w:r>
      <w:r w:rsidRPr="000476EC">
        <w:rPr>
          <w:rFonts w:ascii="Segoe UI" w:hAnsi="Segoe UI" w:cs="Segoe UI"/>
          <w:i/>
          <w:sz w:val="18"/>
          <w:szCs w:val="18"/>
        </w:rPr>
        <w:t>atters”, 201</w:t>
      </w:r>
      <w:r>
        <w:rPr>
          <w:rFonts w:ascii="Segoe UI" w:hAnsi="Segoe UI" w:cs="Segoe UI"/>
          <w:i/>
          <w:sz w:val="18"/>
          <w:szCs w:val="18"/>
        </w:rPr>
        <w:t>6</w:t>
      </w:r>
      <w:r w:rsidRPr="000476EC">
        <w:rPr>
          <w:rFonts w:ascii="Segoe UI" w:hAnsi="Segoe UI" w:cs="Segoe UI"/>
          <w:i/>
          <w:sz w:val="18"/>
          <w:szCs w:val="18"/>
        </w:rPr>
        <w:t>.</w:t>
      </w:r>
    </w:p>
    <w:p w14:paraId="10BBF560" w14:textId="596D5902" w:rsidR="00515DA8" w:rsidRDefault="00515DA8" w:rsidP="00515DA8">
      <w:pPr>
        <w:spacing w:before="120" w:after="120" w:line="240" w:lineRule="auto"/>
        <w:jc w:val="both"/>
        <w:rPr>
          <w:rFonts w:ascii="Segoe UI" w:hAnsi="Segoe UI" w:cs="Segoe UI"/>
        </w:rPr>
      </w:pPr>
    </w:p>
    <w:p w14:paraId="26FA9169" w14:textId="5C04E4BC" w:rsidR="00CC59FC" w:rsidRDefault="00CC59FC" w:rsidP="00515DA8">
      <w:pPr>
        <w:spacing w:before="120" w:after="120" w:line="240" w:lineRule="auto"/>
        <w:jc w:val="both"/>
        <w:rPr>
          <w:rFonts w:ascii="Segoe UI" w:hAnsi="Segoe UI" w:cs="Segoe UI"/>
        </w:rPr>
      </w:pPr>
    </w:p>
    <w:p w14:paraId="4D63CE20" w14:textId="72B29F9D" w:rsidR="00CC59FC" w:rsidRPr="00CC59FC" w:rsidRDefault="00CC59FC" w:rsidP="00CC59FC">
      <w:pPr>
        <w:spacing w:before="120" w:after="120" w:line="240" w:lineRule="auto"/>
        <w:jc w:val="both"/>
        <w:rPr>
          <w:rFonts w:ascii="Segoe UI" w:hAnsi="Segoe UI" w:cs="Segoe UI"/>
        </w:rPr>
      </w:pPr>
      <w:r w:rsidRPr="00CC59FC">
        <w:rPr>
          <w:rFonts w:ascii="Segoe UI" w:hAnsi="Segoe UI" w:cs="Segoe UI"/>
        </w:rPr>
        <w:t xml:space="preserve">Nell’osservare la figura, si noti che, all’interno dell’ellisse </w:t>
      </w:r>
      <w:r w:rsidR="00F6240C">
        <w:rPr>
          <w:rFonts w:ascii="Segoe UI" w:hAnsi="Segoe UI" w:cs="Segoe UI"/>
        </w:rPr>
        <w:t xml:space="preserve">verde </w:t>
      </w:r>
      <w:r w:rsidRPr="00CC59FC">
        <w:rPr>
          <w:rFonts w:ascii="Segoe UI" w:hAnsi="Segoe UI" w:cs="Segoe UI"/>
        </w:rPr>
        <w:t xml:space="preserve">dei temi materiali per il </w:t>
      </w:r>
      <w:r w:rsidRPr="00CC59FC">
        <w:rPr>
          <w:rFonts w:ascii="Segoe UI" w:hAnsi="Segoe UI" w:cs="Segoe UI"/>
          <w:i/>
        </w:rPr>
        <w:t>reporting</w:t>
      </w:r>
      <w:r w:rsidRPr="00CC59FC">
        <w:rPr>
          <w:rFonts w:ascii="Segoe UI" w:hAnsi="Segoe UI" w:cs="Segoe UI"/>
        </w:rPr>
        <w:t xml:space="preserve">, sono inclusi, in effetti, due </w:t>
      </w:r>
      <w:r w:rsidRPr="00CC59FC">
        <w:rPr>
          <w:rFonts w:ascii="Segoe UI" w:hAnsi="Segoe UI" w:cs="Segoe UI"/>
          <w:i/>
        </w:rPr>
        <w:t>item</w:t>
      </w:r>
      <w:r w:rsidRPr="00CC59FC">
        <w:rPr>
          <w:rFonts w:ascii="Segoe UI" w:hAnsi="Segoe UI" w:cs="Segoe UI"/>
        </w:rPr>
        <w:t xml:space="preserve"> arancioni (posizionati nella fascia diagonale della Figura 2), che la direzione potrebbe aver scelto di considerare per ragioni strategiche, e sono altresì inclusi un </w:t>
      </w:r>
      <w:r w:rsidRPr="00CC59FC">
        <w:rPr>
          <w:rFonts w:ascii="Segoe UI" w:hAnsi="Segoe UI" w:cs="Segoe UI"/>
          <w:i/>
        </w:rPr>
        <w:t>item</w:t>
      </w:r>
      <w:r w:rsidRPr="00CC59FC">
        <w:rPr>
          <w:rFonts w:ascii="Segoe UI" w:hAnsi="Segoe UI" w:cs="Segoe UI"/>
        </w:rPr>
        <w:t xml:space="preserve"> azzurro e uno verde chiaro,</w:t>
      </w:r>
      <w:r w:rsidR="00CA284A">
        <w:rPr>
          <w:rFonts w:ascii="Segoe UI" w:hAnsi="Segoe UI" w:cs="Segoe UI"/>
        </w:rPr>
        <w:t xml:space="preserve"> </w:t>
      </w:r>
      <w:r w:rsidRPr="00CC59FC">
        <w:rPr>
          <w:rFonts w:ascii="Segoe UI" w:hAnsi="Segoe UI" w:cs="Segoe UI"/>
        </w:rPr>
        <w:t>perché</w:t>
      </w:r>
      <w:r w:rsidR="00CA284A">
        <w:rPr>
          <w:rFonts w:ascii="Segoe UI" w:hAnsi="Segoe UI" w:cs="Segoe UI"/>
        </w:rPr>
        <w:t xml:space="preserve">, pur trattandosi, ad esempio, di temi </w:t>
      </w:r>
      <w:r w:rsidRPr="00CC59FC">
        <w:rPr>
          <w:rFonts w:ascii="Segoe UI" w:hAnsi="Segoe UI" w:cs="Segoe UI"/>
        </w:rPr>
        <w:t xml:space="preserve">arancioni </w:t>
      </w:r>
      <w:r w:rsidR="00CA284A">
        <w:rPr>
          <w:rFonts w:ascii="Segoe UI" w:hAnsi="Segoe UI" w:cs="Segoe UI"/>
        </w:rPr>
        <w:t>ma esterni a</w:t>
      </w:r>
      <w:r w:rsidR="00D215A6">
        <w:rPr>
          <w:rFonts w:ascii="Segoe UI" w:hAnsi="Segoe UI" w:cs="Segoe UI"/>
        </w:rPr>
        <w:t xml:space="preserve">ll’ellisse verde </w:t>
      </w:r>
      <w:r w:rsidRPr="00CC59FC">
        <w:rPr>
          <w:rFonts w:ascii="Segoe UI" w:hAnsi="Segoe UI" w:cs="Segoe UI"/>
        </w:rPr>
        <w:t>della Figura 2</w:t>
      </w:r>
      <w:r w:rsidR="00CA284A">
        <w:rPr>
          <w:rFonts w:ascii="Segoe UI" w:hAnsi="Segoe UI" w:cs="Segoe UI"/>
        </w:rPr>
        <w:t>, costituiscono</w:t>
      </w:r>
      <w:r w:rsidRPr="00CC59FC">
        <w:rPr>
          <w:rFonts w:ascii="Segoe UI" w:hAnsi="Segoe UI" w:cs="Segoe UI"/>
        </w:rPr>
        <w:t>,</w:t>
      </w:r>
      <w:r w:rsidR="00CA284A">
        <w:rPr>
          <w:rFonts w:ascii="Segoe UI" w:hAnsi="Segoe UI" w:cs="Segoe UI"/>
        </w:rPr>
        <w:t xml:space="preserve"> </w:t>
      </w:r>
      <w:r w:rsidRPr="00CC59FC">
        <w:rPr>
          <w:rFonts w:ascii="Segoe UI" w:hAnsi="Segoe UI" w:cs="Segoe UI"/>
        </w:rPr>
        <w:t xml:space="preserve">nel contempo, </w:t>
      </w:r>
      <w:r w:rsidR="00CA284A">
        <w:rPr>
          <w:rFonts w:ascii="Segoe UI" w:hAnsi="Segoe UI" w:cs="Segoe UI"/>
        </w:rPr>
        <w:t xml:space="preserve">temi </w:t>
      </w:r>
      <w:r w:rsidRPr="00CC59FC">
        <w:rPr>
          <w:rFonts w:ascii="Segoe UI" w:hAnsi="Segoe UI" w:cs="Segoe UI"/>
        </w:rPr>
        <w:t>di un qualche rilievo anche nell’ambito dell’analisi di materialità finanziaria</w:t>
      </w:r>
      <w:r w:rsidR="00CA284A">
        <w:rPr>
          <w:rFonts w:ascii="Segoe UI" w:hAnsi="Segoe UI" w:cs="Segoe UI"/>
        </w:rPr>
        <w:t xml:space="preserve">, indicati </w:t>
      </w:r>
      <w:r w:rsidR="00CA284A" w:rsidRPr="00CC59FC">
        <w:rPr>
          <w:rFonts w:ascii="Segoe UI" w:hAnsi="Segoe UI" w:cs="Segoe UI"/>
        </w:rPr>
        <w:t>nell’ellisse arancione della Figura</w:t>
      </w:r>
      <w:r w:rsidR="00CA284A">
        <w:rPr>
          <w:rFonts w:ascii="Segoe UI" w:hAnsi="Segoe UI" w:cs="Segoe UI"/>
        </w:rPr>
        <w:t xml:space="preserve"> </w:t>
      </w:r>
      <w:r w:rsidR="00CA284A" w:rsidRPr="00CC59FC">
        <w:rPr>
          <w:rFonts w:ascii="Segoe UI" w:hAnsi="Segoe UI" w:cs="Segoe UI"/>
        </w:rPr>
        <w:t>3</w:t>
      </w:r>
      <w:r w:rsidRPr="00CC59FC">
        <w:rPr>
          <w:rFonts w:ascii="Segoe UI" w:hAnsi="Segoe UI" w:cs="Segoe UI"/>
        </w:rPr>
        <w:t>.</w:t>
      </w:r>
    </w:p>
    <w:p w14:paraId="340B0856" w14:textId="5D1003A4" w:rsidR="00515DA8" w:rsidRPr="00515DA8" w:rsidRDefault="00CC59FC" w:rsidP="00515DA8">
      <w:pPr>
        <w:spacing w:before="120" w:after="120" w:line="240" w:lineRule="auto"/>
        <w:jc w:val="both"/>
        <w:rPr>
          <w:rFonts w:ascii="Segoe UI" w:hAnsi="Segoe UI" w:cs="Segoe UI"/>
        </w:rPr>
      </w:pPr>
      <w:r w:rsidRPr="00CC59FC">
        <w:rPr>
          <w:rFonts w:ascii="Segoe UI" w:hAnsi="Segoe UI" w:cs="Segoe UI"/>
        </w:rPr>
        <w:t xml:space="preserve">In sintesi, al di là dell’analisi di determinazione dei temi di sostenibilità di materialità finanziaria, le aziende potrebbero ragionevolmente includere nella </w:t>
      </w:r>
      <w:r w:rsidRPr="00CC59FC">
        <w:rPr>
          <w:rFonts w:ascii="Segoe UI" w:hAnsi="Segoe UI" w:cs="Segoe UI"/>
          <w:i/>
        </w:rPr>
        <w:t>disclosure</w:t>
      </w:r>
      <w:r w:rsidRPr="00CC59FC">
        <w:rPr>
          <w:rFonts w:ascii="Segoe UI" w:hAnsi="Segoe UI" w:cs="Segoe UI"/>
        </w:rPr>
        <w:t xml:space="preserve"> non finanziaria anche temi che risultino esclusi dai temi di sostenibilità di materialità finanziaria, ritenendo di dover assegnare ad essi una particolare priorità in base alla valutazione di variabili del tutto diverse rispetto a quelle considerate, quali, ad esempio: l’urgenza immediata per una determinata categoria di </w:t>
      </w:r>
      <w:r w:rsidRPr="00CC59FC">
        <w:rPr>
          <w:rFonts w:ascii="Segoe UI" w:hAnsi="Segoe UI" w:cs="Segoe UI"/>
          <w:i/>
        </w:rPr>
        <w:t>stakeholder</w:t>
      </w:r>
      <w:r w:rsidRPr="00CC59FC">
        <w:rPr>
          <w:rFonts w:ascii="Segoe UI" w:hAnsi="Segoe UI" w:cs="Segoe UI"/>
        </w:rPr>
        <w:t xml:space="preserve">; la necessità di consolidamento di legittimità operativa o reputazionale non monetizzabile; la potenzialità di rientrare tra i temi di materialità finanziaria nel prossimo futuro. D’altra parte, taluni temi con bassa priorità nell’analisi di materialità nel </w:t>
      </w:r>
      <w:r w:rsidRPr="00CC59FC">
        <w:rPr>
          <w:rFonts w:ascii="Segoe UI" w:hAnsi="Segoe UI" w:cs="Segoe UI"/>
          <w:i/>
        </w:rPr>
        <w:t>reporting</w:t>
      </w:r>
      <w:r w:rsidRPr="00CC59FC">
        <w:rPr>
          <w:rFonts w:ascii="Segoe UI" w:hAnsi="Segoe UI" w:cs="Segoe UI"/>
        </w:rPr>
        <w:t xml:space="preserve"> potrebbero essere consideranti rilevanti perché corrispondenti a temi risultati importanti anche nell’ambito della materialità finanziaria</w:t>
      </w:r>
      <w:r w:rsidR="00515DA8" w:rsidRPr="00CC59FC">
        <w:rPr>
          <w:rFonts w:ascii="Segoe UI" w:hAnsi="Segoe UI" w:cs="Segoe UI"/>
        </w:rPr>
        <w:t>.</w:t>
      </w:r>
    </w:p>
    <w:p w14:paraId="0C9DCF8D" w14:textId="48FC374E" w:rsidR="00F270C0" w:rsidRPr="00044A96" w:rsidRDefault="00623F83" w:rsidP="00623F83">
      <w:pPr>
        <w:keepNext/>
        <w:keepLines/>
        <w:tabs>
          <w:tab w:val="left" w:pos="567"/>
        </w:tabs>
        <w:spacing w:before="1080" w:after="720" w:line="240" w:lineRule="auto"/>
        <w:ind w:left="567" w:hanging="567"/>
        <w:outlineLvl w:val="1"/>
        <w:rPr>
          <w:rFonts w:ascii="Segoe UI" w:eastAsiaTheme="minorHAnsi" w:hAnsi="Segoe UI" w:cs="Segoe UI"/>
          <w:bCs/>
          <w:sz w:val="28"/>
          <w:szCs w:val="28"/>
          <w:lang w:val="en-US"/>
        </w:rPr>
      </w:pPr>
      <w:bookmarkStart w:id="29" w:name="_Toc463867080"/>
      <w:bookmarkStart w:id="30" w:name="_Toc497239357"/>
      <w:bookmarkStart w:id="31" w:name="_Toc507973960"/>
      <w:r w:rsidRPr="00044A96">
        <w:rPr>
          <w:rFonts w:ascii="Segoe UI" w:eastAsiaTheme="minorHAnsi" w:hAnsi="Segoe UI" w:cs="Segoe UI"/>
          <w:bCs/>
          <w:sz w:val="28"/>
          <w:szCs w:val="28"/>
          <w:lang w:val="en-US"/>
        </w:rPr>
        <w:t>6</w:t>
      </w:r>
      <w:r w:rsidR="00E20B47" w:rsidRPr="00044A96">
        <w:rPr>
          <w:rFonts w:ascii="Segoe UI" w:eastAsiaTheme="minorHAnsi" w:hAnsi="Segoe UI" w:cs="Segoe UI"/>
          <w:bCs/>
          <w:sz w:val="28"/>
          <w:szCs w:val="28"/>
          <w:lang w:val="en-US"/>
        </w:rPr>
        <w:t>.2</w:t>
      </w:r>
      <w:r w:rsidR="00E20B47" w:rsidRPr="00044A96">
        <w:rPr>
          <w:rFonts w:ascii="Segoe UI" w:eastAsiaTheme="minorHAnsi" w:hAnsi="Segoe UI" w:cs="Segoe UI"/>
          <w:bCs/>
          <w:sz w:val="28"/>
          <w:szCs w:val="28"/>
          <w:lang w:val="en-US"/>
        </w:rPr>
        <w:tab/>
      </w:r>
      <w:r w:rsidR="00F270C0" w:rsidRPr="00044A96">
        <w:rPr>
          <w:rFonts w:ascii="Segoe UI" w:eastAsiaTheme="minorHAnsi" w:hAnsi="Segoe UI" w:cs="Segoe UI"/>
          <w:bCs/>
          <w:sz w:val="28"/>
          <w:szCs w:val="28"/>
          <w:lang w:val="en-US"/>
        </w:rPr>
        <w:t>Approccio dell’International Integrated Reporting Council</w:t>
      </w:r>
      <w:bookmarkEnd w:id="29"/>
      <w:bookmarkEnd w:id="30"/>
      <w:r w:rsidR="00044A96" w:rsidRPr="00044A96">
        <w:rPr>
          <w:rFonts w:ascii="Segoe UI" w:eastAsiaTheme="minorHAnsi" w:hAnsi="Segoe UI" w:cs="Segoe UI"/>
          <w:bCs/>
          <w:sz w:val="28"/>
          <w:szCs w:val="28"/>
          <w:lang w:val="en-US"/>
        </w:rPr>
        <w:t xml:space="preserve"> (IIRC)</w:t>
      </w:r>
      <w:bookmarkEnd w:id="31"/>
    </w:p>
    <w:p w14:paraId="1D30023B" w14:textId="25B66320" w:rsidR="00F270C0" w:rsidRPr="004C4497" w:rsidRDefault="00F270C0" w:rsidP="00C23330">
      <w:pPr>
        <w:autoSpaceDE w:val="0"/>
        <w:autoSpaceDN w:val="0"/>
        <w:adjustRightInd w:val="0"/>
        <w:spacing w:before="120" w:after="120" w:line="240" w:lineRule="auto"/>
        <w:jc w:val="both"/>
        <w:rPr>
          <w:rFonts w:ascii="Segoe UI" w:hAnsi="Segoe UI" w:cs="Segoe UI"/>
        </w:rPr>
      </w:pPr>
      <w:r w:rsidRPr="004C4497">
        <w:rPr>
          <w:rFonts w:ascii="Segoe UI" w:hAnsi="Segoe UI" w:cs="Segoe UI"/>
        </w:rPr>
        <w:t xml:space="preserve">Nel presente paragrafo viene illustrato l’approccio </w:t>
      </w:r>
      <w:r w:rsidR="004C4497" w:rsidRPr="004C4497">
        <w:rPr>
          <w:rFonts w:ascii="Segoe UI" w:hAnsi="Segoe UI" w:cs="Segoe UI"/>
        </w:rPr>
        <w:t>a</w:t>
      </w:r>
      <w:r w:rsidRPr="004C4497">
        <w:rPr>
          <w:rFonts w:ascii="Segoe UI" w:hAnsi="Segoe UI" w:cs="Segoe UI"/>
        </w:rPr>
        <w:t xml:space="preserve">l tema della rilevanza dell’informativa </w:t>
      </w:r>
      <w:r w:rsidRPr="004C4497">
        <w:rPr>
          <w:rFonts w:ascii="Segoe UI" w:hAnsi="Segoe UI" w:cs="Segoe UI"/>
          <w:i/>
        </w:rPr>
        <w:t xml:space="preserve">non-financial </w:t>
      </w:r>
      <w:r w:rsidRPr="004C4497">
        <w:rPr>
          <w:rFonts w:ascii="Segoe UI" w:hAnsi="Segoe UI" w:cs="Segoe UI"/>
        </w:rPr>
        <w:t>previsto dal</w:t>
      </w:r>
      <w:r w:rsidRPr="004C4497">
        <w:rPr>
          <w:rFonts w:ascii="Segoe UI" w:eastAsia="Times New Roman" w:hAnsi="Segoe UI" w:cs="Segoe UI"/>
          <w:bCs/>
          <w:lang w:eastAsia="it-IT"/>
        </w:rPr>
        <w:t xml:space="preserve">l’International Integrated Reporting (IR) Framework 1.0 dell’International Integrated Reporting Council (IIRC), </w:t>
      </w:r>
      <w:r w:rsidR="005B157A" w:rsidRPr="004C4497">
        <w:rPr>
          <w:rFonts w:ascii="Segoe UI" w:eastAsia="Times New Roman" w:hAnsi="Segoe UI" w:cs="Segoe UI"/>
          <w:bCs/>
          <w:lang w:eastAsia="it-IT"/>
        </w:rPr>
        <w:t xml:space="preserve">anche </w:t>
      </w:r>
      <w:r w:rsidR="004C4497" w:rsidRPr="004C4497">
        <w:rPr>
          <w:rFonts w:ascii="Segoe UI" w:eastAsia="Times New Roman" w:hAnsi="Segoe UI" w:cs="Segoe UI"/>
          <w:bCs/>
          <w:lang w:eastAsia="it-IT"/>
        </w:rPr>
        <w:t xml:space="preserve">attraverso il supporto </w:t>
      </w:r>
      <w:r w:rsidRPr="004C4497">
        <w:rPr>
          <w:rFonts w:ascii="Segoe UI" w:eastAsia="Times New Roman" w:hAnsi="Segoe UI" w:cs="Segoe UI"/>
          <w:bCs/>
          <w:lang w:eastAsia="it-IT"/>
        </w:rPr>
        <w:t xml:space="preserve">del documento interpretativo specificatamente elaborato </w:t>
      </w:r>
      <w:r w:rsidR="004C4497" w:rsidRPr="004C4497">
        <w:rPr>
          <w:rFonts w:ascii="Segoe UI" w:eastAsia="Times New Roman" w:hAnsi="Segoe UI" w:cs="Segoe UI"/>
          <w:bCs/>
          <w:lang w:eastAsia="it-IT"/>
        </w:rPr>
        <w:t>dall’IIRC insieme all’</w:t>
      </w:r>
      <w:r w:rsidR="004C4497" w:rsidRPr="004C4497">
        <w:rPr>
          <w:rFonts w:ascii="Segoe UI" w:hAnsi="Segoe UI" w:cs="Segoe UI"/>
          <w:lang w:val="en-GB"/>
        </w:rPr>
        <w:t xml:space="preserve">International Federation of Accountants (IFAC) sul </w:t>
      </w:r>
      <w:r w:rsidR="00542565" w:rsidRPr="004C4497">
        <w:rPr>
          <w:rFonts w:ascii="Segoe UI" w:eastAsia="Times New Roman" w:hAnsi="Segoe UI" w:cs="Segoe UI"/>
          <w:bCs/>
          <w:lang w:eastAsia="it-IT"/>
        </w:rPr>
        <w:t xml:space="preserve">processo di determinazione della materialità </w:t>
      </w:r>
      <w:r w:rsidR="004C4497" w:rsidRPr="004C4497">
        <w:rPr>
          <w:rFonts w:ascii="Segoe UI" w:eastAsia="Times New Roman" w:hAnsi="Segoe UI" w:cs="Segoe UI"/>
          <w:bCs/>
          <w:lang w:eastAsia="it-IT"/>
        </w:rPr>
        <w:t>(di cui a</w:t>
      </w:r>
      <w:r w:rsidRPr="004C4497">
        <w:rPr>
          <w:rFonts w:ascii="Segoe UI" w:eastAsia="Times New Roman" w:hAnsi="Segoe UI" w:cs="Segoe UI"/>
          <w:bCs/>
          <w:lang w:eastAsia="it-IT"/>
        </w:rPr>
        <w:t>l</w:t>
      </w:r>
      <w:r w:rsidR="008B0183" w:rsidRPr="004C4497">
        <w:rPr>
          <w:rFonts w:ascii="Segoe UI" w:eastAsia="Times New Roman" w:hAnsi="Segoe UI" w:cs="Segoe UI"/>
          <w:bCs/>
          <w:lang w:eastAsia="it-IT"/>
        </w:rPr>
        <w:t>l’International</w:t>
      </w:r>
      <w:r w:rsidRPr="004C4497">
        <w:rPr>
          <w:rFonts w:ascii="Segoe UI" w:eastAsia="Times New Roman" w:hAnsi="Segoe UI" w:cs="Segoe UI"/>
          <w:bCs/>
          <w:lang w:eastAsia="it-IT"/>
        </w:rPr>
        <w:t xml:space="preserve"> </w:t>
      </w:r>
      <w:r w:rsidR="00922E05" w:rsidRPr="004C4497">
        <w:rPr>
          <w:rFonts w:ascii="Segoe UI" w:eastAsia="Times New Roman" w:hAnsi="Segoe UI" w:cs="Segoe UI"/>
          <w:bCs/>
          <w:lang w:eastAsia="it-IT"/>
        </w:rPr>
        <w:t>IR Framework</w:t>
      </w:r>
      <w:r w:rsidR="004C4497" w:rsidRPr="004C4497">
        <w:rPr>
          <w:rFonts w:ascii="Segoe UI" w:eastAsia="Times New Roman" w:hAnsi="Segoe UI" w:cs="Segoe UI"/>
          <w:bCs/>
          <w:lang w:eastAsia="it-IT"/>
        </w:rPr>
        <w:t>)</w:t>
      </w:r>
      <w:r w:rsidRPr="004C4497">
        <w:rPr>
          <w:rFonts w:ascii="Segoe UI" w:eastAsia="Times New Roman" w:hAnsi="Segoe UI" w:cs="Segoe UI"/>
          <w:bCs/>
          <w:lang w:eastAsia="it-IT"/>
        </w:rPr>
        <w:t>: “Materiality in IR. Guidance for the preparation of integrated reports”</w:t>
      </w:r>
      <w:r w:rsidRPr="004C4497">
        <w:rPr>
          <w:rStyle w:val="Rimandonotaapidipagina"/>
          <w:rFonts w:eastAsia="Times New Roman" w:cs="Segoe UI"/>
          <w:bCs/>
          <w:sz w:val="22"/>
          <w:lang w:eastAsia="it-IT"/>
        </w:rPr>
        <w:footnoteReference w:id="36"/>
      </w:r>
      <w:r w:rsidRPr="004C4497">
        <w:rPr>
          <w:rFonts w:ascii="Segoe UI" w:eastAsia="Times New Roman" w:hAnsi="Segoe UI" w:cs="Segoe UI"/>
          <w:bCs/>
          <w:lang w:eastAsia="it-IT"/>
        </w:rPr>
        <w:t>.</w:t>
      </w:r>
    </w:p>
    <w:p w14:paraId="55D25924" w14:textId="496E4B71"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L’obiettivo principale verso cui si orienta l’International IR</w:t>
      </w:r>
      <w:r w:rsidR="007E6A77" w:rsidRPr="0062207D">
        <w:rPr>
          <w:rFonts w:ascii="Segoe UI" w:hAnsi="Segoe UI" w:cs="Segoe UI"/>
          <w:szCs w:val="20"/>
        </w:rPr>
        <w:t xml:space="preserve"> </w:t>
      </w:r>
      <w:r w:rsidRPr="0062207D">
        <w:rPr>
          <w:rFonts w:ascii="Segoe UI" w:hAnsi="Segoe UI" w:cs="Segoe UI"/>
          <w:szCs w:val="20"/>
        </w:rPr>
        <w:t>Framework è quello di comunicare un’ampia serie di fattori che hanno un impatto sulla capacità dell’impresa di creare valore</w:t>
      </w:r>
      <w:r w:rsidR="005B157A">
        <w:rPr>
          <w:rFonts w:ascii="Segoe UI" w:hAnsi="Segoe UI" w:cs="Segoe UI"/>
          <w:szCs w:val="20"/>
        </w:rPr>
        <w:t xml:space="preserve">, al fine di supportare, </w:t>
      </w:r>
      <w:r w:rsidR="005B157A" w:rsidRPr="005B157A">
        <w:rPr>
          <w:rFonts w:ascii="Segoe UI" w:hAnsi="Segoe UI" w:cs="Segoe UI"/>
          <w:i/>
          <w:szCs w:val="20"/>
        </w:rPr>
        <w:t>in primis</w:t>
      </w:r>
      <w:r w:rsidR="005B157A">
        <w:rPr>
          <w:rFonts w:ascii="Segoe UI" w:hAnsi="Segoe UI" w:cs="Segoe UI"/>
          <w:szCs w:val="20"/>
        </w:rPr>
        <w:t xml:space="preserve">, le scelte degli </w:t>
      </w:r>
      <w:r w:rsidR="005B157A" w:rsidRPr="005B157A">
        <w:rPr>
          <w:rFonts w:ascii="Segoe UI" w:hAnsi="Segoe UI" w:cs="Segoe UI"/>
          <w:i/>
          <w:szCs w:val="20"/>
        </w:rPr>
        <w:t>investor</w:t>
      </w:r>
      <w:r w:rsidR="007F24F0" w:rsidRPr="00EE7CCF">
        <w:rPr>
          <w:rStyle w:val="Rimandonotaapidipagina"/>
          <w:rFonts w:cs="Segoe UI"/>
          <w:szCs w:val="20"/>
        </w:rPr>
        <w:footnoteReference w:id="37"/>
      </w:r>
      <w:r w:rsidRPr="00EE7CCF">
        <w:rPr>
          <w:rFonts w:ascii="Segoe UI" w:hAnsi="Segoe UI" w:cs="Segoe UI"/>
          <w:szCs w:val="20"/>
        </w:rPr>
        <w:t>.</w:t>
      </w:r>
      <w:r w:rsidRPr="0062207D">
        <w:rPr>
          <w:rFonts w:ascii="Segoe UI" w:hAnsi="Segoe UI" w:cs="Segoe UI"/>
          <w:szCs w:val="20"/>
        </w:rPr>
        <w:t xml:space="preserve"> La funzione che assume il bilancio di sostenibilità, sulla base di questa visione</w:t>
      </w:r>
      <w:r w:rsidR="00C53A05" w:rsidRPr="0062207D">
        <w:rPr>
          <w:rFonts w:ascii="Segoe UI" w:hAnsi="Segoe UI" w:cs="Segoe UI"/>
          <w:szCs w:val="20"/>
        </w:rPr>
        <w:t>,</w:t>
      </w:r>
      <w:r w:rsidRPr="0062207D">
        <w:rPr>
          <w:rFonts w:ascii="Segoe UI" w:hAnsi="Segoe UI" w:cs="Segoe UI"/>
          <w:szCs w:val="20"/>
        </w:rPr>
        <w:t xml:space="preserve"> è dunque strettamente legata alla capacità dell’organizzazione di creare valore nel tempo, mediante una serie di fattori chiave, quali: l’ambiente esterno, l’organizzazione, la missione, la visione e la strategia, i rischi, le opportunità e l’interdipendenza tra le risorse </w:t>
      </w:r>
      <w:r w:rsidR="005B157A">
        <w:rPr>
          <w:rFonts w:ascii="Segoe UI" w:hAnsi="Segoe UI" w:cs="Segoe UI"/>
          <w:szCs w:val="20"/>
        </w:rPr>
        <w:t xml:space="preserve">e </w:t>
      </w:r>
      <w:r w:rsidRPr="0062207D">
        <w:rPr>
          <w:rFonts w:ascii="Segoe UI" w:hAnsi="Segoe UI" w:cs="Segoe UI"/>
          <w:szCs w:val="20"/>
        </w:rPr>
        <w:t>i capitali</w:t>
      </w:r>
      <w:r w:rsidRPr="0062207D">
        <w:rPr>
          <w:rStyle w:val="Rimandonotaapidipagina"/>
          <w:rFonts w:cs="Segoe UI"/>
          <w:sz w:val="22"/>
          <w:szCs w:val="20"/>
        </w:rPr>
        <w:footnoteReference w:id="38"/>
      </w:r>
      <w:r w:rsidRPr="0062207D">
        <w:rPr>
          <w:rFonts w:ascii="Segoe UI" w:hAnsi="Segoe UI" w:cs="Segoe UI"/>
          <w:szCs w:val="20"/>
        </w:rPr>
        <w:t>.</w:t>
      </w:r>
    </w:p>
    <w:p w14:paraId="01B28D67" w14:textId="56EF8B8C" w:rsidR="00F270C0" w:rsidRPr="0062207D" w:rsidRDefault="000A25E5" w:rsidP="00C23330">
      <w:pPr>
        <w:autoSpaceDE w:val="0"/>
        <w:autoSpaceDN w:val="0"/>
        <w:adjustRightInd w:val="0"/>
        <w:spacing w:before="120" w:after="120" w:line="240" w:lineRule="auto"/>
        <w:jc w:val="both"/>
        <w:rPr>
          <w:rFonts w:ascii="Segoe UI" w:hAnsi="Segoe UI" w:cs="Segoe UI"/>
          <w:szCs w:val="20"/>
        </w:rPr>
      </w:pPr>
      <w:r>
        <w:rPr>
          <w:rFonts w:ascii="Segoe UI" w:hAnsi="Segoe UI" w:cs="Segoe UI"/>
          <w:szCs w:val="20"/>
        </w:rPr>
        <w:t>La definizione del</w:t>
      </w:r>
      <w:r w:rsidR="00F270C0" w:rsidRPr="0062207D">
        <w:rPr>
          <w:rFonts w:ascii="Segoe UI" w:hAnsi="Segoe UI" w:cs="Segoe UI"/>
          <w:szCs w:val="20"/>
        </w:rPr>
        <w:t xml:space="preserve"> concetto di creazione di valore, appare opportuno sottolinear</w:t>
      </w:r>
      <w:r>
        <w:rPr>
          <w:rFonts w:ascii="Segoe UI" w:hAnsi="Segoe UI" w:cs="Segoe UI"/>
          <w:szCs w:val="20"/>
        </w:rPr>
        <w:t xml:space="preserve">lo, può risultare tuttavia </w:t>
      </w:r>
      <w:r w:rsidR="00F270C0" w:rsidRPr="0062207D">
        <w:rPr>
          <w:rFonts w:ascii="Segoe UI" w:hAnsi="Segoe UI" w:cs="Segoe UI"/>
          <w:szCs w:val="20"/>
        </w:rPr>
        <w:t>altamente soggettiv</w:t>
      </w:r>
      <w:r>
        <w:rPr>
          <w:rFonts w:ascii="Segoe UI" w:hAnsi="Segoe UI" w:cs="Segoe UI"/>
          <w:szCs w:val="20"/>
        </w:rPr>
        <w:t>a</w:t>
      </w:r>
      <w:r w:rsidR="00F270C0" w:rsidRPr="0062207D">
        <w:rPr>
          <w:rFonts w:ascii="Segoe UI" w:hAnsi="Segoe UI" w:cs="Segoe UI"/>
          <w:szCs w:val="20"/>
        </w:rPr>
        <w:t>.</w:t>
      </w:r>
      <w:r>
        <w:rPr>
          <w:rFonts w:ascii="Segoe UI" w:hAnsi="Segoe UI" w:cs="Segoe UI"/>
          <w:szCs w:val="20"/>
        </w:rPr>
        <w:t xml:space="preserve"> </w:t>
      </w:r>
      <w:r w:rsidR="00F270C0" w:rsidRPr="0062207D">
        <w:rPr>
          <w:rFonts w:ascii="Segoe UI" w:hAnsi="Segoe UI" w:cs="Segoe UI"/>
          <w:szCs w:val="20"/>
        </w:rPr>
        <w:t>Infatti, alcune imprese esprimono la creazione di valore esclusivamente attraverso il ritorno di carattere finanziario, altre utilizzano una determinazione più ampia</w:t>
      </w:r>
      <w:r w:rsidR="00C53A05" w:rsidRPr="0062207D">
        <w:rPr>
          <w:rFonts w:ascii="Segoe UI" w:hAnsi="Segoe UI" w:cs="Segoe UI"/>
          <w:szCs w:val="20"/>
        </w:rPr>
        <w:t>,</w:t>
      </w:r>
      <w:r w:rsidR="00F270C0" w:rsidRPr="0062207D">
        <w:rPr>
          <w:rFonts w:ascii="Segoe UI" w:hAnsi="Segoe UI" w:cs="Segoe UI"/>
          <w:szCs w:val="20"/>
        </w:rPr>
        <w:t xml:space="preserve"> includendo anche il soddisfacimento di </w:t>
      </w:r>
      <w:r w:rsidR="005B157A">
        <w:rPr>
          <w:rFonts w:ascii="Segoe UI" w:hAnsi="Segoe UI" w:cs="Segoe UI"/>
          <w:szCs w:val="20"/>
        </w:rPr>
        <w:t xml:space="preserve">aspettative di altre tipologie di </w:t>
      </w:r>
      <w:r w:rsidR="005B157A" w:rsidRPr="000A25E5">
        <w:rPr>
          <w:rFonts w:ascii="Segoe UI" w:hAnsi="Segoe UI" w:cs="Segoe UI"/>
          <w:i/>
          <w:szCs w:val="20"/>
        </w:rPr>
        <w:t>stakeholder</w:t>
      </w:r>
      <w:r w:rsidR="005B157A">
        <w:rPr>
          <w:rFonts w:ascii="Segoe UI" w:hAnsi="Segoe UI" w:cs="Segoe UI"/>
          <w:szCs w:val="20"/>
        </w:rPr>
        <w:t xml:space="preserve"> (oltre gli </w:t>
      </w:r>
      <w:r w:rsidR="005B157A" w:rsidRPr="005B157A">
        <w:rPr>
          <w:rFonts w:ascii="Segoe UI" w:hAnsi="Segoe UI" w:cs="Segoe UI"/>
          <w:i/>
          <w:szCs w:val="20"/>
        </w:rPr>
        <w:t>investor</w:t>
      </w:r>
      <w:r w:rsidR="005B157A">
        <w:rPr>
          <w:rFonts w:ascii="Segoe UI" w:hAnsi="Segoe UI" w:cs="Segoe UI"/>
          <w:szCs w:val="20"/>
        </w:rPr>
        <w:t xml:space="preserve">) </w:t>
      </w:r>
      <w:r w:rsidR="00F270C0" w:rsidRPr="0062207D">
        <w:rPr>
          <w:rFonts w:ascii="Segoe UI" w:hAnsi="Segoe UI" w:cs="Segoe UI"/>
          <w:szCs w:val="20"/>
        </w:rPr>
        <w:t xml:space="preserve">o il raggiungimento di particolari obiettivi (diversi da quelli finanziari). Riconoscendo, </w:t>
      </w:r>
      <w:r w:rsidR="00C53A05" w:rsidRPr="0062207D">
        <w:rPr>
          <w:rFonts w:ascii="Segoe UI" w:hAnsi="Segoe UI" w:cs="Segoe UI"/>
          <w:szCs w:val="20"/>
        </w:rPr>
        <w:t>quindi</w:t>
      </w:r>
      <w:r w:rsidR="00F270C0" w:rsidRPr="0062207D">
        <w:rPr>
          <w:rFonts w:ascii="Segoe UI" w:hAnsi="Segoe UI" w:cs="Segoe UI"/>
          <w:szCs w:val="20"/>
        </w:rPr>
        <w:t xml:space="preserve">, che l’interpretazione del concetto di creazione del valore </w:t>
      </w:r>
      <w:r>
        <w:rPr>
          <w:rFonts w:ascii="Segoe UI" w:hAnsi="Segoe UI" w:cs="Segoe UI"/>
          <w:szCs w:val="20"/>
        </w:rPr>
        <w:t xml:space="preserve">possa variare </w:t>
      </w:r>
      <w:r w:rsidR="0080540D">
        <w:rPr>
          <w:rFonts w:ascii="Segoe UI" w:hAnsi="Segoe UI" w:cs="Segoe UI"/>
          <w:szCs w:val="20"/>
        </w:rPr>
        <w:t xml:space="preserve">in funzione dei </w:t>
      </w:r>
      <w:r w:rsidR="00F270C0" w:rsidRPr="0062207D">
        <w:rPr>
          <w:rFonts w:ascii="Segoe UI" w:hAnsi="Segoe UI" w:cs="Segoe UI"/>
          <w:szCs w:val="20"/>
        </w:rPr>
        <w:t>differenti contesti di analisi, l</w:t>
      </w:r>
      <w:r w:rsidR="00922E05">
        <w:rPr>
          <w:rFonts w:ascii="Segoe UI" w:hAnsi="Segoe UI" w:cs="Segoe UI"/>
          <w:szCs w:val="20"/>
        </w:rPr>
        <w:t>’</w:t>
      </w:r>
      <w:r w:rsidR="00C53A05" w:rsidRPr="00922E05">
        <w:rPr>
          <w:rFonts w:ascii="Segoe UI" w:hAnsi="Segoe UI" w:cs="Segoe UI"/>
          <w:szCs w:val="20"/>
        </w:rPr>
        <w:t xml:space="preserve">IR Framework </w:t>
      </w:r>
      <w:r w:rsidR="00F270C0" w:rsidRPr="0062207D">
        <w:rPr>
          <w:rFonts w:ascii="Segoe UI" w:hAnsi="Segoe UI" w:cs="Segoe UI"/>
          <w:szCs w:val="20"/>
        </w:rPr>
        <w:t xml:space="preserve">non assume un carattere </w:t>
      </w:r>
      <w:r w:rsidR="00C53A05" w:rsidRPr="0062207D">
        <w:rPr>
          <w:rFonts w:ascii="Segoe UI" w:hAnsi="Segoe UI" w:cs="Segoe UI"/>
          <w:szCs w:val="20"/>
        </w:rPr>
        <w:t>perentorio</w:t>
      </w:r>
      <w:r w:rsidR="00F270C0" w:rsidRPr="0062207D">
        <w:rPr>
          <w:rFonts w:ascii="Segoe UI" w:hAnsi="Segoe UI" w:cs="Segoe UI"/>
          <w:szCs w:val="20"/>
        </w:rPr>
        <w:t>.</w:t>
      </w:r>
    </w:p>
    <w:p w14:paraId="39E75B4C" w14:textId="2AFE706D" w:rsidR="00F270C0" w:rsidRPr="0062207D" w:rsidRDefault="00C53A05"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lang w:val="en-US"/>
        </w:rPr>
        <w:t>Più in dettaglio</w:t>
      </w:r>
      <w:r w:rsidR="00F270C0" w:rsidRPr="0062207D">
        <w:rPr>
          <w:rFonts w:ascii="Segoe UI" w:hAnsi="Segoe UI" w:cs="Segoe UI"/>
          <w:szCs w:val="20"/>
          <w:lang w:val="en-US"/>
        </w:rPr>
        <w:t>, l’Inte</w:t>
      </w:r>
      <w:r w:rsidRPr="0062207D">
        <w:rPr>
          <w:rFonts w:ascii="Segoe UI" w:hAnsi="Segoe UI" w:cs="Segoe UI"/>
          <w:szCs w:val="20"/>
          <w:lang w:val="en-US"/>
        </w:rPr>
        <w:t xml:space="preserve">rnational </w:t>
      </w:r>
      <w:r w:rsidR="00F270C0" w:rsidRPr="0062207D">
        <w:rPr>
          <w:rFonts w:ascii="Segoe UI" w:hAnsi="Segoe UI" w:cs="Segoe UI"/>
          <w:szCs w:val="20"/>
          <w:lang w:val="en-US"/>
        </w:rPr>
        <w:t xml:space="preserve">IR Framework, relativamente al principio della </w:t>
      </w:r>
      <w:r w:rsidR="00B608E5">
        <w:rPr>
          <w:rFonts w:ascii="Segoe UI" w:hAnsi="Segoe UI" w:cs="Segoe UI"/>
          <w:szCs w:val="20"/>
          <w:lang w:val="en-US"/>
        </w:rPr>
        <w:t>materialità</w:t>
      </w:r>
      <w:r w:rsidRPr="0062207D">
        <w:rPr>
          <w:rFonts w:ascii="Segoe UI" w:hAnsi="Segoe UI" w:cs="Segoe UI"/>
          <w:szCs w:val="20"/>
          <w:lang w:val="en-US"/>
        </w:rPr>
        <w:t xml:space="preserve">, </w:t>
      </w:r>
      <w:r w:rsidR="00F270C0" w:rsidRPr="0062207D">
        <w:rPr>
          <w:rFonts w:ascii="Segoe UI" w:hAnsi="Segoe UI" w:cs="Segoe UI"/>
          <w:szCs w:val="20"/>
          <w:lang w:val="en-US"/>
        </w:rPr>
        <w:t>prevede che “</w:t>
      </w:r>
      <w:r w:rsidR="00F270C0" w:rsidRPr="0062207D">
        <w:rPr>
          <w:rFonts w:ascii="Segoe UI" w:hAnsi="Segoe UI" w:cs="Segoe UI"/>
          <w:i/>
          <w:szCs w:val="20"/>
          <w:lang w:val="en-US"/>
        </w:rPr>
        <w:t>An integrated report should disclose information about matters that substantively affect the organization’s ability to create value over the short, medium and long term</w:t>
      </w:r>
      <w:r w:rsidR="00F270C0" w:rsidRPr="0062207D">
        <w:rPr>
          <w:rFonts w:ascii="Segoe UI" w:hAnsi="Segoe UI" w:cs="Segoe UI"/>
          <w:szCs w:val="20"/>
          <w:lang w:val="en-US"/>
        </w:rPr>
        <w:t>”</w:t>
      </w:r>
      <w:r w:rsidR="00F270C0" w:rsidRPr="0062207D">
        <w:rPr>
          <w:rStyle w:val="Rimandonotaapidipagina"/>
          <w:sz w:val="22"/>
        </w:rPr>
        <w:footnoteReference w:id="39"/>
      </w:r>
      <w:r w:rsidR="00F270C0" w:rsidRPr="00967F54">
        <w:rPr>
          <w:rFonts w:ascii="Segoe UI" w:hAnsi="Segoe UI" w:cs="Segoe UI"/>
          <w:szCs w:val="20"/>
          <w:lang w:val="en-US"/>
        </w:rPr>
        <w:t xml:space="preserve">. </w:t>
      </w:r>
      <w:r w:rsidR="00F270C0" w:rsidRPr="0062207D">
        <w:rPr>
          <w:rFonts w:ascii="Segoe UI" w:hAnsi="Segoe UI" w:cs="Segoe UI"/>
          <w:szCs w:val="20"/>
        </w:rPr>
        <w:t xml:space="preserve">Secondo questo approccio, sono quindi </w:t>
      </w:r>
      <w:r w:rsidR="00F270C0" w:rsidRPr="00B608E5">
        <w:rPr>
          <w:rFonts w:ascii="Segoe UI" w:hAnsi="Segoe UI" w:cs="Segoe UI"/>
          <w:szCs w:val="20"/>
        </w:rPr>
        <w:t>material</w:t>
      </w:r>
      <w:r w:rsidR="00B608E5">
        <w:rPr>
          <w:rFonts w:ascii="Segoe UI" w:hAnsi="Segoe UI" w:cs="Segoe UI"/>
          <w:szCs w:val="20"/>
        </w:rPr>
        <w:t xml:space="preserve">i le informazioni relative ai </w:t>
      </w:r>
      <w:r w:rsidR="00F270C0" w:rsidRPr="0062207D">
        <w:rPr>
          <w:rFonts w:ascii="Segoe UI" w:hAnsi="Segoe UI" w:cs="Segoe UI"/>
          <w:szCs w:val="20"/>
        </w:rPr>
        <w:t xml:space="preserve">fattori che incidono sulla capacità dell’organizzazione di creare valore e, per la loro identificazione e valutazione, si evidenzia il collegamento con gli impatti – noti o potenziali – sulla strategia, sui sistemi di </w:t>
      </w:r>
      <w:r w:rsidR="00F270C0" w:rsidRPr="0062207D">
        <w:rPr>
          <w:rFonts w:ascii="Segoe UI" w:hAnsi="Segoe UI" w:cs="Segoe UI"/>
          <w:i/>
          <w:szCs w:val="20"/>
        </w:rPr>
        <w:t>governance</w:t>
      </w:r>
      <w:r w:rsidR="00F270C0" w:rsidRPr="0062207D">
        <w:rPr>
          <w:rFonts w:ascii="Segoe UI" w:hAnsi="Segoe UI" w:cs="Segoe UI"/>
          <w:szCs w:val="20"/>
        </w:rPr>
        <w:t>, sull</w:t>
      </w:r>
      <w:r w:rsidR="008F3905" w:rsidRPr="0062207D">
        <w:rPr>
          <w:rFonts w:ascii="Segoe UI" w:hAnsi="Segoe UI" w:cs="Segoe UI"/>
          <w:szCs w:val="20"/>
        </w:rPr>
        <w:t>e</w:t>
      </w:r>
      <w:r w:rsidR="00F270C0" w:rsidRPr="0062207D">
        <w:rPr>
          <w:rFonts w:ascii="Segoe UI" w:hAnsi="Segoe UI" w:cs="Segoe UI"/>
          <w:szCs w:val="20"/>
        </w:rPr>
        <w:t xml:space="preserve"> </w:t>
      </w:r>
      <w:r w:rsidR="00F270C0" w:rsidRPr="0062207D">
        <w:rPr>
          <w:rFonts w:ascii="Segoe UI" w:hAnsi="Segoe UI" w:cs="Segoe UI"/>
          <w:i/>
          <w:szCs w:val="20"/>
        </w:rPr>
        <w:t>performance</w:t>
      </w:r>
      <w:r w:rsidR="00F270C0" w:rsidRPr="0062207D">
        <w:rPr>
          <w:rFonts w:ascii="Segoe UI" w:hAnsi="Segoe UI" w:cs="Segoe UI"/>
          <w:szCs w:val="20"/>
        </w:rPr>
        <w:t xml:space="preserve"> e sulle prospettive future dell’azienda.</w:t>
      </w:r>
    </w:p>
    <w:p w14:paraId="31FB8C8E" w14:textId="1772A3F3"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Di conseguenza, nell</w:t>
      </w:r>
      <w:r w:rsidR="00622898">
        <w:rPr>
          <w:rFonts w:ascii="Segoe UI" w:hAnsi="Segoe UI" w:cs="Segoe UI"/>
          <w:szCs w:val="20"/>
        </w:rPr>
        <w:t xml:space="preserve">a prospettiva </w:t>
      </w:r>
      <w:r w:rsidRPr="0062207D">
        <w:rPr>
          <w:rFonts w:ascii="Segoe UI" w:hAnsi="Segoe UI" w:cs="Segoe UI"/>
          <w:szCs w:val="20"/>
        </w:rPr>
        <w:t xml:space="preserve">dell’IR </w:t>
      </w:r>
      <w:r w:rsidR="00922E05" w:rsidRPr="00922E05">
        <w:rPr>
          <w:rFonts w:ascii="Segoe UI" w:hAnsi="Segoe UI" w:cs="Segoe UI"/>
          <w:szCs w:val="20"/>
        </w:rPr>
        <w:t>Framework</w:t>
      </w:r>
      <w:r w:rsidRPr="0062207D">
        <w:rPr>
          <w:rFonts w:ascii="Segoe UI" w:hAnsi="Segoe UI" w:cs="Segoe UI"/>
          <w:szCs w:val="20"/>
        </w:rPr>
        <w:t xml:space="preserve">, un tema </w:t>
      </w:r>
      <w:r w:rsidR="00B608E5">
        <w:rPr>
          <w:rFonts w:ascii="Segoe UI" w:hAnsi="Segoe UI" w:cs="Segoe UI"/>
          <w:szCs w:val="20"/>
        </w:rPr>
        <w:t xml:space="preserve">materiale può consentire anche di </w:t>
      </w:r>
      <w:r w:rsidRPr="0062207D">
        <w:rPr>
          <w:rFonts w:ascii="Segoe UI" w:hAnsi="Segoe UI" w:cs="Segoe UI"/>
          <w:szCs w:val="20"/>
        </w:rPr>
        <w:t>migliora</w:t>
      </w:r>
      <w:r w:rsidR="00B608E5">
        <w:rPr>
          <w:rFonts w:ascii="Segoe UI" w:hAnsi="Segoe UI" w:cs="Segoe UI"/>
          <w:szCs w:val="20"/>
        </w:rPr>
        <w:t xml:space="preserve">re </w:t>
      </w:r>
      <w:r w:rsidRPr="0062207D">
        <w:rPr>
          <w:rFonts w:ascii="Segoe UI" w:hAnsi="Segoe UI" w:cs="Segoe UI"/>
          <w:szCs w:val="20"/>
        </w:rPr>
        <w:t xml:space="preserve">le strategie decisionali degli utilizzatori del </w:t>
      </w:r>
      <w:r w:rsidRPr="0062207D">
        <w:rPr>
          <w:rFonts w:ascii="Segoe UI" w:hAnsi="Segoe UI" w:cs="Segoe UI"/>
          <w:i/>
          <w:szCs w:val="20"/>
        </w:rPr>
        <w:t>report</w:t>
      </w:r>
      <w:r w:rsidRPr="0062207D">
        <w:rPr>
          <w:rFonts w:ascii="Segoe UI" w:hAnsi="Segoe UI" w:cs="Segoe UI"/>
          <w:szCs w:val="20"/>
        </w:rPr>
        <w:t xml:space="preserve"> mediante una </w:t>
      </w:r>
      <w:r w:rsidR="00B608E5">
        <w:rPr>
          <w:rFonts w:ascii="Segoe UI" w:hAnsi="Segoe UI" w:cs="Segoe UI"/>
          <w:szCs w:val="20"/>
        </w:rPr>
        <w:t xml:space="preserve">più consapevole </w:t>
      </w:r>
      <w:r w:rsidRPr="0062207D">
        <w:rPr>
          <w:rFonts w:ascii="Segoe UI" w:hAnsi="Segoe UI" w:cs="Segoe UI"/>
          <w:szCs w:val="20"/>
        </w:rPr>
        <w:t xml:space="preserve">focalizzazione dell’attenzione sugli elementi </w:t>
      </w:r>
      <w:r w:rsidRPr="0062207D">
        <w:rPr>
          <w:rFonts w:ascii="Segoe UI" w:hAnsi="Segoe UI" w:cs="Segoe UI"/>
          <w:i/>
          <w:szCs w:val="20"/>
        </w:rPr>
        <w:t>core</w:t>
      </w:r>
      <w:r w:rsidR="00B608E5">
        <w:rPr>
          <w:rFonts w:ascii="Segoe UI" w:hAnsi="Segoe UI" w:cs="Segoe UI"/>
          <w:szCs w:val="20"/>
        </w:rPr>
        <w:t xml:space="preserve"> e </w:t>
      </w:r>
      <w:r w:rsidRPr="0062207D">
        <w:rPr>
          <w:rFonts w:ascii="Segoe UI" w:hAnsi="Segoe UI" w:cs="Segoe UI"/>
          <w:szCs w:val="20"/>
        </w:rPr>
        <w:t>l’eliminazione delle informazioni non pertinenti</w:t>
      </w:r>
      <w:r w:rsidR="00B608E5">
        <w:rPr>
          <w:rFonts w:ascii="Segoe UI" w:hAnsi="Segoe UI" w:cs="Segoe UI"/>
          <w:szCs w:val="20"/>
        </w:rPr>
        <w:t xml:space="preserve">, </w:t>
      </w:r>
      <w:r w:rsidRPr="0062207D">
        <w:rPr>
          <w:rFonts w:ascii="Segoe UI" w:hAnsi="Segoe UI" w:cs="Segoe UI"/>
          <w:szCs w:val="20"/>
        </w:rPr>
        <w:t>prom</w:t>
      </w:r>
      <w:r w:rsidR="00B608E5">
        <w:rPr>
          <w:rFonts w:ascii="Segoe UI" w:hAnsi="Segoe UI" w:cs="Segoe UI"/>
          <w:szCs w:val="20"/>
        </w:rPr>
        <w:t xml:space="preserve">uovendo la </w:t>
      </w:r>
      <w:r w:rsidR="00B608E5" w:rsidRPr="00B608E5">
        <w:rPr>
          <w:rFonts w:ascii="Segoe UI" w:hAnsi="Segoe UI" w:cs="Segoe UI"/>
          <w:i/>
          <w:szCs w:val="20"/>
        </w:rPr>
        <w:t>disclosure</w:t>
      </w:r>
      <w:r w:rsidR="00B608E5">
        <w:rPr>
          <w:rFonts w:ascii="Segoe UI" w:hAnsi="Segoe UI" w:cs="Segoe UI"/>
          <w:szCs w:val="20"/>
        </w:rPr>
        <w:t xml:space="preserve"> di </w:t>
      </w:r>
      <w:r w:rsidRPr="0062207D">
        <w:rPr>
          <w:rFonts w:ascii="Segoe UI" w:hAnsi="Segoe UI" w:cs="Segoe UI"/>
          <w:szCs w:val="20"/>
        </w:rPr>
        <w:t>argomenti concisi</w:t>
      </w:r>
      <w:r w:rsidR="00A81D77">
        <w:rPr>
          <w:rFonts w:ascii="Segoe UI" w:hAnsi="Segoe UI" w:cs="Segoe UI"/>
          <w:szCs w:val="20"/>
        </w:rPr>
        <w:t xml:space="preserve"> </w:t>
      </w:r>
      <w:r w:rsidRPr="0062207D">
        <w:rPr>
          <w:rFonts w:ascii="Segoe UI" w:hAnsi="Segoe UI" w:cs="Segoe UI"/>
          <w:szCs w:val="20"/>
        </w:rPr>
        <w:t xml:space="preserve">e rilevanti. In </w:t>
      </w:r>
      <w:r w:rsidR="00622898">
        <w:rPr>
          <w:rFonts w:ascii="Segoe UI" w:hAnsi="Segoe UI" w:cs="Segoe UI"/>
          <w:szCs w:val="20"/>
        </w:rPr>
        <w:t>questo senso</w:t>
      </w:r>
      <w:r w:rsidR="00B608E5">
        <w:rPr>
          <w:rFonts w:ascii="Segoe UI" w:hAnsi="Segoe UI" w:cs="Segoe UI"/>
          <w:szCs w:val="20"/>
        </w:rPr>
        <w:t xml:space="preserve">, </w:t>
      </w:r>
      <w:r w:rsidRPr="0062207D">
        <w:rPr>
          <w:rFonts w:ascii="Segoe UI" w:hAnsi="Segoe UI" w:cs="Segoe UI"/>
          <w:szCs w:val="20"/>
        </w:rPr>
        <w:t>la de</w:t>
      </w:r>
      <w:r w:rsidR="00B608E5">
        <w:rPr>
          <w:rFonts w:ascii="Segoe UI" w:hAnsi="Segoe UI" w:cs="Segoe UI"/>
          <w:szCs w:val="20"/>
        </w:rPr>
        <w:t xml:space="preserve">terminazione </w:t>
      </w:r>
      <w:r w:rsidRPr="0062207D">
        <w:rPr>
          <w:rFonts w:ascii="Segoe UI" w:hAnsi="Segoe UI" w:cs="Segoe UI"/>
          <w:szCs w:val="20"/>
        </w:rPr>
        <w:t>d</w:t>
      </w:r>
      <w:r w:rsidR="00B608E5">
        <w:rPr>
          <w:rFonts w:ascii="Segoe UI" w:hAnsi="Segoe UI" w:cs="Segoe UI"/>
          <w:szCs w:val="20"/>
        </w:rPr>
        <w:t xml:space="preserve">ella materialità potrebbe </w:t>
      </w:r>
      <w:r w:rsidR="008F3905" w:rsidRPr="0062207D">
        <w:rPr>
          <w:rFonts w:ascii="Segoe UI" w:hAnsi="Segoe UI" w:cs="Segoe UI"/>
          <w:szCs w:val="20"/>
        </w:rPr>
        <w:t xml:space="preserve">costituire </w:t>
      </w:r>
      <w:r w:rsidRPr="0062207D">
        <w:rPr>
          <w:rFonts w:ascii="Segoe UI" w:hAnsi="Segoe UI" w:cs="Segoe UI"/>
          <w:szCs w:val="20"/>
        </w:rPr>
        <w:t>un esercizio mediante il quale definire ed escludere temi non rilevanti</w:t>
      </w:r>
      <w:r w:rsidR="00903CC7" w:rsidRPr="0062207D">
        <w:rPr>
          <w:rFonts w:ascii="Segoe UI" w:hAnsi="Segoe UI" w:cs="Segoe UI"/>
          <w:szCs w:val="20"/>
        </w:rPr>
        <w:t xml:space="preserve">; </w:t>
      </w:r>
      <w:r w:rsidR="00B608E5">
        <w:rPr>
          <w:rFonts w:ascii="Segoe UI" w:hAnsi="Segoe UI" w:cs="Segoe UI"/>
          <w:szCs w:val="20"/>
        </w:rPr>
        <w:t xml:space="preserve">a tal proposito, </w:t>
      </w:r>
      <w:r w:rsidR="00903CC7" w:rsidRPr="0062207D">
        <w:rPr>
          <w:rFonts w:ascii="Segoe UI" w:hAnsi="Segoe UI" w:cs="Segoe UI"/>
          <w:szCs w:val="20"/>
        </w:rPr>
        <w:t xml:space="preserve">l’IR </w:t>
      </w:r>
      <w:r w:rsidR="00922E05" w:rsidRPr="00922E05">
        <w:rPr>
          <w:rFonts w:ascii="Segoe UI" w:hAnsi="Segoe UI" w:cs="Segoe UI"/>
          <w:szCs w:val="20"/>
        </w:rPr>
        <w:t>Framework</w:t>
      </w:r>
      <w:r w:rsidRPr="0062207D">
        <w:rPr>
          <w:rFonts w:ascii="Segoe UI" w:hAnsi="Segoe UI" w:cs="Segoe UI"/>
          <w:szCs w:val="20"/>
        </w:rPr>
        <w:t xml:space="preserve"> suggeri</w:t>
      </w:r>
      <w:r w:rsidR="00903CC7" w:rsidRPr="0062207D">
        <w:rPr>
          <w:rFonts w:ascii="Segoe UI" w:hAnsi="Segoe UI" w:cs="Segoe UI"/>
          <w:szCs w:val="20"/>
        </w:rPr>
        <w:t xml:space="preserve">sce </w:t>
      </w:r>
      <w:r w:rsidRPr="0062207D">
        <w:rPr>
          <w:rFonts w:ascii="Segoe UI" w:hAnsi="Segoe UI" w:cs="Segoe UI"/>
          <w:szCs w:val="20"/>
        </w:rPr>
        <w:t xml:space="preserve">di </w:t>
      </w:r>
      <w:r w:rsidR="00903CC7" w:rsidRPr="0062207D">
        <w:rPr>
          <w:rFonts w:ascii="Segoe UI" w:hAnsi="Segoe UI" w:cs="Segoe UI"/>
          <w:szCs w:val="20"/>
        </w:rPr>
        <w:t xml:space="preserve">adottare </w:t>
      </w:r>
      <w:r w:rsidRPr="0062207D">
        <w:rPr>
          <w:rFonts w:ascii="Segoe UI" w:hAnsi="Segoe UI" w:cs="Segoe UI"/>
          <w:szCs w:val="20"/>
        </w:rPr>
        <w:t xml:space="preserve">una doppia </w:t>
      </w:r>
      <w:r w:rsidR="00903CC7" w:rsidRPr="0062207D">
        <w:rPr>
          <w:rFonts w:ascii="Segoe UI" w:hAnsi="Segoe UI" w:cs="Segoe UI"/>
          <w:szCs w:val="20"/>
        </w:rPr>
        <w:t>visione/</w:t>
      </w:r>
      <w:r w:rsidRPr="0062207D">
        <w:rPr>
          <w:rFonts w:ascii="Segoe UI" w:hAnsi="Segoe UI" w:cs="Segoe UI"/>
          <w:szCs w:val="20"/>
        </w:rPr>
        <w:t>focalizzazione</w:t>
      </w:r>
      <w:r w:rsidR="00903CC7" w:rsidRPr="0062207D">
        <w:rPr>
          <w:rFonts w:ascii="Segoe UI" w:hAnsi="Segoe UI" w:cs="Segoe UI"/>
          <w:szCs w:val="20"/>
        </w:rPr>
        <w:t xml:space="preserve">, </w:t>
      </w:r>
      <w:r w:rsidRPr="0062207D">
        <w:rPr>
          <w:rFonts w:ascii="Segoe UI" w:hAnsi="Segoe UI" w:cs="Segoe UI"/>
          <w:szCs w:val="20"/>
        </w:rPr>
        <w:t xml:space="preserve">sia sulla </w:t>
      </w:r>
      <w:r w:rsidR="00B608E5">
        <w:rPr>
          <w:rFonts w:ascii="Segoe UI" w:hAnsi="Segoe UI" w:cs="Segoe UI"/>
          <w:szCs w:val="20"/>
        </w:rPr>
        <w:t xml:space="preserve">materialità </w:t>
      </w:r>
      <w:r w:rsidR="00903CC7" w:rsidRPr="0062207D">
        <w:rPr>
          <w:rFonts w:ascii="Segoe UI" w:hAnsi="Segoe UI" w:cs="Segoe UI"/>
          <w:szCs w:val="20"/>
        </w:rPr>
        <w:t xml:space="preserve">sia </w:t>
      </w:r>
      <w:r w:rsidRPr="0062207D">
        <w:rPr>
          <w:rFonts w:ascii="Segoe UI" w:hAnsi="Segoe UI" w:cs="Segoe UI"/>
          <w:szCs w:val="20"/>
        </w:rPr>
        <w:t xml:space="preserve">sulla concretezza, </w:t>
      </w:r>
      <w:r w:rsidR="00903CC7" w:rsidRPr="0062207D">
        <w:rPr>
          <w:rFonts w:ascii="Segoe UI" w:hAnsi="Segoe UI" w:cs="Segoe UI"/>
          <w:szCs w:val="20"/>
        </w:rPr>
        <w:t xml:space="preserve">al fine di ridurre </w:t>
      </w:r>
      <w:r w:rsidRPr="0062207D">
        <w:rPr>
          <w:rFonts w:ascii="Segoe UI" w:hAnsi="Segoe UI" w:cs="Segoe UI"/>
          <w:szCs w:val="20"/>
        </w:rPr>
        <w:t xml:space="preserve">il rischio che </w:t>
      </w:r>
      <w:r w:rsidR="00903CC7" w:rsidRPr="0062207D">
        <w:rPr>
          <w:rFonts w:ascii="Segoe UI" w:hAnsi="Segoe UI" w:cs="Segoe UI"/>
          <w:szCs w:val="20"/>
        </w:rPr>
        <w:t xml:space="preserve">un </w:t>
      </w:r>
      <w:r w:rsidRPr="0062207D">
        <w:rPr>
          <w:rFonts w:ascii="Segoe UI" w:hAnsi="Segoe UI" w:cs="Segoe UI"/>
          <w:szCs w:val="20"/>
        </w:rPr>
        <w:t xml:space="preserve">eccesso di informazioni </w:t>
      </w:r>
      <w:r w:rsidR="00A42B15">
        <w:rPr>
          <w:rFonts w:ascii="Segoe UI" w:hAnsi="Segoe UI" w:cs="Segoe UI"/>
          <w:szCs w:val="20"/>
        </w:rPr>
        <w:t xml:space="preserve">pregiudichi la possibilità di concentrarsi su </w:t>
      </w:r>
      <w:r w:rsidR="000F5C1A">
        <w:rPr>
          <w:rFonts w:ascii="Segoe UI" w:hAnsi="Segoe UI" w:cs="Segoe UI"/>
          <w:szCs w:val="20"/>
        </w:rPr>
        <w:t xml:space="preserve">quelle </w:t>
      </w:r>
      <w:r w:rsidR="000269FC">
        <w:rPr>
          <w:rFonts w:ascii="Segoe UI" w:hAnsi="Segoe UI" w:cs="Segoe UI"/>
          <w:szCs w:val="20"/>
        </w:rPr>
        <w:t xml:space="preserve">inerenti alle </w:t>
      </w:r>
      <w:r w:rsidR="00B608E5">
        <w:rPr>
          <w:rFonts w:ascii="Segoe UI" w:hAnsi="Segoe UI" w:cs="Segoe UI"/>
          <w:szCs w:val="20"/>
        </w:rPr>
        <w:t>principali attività di valorizzazione economica</w:t>
      </w:r>
      <w:r w:rsidR="00C60513">
        <w:rPr>
          <w:rFonts w:ascii="Segoe UI" w:hAnsi="Segoe UI" w:cs="Segoe UI"/>
          <w:szCs w:val="20"/>
        </w:rPr>
        <w:t>, offuscandone la visibilità</w:t>
      </w:r>
      <w:r w:rsidRPr="0062207D">
        <w:rPr>
          <w:rFonts w:ascii="Segoe UI" w:hAnsi="Segoe UI" w:cs="Segoe UI"/>
          <w:szCs w:val="20"/>
        </w:rPr>
        <w:t>.</w:t>
      </w:r>
    </w:p>
    <w:p w14:paraId="1A4BE5C0" w14:textId="4C9C466D"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Per comunicare l</w:t>
      </w:r>
      <w:r w:rsidR="004E399C" w:rsidRPr="0062207D">
        <w:rPr>
          <w:rFonts w:ascii="Segoe UI" w:hAnsi="Segoe UI" w:cs="Segoe UI"/>
          <w:szCs w:val="20"/>
        </w:rPr>
        <w:t xml:space="preserve">e attività e il processo teso alla </w:t>
      </w:r>
      <w:r w:rsidRPr="0062207D">
        <w:rPr>
          <w:rFonts w:ascii="Segoe UI" w:hAnsi="Segoe UI" w:cs="Segoe UI"/>
          <w:szCs w:val="20"/>
        </w:rPr>
        <w:t>creazione di valore, per s</w:t>
      </w:r>
      <w:r w:rsidR="004E399C" w:rsidRPr="0062207D">
        <w:rPr>
          <w:rFonts w:ascii="Segoe UI" w:hAnsi="Segoe UI" w:cs="Segoe UI"/>
          <w:szCs w:val="20"/>
        </w:rPr>
        <w:t>é</w:t>
      </w:r>
      <w:r w:rsidRPr="0062207D">
        <w:rPr>
          <w:rFonts w:ascii="Segoe UI" w:hAnsi="Segoe UI" w:cs="Segoe UI"/>
          <w:szCs w:val="20"/>
        </w:rPr>
        <w:t xml:space="preserve"> stessa e per gli altri, l’organizzazione</w:t>
      </w:r>
      <w:r w:rsidR="004E399C" w:rsidRPr="0062207D">
        <w:rPr>
          <w:rFonts w:ascii="Segoe UI" w:hAnsi="Segoe UI" w:cs="Segoe UI"/>
          <w:szCs w:val="20"/>
        </w:rPr>
        <w:t>, tipicamente,</w:t>
      </w:r>
      <w:r w:rsidRPr="0062207D">
        <w:rPr>
          <w:rFonts w:ascii="Segoe UI" w:hAnsi="Segoe UI" w:cs="Segoe UI"/>
          <w:szCs w:val="20"/>
        </w:rPr>
        <w:t xml:space="preserve"> inserisce nell</w:t>
      </w:r>
      <w:r w:rsidR="004E399C" w:rsidRPr="0062207D">
        <w:rPr>
          <w:rFonts w:ascii="Segoe UI" w:hAnsi="Segoe UI" w:cs="Segoe UI"/>
          <w:szCs w:val="20"/>
        </w:rPr>
        <w:t>’</w:t>
      </w:r>
      <w:r w:rsidR="004E399C" w:rsidRPr="0062207D">
        <w:rPr>
          <w:rFonts w:ascii="Segoe UI" w:hAnsi="Segoe UI" w:cs="Segoe UI"/>
          <w:i/>
          <w:szCs w:val="20"/>
        </w:rPr>
        <w:t>integrated report</w:t>
      </w:r>
      <w:r w:rsidR="004E399C" w:rsidRPr="0062207D">
        <w:rPr>
          <w:rFonts w:ascii="Segoe UI" w:hAnsi="Segoe UI" w:cs="Segoe UI"/>
          <w:szCs w:val="20"/>
        </w:rPr>
        <w:t xml:space="preserve"> </w:t>
      </w:r>
      <w:r w:rsidRPr="0062207D">
        <w:rPr>
          <w:rFonts w:ascii="Segoe UI" w:hAnsi="Segoe UI" w:cs="Segoe UI"/>
          <w:szCs w:val="20"/>
        </w:rPr>
        <w:t xml:space="preserve">informazioni di carattere finanziario </w:t>
      </w:r>
      <w:r w:rsidR="004E399C" w:rsidRPr="0062207D">
        <w:rPr>
          <w:rFonts w:ascii="Segoe UI" w:hAnsi="Segoe UI" w:cs="Segoe UI"/>
          <w:szCs w:val="20"/>
        </w:rPr>
        <w:t>e ESG</w:t>
      </w:r>
      <w:r w:rsidRPr="0062207D">
        <w:rPr>
          <w:rFonts w:ascii="Segoe UI" w:hAnsi="Segoe UI" w:cs="Segoe UI"/>
          <w:szCs w:val="20"/>
        </w:rPr>
        <w:t>. In tal senso, I’</w:t>
      </w:r>
      <w:r w:rsidRPr="0062207D">
        <w:rPr>
          <w:rFonts w:ascii="Segoe UI" w:hAnsi="Segoe UI" w:cs="Segoe UI"/>
          <w:i/>
          <w:szCs w:val="20"/>
        </w:rPr>
        <w:t xml:space="preserve">integrated </w:t>
      </w:r>
      <w:r w:rsidR="004E399C" w:rsidRPr="0062207D">
        <w:rPr>
          <w:rFonts w:ascii="Segoe UI" w:hAnsi="Segoe UI" w:cs="Segoe UI"/>
          <w:i/>
          <w:szCs w:val="20"/>
        </w:rPr>
        <w:t>r</w:t>
      </w:r>
      <w:r w:rsidRPr="0062207D">
        <w:rPr>
          <w:rFonts w:ascii="Segoe UI" w:hAnsi="Segoe UI" w:cs="Segoe UI"/>
          <w:i/>
          <w:szCs w:val="20"/>
        </w:rPr>
        <w:t>eporting</w:t>
      </w:r>
      <w:r w:rsidRPr="0062207D">
        <w:rPr>
          <w:rFonts w:ascii="Segoe UI" w:hAnsi="Segoe UI" w:cs="Segoe UI"/>
          <w:szCs w:val="20"/>
        </w:rPr>
        <w:t xml:space="preserve"> non dovrebbe concretizzarsi in un mero riassunto delle informazioni </w:t>
      </w:r>
      <w:r w:rsidR="004E399C" w:rsidRPr="0062207D">
        <w:rPr>
          <w:rFonts w:ascii="Segoe UI" w:hAnsi="Segoe UI" w:cs="Segoe UI"/>
          <w:szCs w:val="20"/>
        </w:rPr>
        <w:t xml:space="preserve">rinvenute </w:t>
      </w:r>
      <w:r w:rsidRPr="0062207D">
        <w:rPr>
          <w:rFonts w:ascii="Segoe UI" w:hAnsi="Segoe UI" w:cs="Segoe UI"/>
          <w:szCs w:val="20"/>
        </w:rPr>
        <w:t xml:space="preserve">in altri documenti informativi, ma dovrebbe orientarsi nella sintesi delle informazioni utilizzando la lente della creazione di valore, con l’obiettivo di dimostrare le interdipendenze tra strategia, </w:t>
      </w:r>
      <w:r w:rsidRPr="0062207D">
        <w:rPr>
          <w:rFonts w:ascii="Segoe UI" w:hAnsi="Segoe UI" w:cs="Segoe UI"/>
          <w:i/>
          <w:szCs w:val="20"/>
        </w:rPr>
        <w:t>governance</w:t>
      </w:r>
      <w:r w:rsidRPr="0062207D">
        <w:rPr>
          <w:rFonts w:ascii="Segoe UI" w:hAnsi="Segoe UI" w:cs="Segoe UI"/>
          <w:szCs w:val="20"/>
        </w:rPr>
        <w:t xml:space="preserve">, </w:t>
      </w:r>
      <w:r w:rsidRPr="0062207D">
        <w:rPr>
          <w:rFonts w:ascii="Segoe UI" w:hAnsi="Segoe UI" w:cs="Segoe UI"/>
          <w:i/>
          <w:szCs w:val="20"/>
        </w:rPr>
        <w:t>perform</w:t>
      </w:r>
      <w:r w:rsidR="004E399C" w:rsidRPr="0062207D">
        <w:rPr>
          <w:rFonts w:ascii="Segoe UI" w:hAnsi="Segoe UI" w:cs="Segoe UI"/>
          <w:i/>
          <w:szCs w:val="20"/>
        </w:rPr>
        <w:t>a</w:t>
      </w:r>
      <w:r w:rsidRPr="0062207D">
        <w:rPr>
          <w:rFonts w:ascii="Segoe UI" w:hAnsi="Segoe UI" w:cs="Segoe UI"/>
          <w:i/>
          <w:szCs w:val="20"/>
        </w:rPr>
        <w:t>nce</w:t>
      </w:r>
      <w:r w:rsidRPr="0062207D">
        <w:rPr>
          <w:rFonts w:ascii="Segoe UI" w:hAnsi="Segoe UI" w:cs="Segoe UI"/>
          <w:szCs w:val="20"/>
        </w:rPr>
        <w:t xml:space="preserve"> e pr</w:t>
      </w:r>
      <w:r w:rsidR="004E399C" w:rsidRPr="0062207D">
        <w:rPr>
          <w:rFonts w:ascii="Segoe UI" w:hAnsi="Segoe UI" w:cs="Segoe UI"/>
          <w:szCs w:val="20"/>
        </w:rPr>
        <w:t>o</w:t>
      </w:r>
      <w:r w:rsidRPr="0062207D">
        <w:rPr>
          <w:rFonts w:ascii="Segoe UI" w:hAnsi="Segoe UI" w:cs="Segoe UI"/>
          <w:szCs w:val="20"/>
        </w:rPr>
        <w:t>spettive future dell’organizzazione.</w:t>
      </w:r>
    </w:p>
    <w:p w14:paraId="6CB9B922" w14:textId="4E96DF05" w:rsidR="00F270C0" w:rsidRDefault="00F270C0" w:rsidP="002A6126">
      <w:pPr>
        <w:keepNext/>
        <w:keepLines/>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Secondo l’orientamento fornito dall’IIRC, per assicurare l’applicazione del principio della </w:t>
      </w:r>
      <w:r w:rsidR="007F24F0">
        <w:rPr>
          <w:rFonts w:ascii="Segoe UI" w:hAnsi="Segoe UI" w:cs="Segoe UI"/>
          <w:szCs w:val="20"/>
        </w:rPr>
        <w:t>materialità</w:t>
      </w:r>
      <w:r w:rsidRPr="0062207D">
        <w:rPr>
          <w:rFonts w:ascii="Segoe UI" w:hAnsi="Segoe UI" w:cs="Segoe UI"/>
          <w:szCs w:val="20"/>
        </w:rPr>
        <w:t xml:space="preserve">, il cui </w:t>
      </w:r>
      <w:r w:rsidRPr="00D93856">
        <w:rPr>
          <w:rFonts w:ascii="Segoe UI" w:hAnsi="Segoe UI" w:cs="Segoe UI"/>
          <w:i/>
          <w:szCs w:val="20"/>
        </w:rPr>
        <w:t>output</w:t>
      </w:r>
      <w:r w:rsidRPr="0062207D">
        <w:rPr>
          <w:rFonts w:ascii="Segoe UI" w:hAnsi="Segoe UI" w:cs="Segoe UI"/>
          <w:szCs w:val="20"/>
        </w:rPr>
        <w:t xml:space="preserve"> viene tradotto in un </w:t>
      </w:r>
      <w:r w:rsidR="004E399C" w:rsidRPr="0062207D">
        <w:rPr>
          <w:rFonts w:ascii="Segoe UI" w:hAnsi="Segoe UI" w:cs="Segoe UI"/>
          <w:i/>
          <w:szCs w:val="20"/>
        </w:rPr>
        <w:t>r</w:t>
      </w:r>
      <w:r w:rsidRPr="0062207D">
        <w:rPr>
          <w:rFonts w:ascii="Segoe UI" w:hAnsi="Segoe UI" w:cs="Segoe UI"/>
          <w:i/>
          <w:szCs w:val="20"/>
        </w:rPr>
        <w:t>eport</w:t>
      </w:r>
      <w:r w:rsidRPr="0062207D">
        <w:rPr>
          <w:rFonts w:ascii="Segoe UI" w:hAnsi="Segoe UI" w:cs="Segoe UI"/>
          <w:szCs w:val="20"/>
        </w:rPr>
        <w:t xml:space="preserve"> </w:t>
      </w:r>
      <w:r w:rsidR="004E399C" w:rsidRPr="0062207D">
        <w:rPr>
          <w:rFonts w:ascii="Segoe UI" w:hAnsi="Segoe UI" w:cs="Segoe UI"/>
          <w:szCs w:val="20"/>
        </w:rPr>
        <w:t>i</w:t>
      </w:r>
      <w:r w:rsidRPr="0062207D">
        <w:rPr>
          <w:rFonts w:ascii="Segoe UI" w:hAnsi="Segoe UI" w:cs="Segoe UI"/>
          <w:szCs w:val="20"/>
        </w:rPr>
        <w:t>ntegrato, le organizzazioni devono adottare un approccio stratificato composto da diverse fasi</w:t>
      </w:r>
      <w:r w:rsidR="007F24F0">
        <w:rPr>
          <w:rFonts w:ascii="Segoe UI" w:hAnsi="Segoe UI" w:cs="Segoe UI"/>
          <w:szCs w:val="20"/>
        </w:rPr>
        <w:t>:</w:t>
      </w:r>
    </w:p>
    <w:p w14:paraId="224A56BB" w14:textId="2BFEB4DC" w:rsidR="00F270C0" w:rsidRPr="0062207D" w:rsidRDefault="00F270C0" w:rsidP="005938C8">
      <w:pPr>
        <w:pStyle w:val="Paragrafoelenco"/>
        <w:numPr>
          <w:ilvl w:val="0"/>
          <w:numId w:val="3"/>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stabilire i parametri del processo di creazione di valore</w:t>
      </w:r>
      <w:r w:rsidR="0054541C" w:rsidRPr="0062207D">
        <w:rPr>
          <w:rFonts w:ascii="Segoe UI" w:hAnsi="Segoe UI" w:cs="Segoe UI"/>
          <w:szCs w:val="20"/>
        </w:rPr>
        <w:t>;</w:t>
      </w:r>
    </w:p>
    <w:p w14:paraId="18EE16F5" w14:textId="656D3516" w:rsidR="00F270C0" w:rsidRPr="0062207D" w:rsidRDefault="00F270C0" w:rsidP="005938C8">
      <w:pPr>
        <w:pStyle w:val="Paragrafoelenco"/>
        <w:numPr>
          <w:ilvl w:val="0"/>
          <w:numId w:val="3"/>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selezionare i temi</w:t>
      </w:r>
      <w:r w:rsidR="0054541C" w:rsidRPr="0062207D">
        <w:rPr>
          <w:rFonts w:ascii="Segoe UI" w:hAnsi="Segoe UI" w:cs="Segoe UI"/>
          <w:szCs w:val="20"/>
        </w:rPr>
        <w:t>;</w:t>
      </w:r>
    </w:p>
    <w:p w14:paraId="00F37260" w14:textId="299A6CAD" w:rsidR="00F270C0" w:rsidRPr="0062207D" w:rsidRDefault="00F270C0" w:rsidP="005938C8">
      <w:pPr>
        <w:pStyle w:val="Paragrafoelenco"/>
        <w:numPr>
          <w:ilvl w:val="0"/>
          <w:numId w:val="3"/>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valutare la rilevanza degli argomenti</w:t>
      </w:r>
      <w:r w:rsidR="0054541C" w:rsidRPr="0062207D">
        <w:rPr>
          <w:rFonts w:ascii="Segoe UI" w:hAnsi="Segoe UI" w:cs="Segoe UI"/>
          <w:szCs w:val="20"/>
        </w:rPr>
        <w:t>;</w:t>
      </w:r>
    </w:p>
    <w:p w14:paraId="1677774A" w14:textId="244800F7" w:rsidR="00F270C0" w:rsidRPr="0062207D" w:rsidRDefault="00F270C0" w:rsidP="005938C8">
      <w:pPr>
        <w:pStyle w:val="Paragrafoelenco"/>
        <w:numPr>
          <w:ilvl w:val="0"/>
          <w:numId w:val="3"/>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stabilire la priorità degli argomenti rilevanti</w:t>
      </w:r>
      <w:r w:rsidR="0054541C" w:rsidRPr="0062207D">
        <w:rPr>
          <w:rFonts w:ascii="Segoe UI" w:hAnsi="Segoe UI" w:cs="Segoe UI"/>
          <w:szCs w:val="20"/>
        </w:rPr>
        <w:t>;</w:t>
      </w:r>
    </w:p>
    <w:p w14:paraId="0027FE05" w14:textId="509E9FB5" w:rsidR="00F270C0" w:rsidRPr="0062207D" w:rsidRDefault="00F270C0" w:rsidP="005938C8">
      <w:pPr>
        <w:pStyle w:val="Paragrafoelenco"/>
        <w:numPr>
          <w:ilvl w:val="0"/>
          <w:numId w:val="3"/>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definire i confini dell’</w:t>
      </w:r>
      <w:r w:rsidR="00D93856">
        <w:rPr>
          <w:rFonts w:ascii="Segoe UI" w:hAnsi="Segoe UI" w:cs="Segoe UI"/>
          <w:i/>
          <w:szCs w:val="20"/>
        </w:rPr>
        <w:t>i</w:t>
      </w:r>
      <w:r w:rsidRPr="00B84251">
        <w:rPr>
          <w:rFonts w:ascii="Segoe UI" w:hAnsi="Segoe UI" w:cs="Segoe UI"/>
          <w:i/>
          <w:szCs w:val="20"/>
        </w:rPr>
        <w:t>ntegrated</w:t>
      </w:r>
      <w:r w:rsidR="00D93856">
        <w:rPr>
          <w:rFonts w:ascii="Segoe UI" w:hAnsi="Segoe UI" w:cs="Segoe UI"/>
          <w:i/>
          <w:szCs w:val="20"/>
        </w:rPr>
        <w:t xml:space="preserve"> r</w:t>
      </w:r>
      <w:r w:rsidRPr="00B84251">
        <w:rPr>
          <w:rFonts w:ascii="Segoe UI" w:hAnsi="Segoe UI" w:cs="Segoe UI"/>
          <w:i/>
          <w:szCs w:val="20"/>
        </w:rPr>
        <w:t>eporting</w:t>
      </w:r>
      <w:r w:rsidR="0054541C" w:rsidRPr="0062207D">
        <w:rPr>
          <w:rFonts w:ascii="Segoe UI" w:hAnsi="Segoe UI" w:cs="Segoe UI"/>
          <w:szCs w:val="20"/>
        </w:rPr>
        <w:t>;</w:t>
      </w:r>
    </w:p>
    <w:p w14:paraId="1948C446" w14:textId="05571594" w:rsidR="00F270C0" w:rsidRPr="0062207D" w:rsidRDefault="00F270C0" w:rsidP="005938C8">
      <w:pPr>
        <w:pStyle w:val="Paragrafoelenco"/>
        <w:numPr>
          <w:ilvl w:val="0"/>
          <w:numId w:val="3"/>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 xml:space="preserve">stabilire la </w:t>
      </w:r>
      <w:r w:rsidRPr="00B84251">
        <w:rPr>
          <w:rFonts w:ascii="Segoe UI" w:hAnsi="Segoe UI" w:cs="Segoe UI"/>
          <w:i/>
          <w:szCs w:val="20"/>
        </w:rPr>
        <w:t>disclosure</w:t>
      </w:r>
      <w:r w:rsidR="0054541C" w:rsidRPr="0062207D">
        <w:rPr>
          <w:rFonts w:ascii="Segoe UI" w:hAnsi="Segoe UI" w:cs="Segoe UI"/>
          <w:szCs w:val="20"/>
        </w:rPr>
        <w:t>.</w:t>
      </w:r>
    </w:p>
    <w:p w14:paraId="31FB0F1D" w14:textId="77777777"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p>
    <w:p w14:paraId="077F86FA" w14:textId="77777777" w:rsidR="00F270C0" w:rsidRPr="0062207D" w:rsidRDefault="00F270C0" w:rsidP="005938C8">
      <w:pPr>
        <w:pStyle w:val="Paragrafoelenco"/>
        <w:keepNext/>
        <w:keepLines/>
        <w:numPr>
          <w:ilvl w:val="0"/>
          <w:numId w:val="11"/>
        </w:numPr>
        <w:tabs>
          <w:tab w:val="left" w:pos="284"/>
        </w:tabs>
        <w:autoSpaceDE w:val="0"/>
        <w:autoSpaceDN w:val="0"/>
        <w:adjustRightInd w:val="0"/>
        <w:spacing w:before="120" w:after="120" w:line="240" w:lineRule="auto"/>
        <w:ind w:left="0" w:firstLine="0"/>
        <w:contextualSpacing w:val="0"/>
        <w:jc w:val="both"/>
        <w:rPr>
          <w:rFonts w:ascii="Segoe UI" w:hAnsi="Segoe UI" w:cs="Segoe UI"/>
          <w:i/>
          <w:szCs w:val="20"/>
        </w:rPr>
      </w:pPr>
      <w:r w:rsidRPr="0062207D">
        <w:rPr>
          <w:rFonts w:ascii="Segoe UI" w:hAnsi="Segoe UI" w:cs="Segoe UI"/>
          <w:i/>
          <w:szCs w:val="20"/>
        </w:rPr>
        <w:t>Stabilire i parametri del processo di creazione del valore</w:t>
      </w:r>
    </w:p>
    <w:p w14:paraId="4269D201" w14:textId="36E1616B"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Nella fase iniziale, l’organizzazione de</w:t>
      </w:r>
      <w:r w:rsidR="003A56AF">
        <w:rPr>
          <w:rFonts w:ascii="Segoe UI" w:hAnsi="Segoe UI" w:cs="Segoe UI"/>
          <w:szCs w:val="20"/>
        </w:rPr>
        <w:t>ve</w:t>
      </w:r>
      <w:r w:rsidRPr="0062207D">
        <w:rPr>
          <w:rFonts w:ascii="Segoe UI" w:hAnsi="Segoe UI" w:cs="Segoe UI"/>
          <w:szCs w:val="20"/>
        </w:rPr>
        <w:t xml:space="preserve"> definire i parametri del processo di creazione del valore. A tale scopo, vengono esplicitamente richiamati i paragrafi dal 2.20 al 2.29 del</w:t>
      </w:r>
      <w:r w:rsidR="000004E9" w:rsidRPr="0062207D">
        <w:rPr>
          <w:rFonts w:ascii="Segoe UI" w:hAnsi="Segoe UI" w:cs="Segoe UI"/>
          <w:szCs w:val="20"/>
        </w:rPr>
        <w:t>l’IR</w:t>
      </w:r>
      <w:r w:rsidRPr="0062207D">
        <w:rPr>
          <w:rFonts w:ascii="Segoe UI" w:hAnsi="Segoe UI" w:cs="Segoe UI"/>
          <w:szCs w:val="20"/>
        </w:rPr>
        <w:t xml:space="preserve"> </w:t>
      </w:r>
      <w:r w:rsidR="00922E05" w:rsidRPr="00922E05">
        <w:rPr>
          <w:rFonts w:ascii="Segoe UI" w:hAnsi="Segoe UI" w:cs="Segoe UI"/>
          <w:szCs w:val="20"/>
        </w:rPr>
        <w:t>Framework</w:t>
      </w:r>
      <w:r w:rsidRPr="0062207D">
        <w:rPr>
          <w:rFonts w:ascii="Segoe UI" w:hAnsi="Segoe UI" w:cs="Segoe UI"/>
          <w:szCs w:val="20"/>
        </w:rPr>
        <w:t xml:space="preserve"> 1.0, nei quali viene analiticamente descritto </w:t>
      </w:r>
      <w:r w:rsidR="003A56AF">
        <w:rPr>
          <w:rFonts w:ascii="Segoe UI" w:hAnsi="Segoe UI" w:cs="Segoe UI"/>
          <w:szCs w:val="20"/>
        </w:rPr>
        <w:t>tale procedura</w:t>
      </w:r>
      <w:r w:rsidRPr="0062207D">
        <w:rPr>
          <w:rFonts w:ascii="Segoe UI" w:hAnsi="Segoe UI" w:cs="Segoe UI"/>
          <w:szCs w:val="20"/>
        </w:rPr>
        <w:t>.</w:t>
      </w:r>
    </w:p>
    <w:p w14:paraId="70AA3824" w14:textId="2CD241A0"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Un</w:t>
      </w:r>
      <w:r w:rsidR="003A56AF">
        <w:rPr>
          <w:rFonts w:ascii="Segoe UI" w:hAnsi="Segoe UI" w:cs="Segoe UI"/>
          <w:szCs w:val="20"/>
        </w:rPr>
        <w:t xml:space="preserve"> </w:t>
      </w:r>
      <w:r w:rsidRPr="0062207D">
        <w:rPr>
          <w:rFonts w:ascii="Segoe UI" w:hAnsi="Segoe UI" w:cs="Segoe UI"/>
          <w:szCs w:val="20"/>
        </w:rPr>
        <w:t>punto di partenza ragionevole, in</w:t>
      </w:r>
      <w:r w:rsidR="003A56AF">
        <w:rPr>
          <w:rFonts w:ascii="Segoe UI" w:hAnsi="Segoe UI" w:cs="Segoe UI"/>
          <w:szCs w:val="20"/>
        </w:rPr>
        <w:t xml:space="preserve"> e</w:t>
      </w:r>
      <w:r w:rsidRPr="0062207D">
        <w:rPr>
          <w:rFonts w:ascii="Segoe UI" w:hAnsi="Segoe UI" w:cs="Segoe UI"/>
          <w:szCs w:val="20"/>
        </w:rPr>
        <w:t>f</w:t>
      </w:r>
      <w:r w:rsidR="003A56AF">
        <w:rPr>
          <w:rFonts w:ascii="Segoe UI" w:hAnsi="Segoe UI" w:cs="Segoe UI"/>
          <w:szCs w:val="20"/>
        </w:rPr>
        <w:t>fe</w:t>
      </w:r>
      <w:r w:rsidRPr="0062207D">
        <w:rPr>
          <w:rFonts w:ascii="Segoe UI" w:hAnsi="Segoe UI" w:cs="Segoe UI"/>
          <w:szCs w:val="20"/>
        </w:rPr>
        <w:t xml:space="preserve">tti, è quello di identificare le attività, le </w:t>
      </w:r>
      <w:r w:rsidRPr="0062207D">
        <w:rPr>
          <w:rFonts w:ascii="Segoe UI" w:hAnsi="Segoe UI" w:cs="Segoe UI"/>
          <w:i/>
          <w:szCs w:val="20"/>
        </w:rPr>
        <w:t>performance</w:t>
      </w:r>
      <w:r w:rsidR="000004E9" w:rsidRPr="0062207D">
        <w:rPr>
          <w:rFonts w:ascii="Segoe UI" w:hAnsi="Segoe UI" w:cs="Segoe UI"/>
          <w:szCs w:val="20"/>
        </w:rPr>
        <w:t xml:space="preserve"> e</w:t>
      </w:r>
      <w:r w:rsidRPr="0062207D">
        <w:rPr>
          <w:rFonts w:ascii="Segoe UI" w:hAnsi="Segoe UI" w:cs="Segoe UI"/>
          <w:szCs w:val="20"/>
        </w:rPr>
        <w:t xml:space="preserve"> gli impatti dell’inf</w:t>
      </w:r>
      <w:r w:rsidR="003A56AF">
        <w:rPr>
          <w:rFonts w:ascii="Segoe UI" w:hAnsi="Segoe UI" w:cs="Segoe UI"/>
          <w:szCs w:val="20"/>
        </w:rPr>
        <w:t xml:space="preserve">ormativa finanziaria, definendo </w:t>
      </w:r>
      <w:r w:rsidRPr="0062207D">
        <w:rPr>
          <w:rFonts w:ascii="Segoe UI" w:hAnsi="Segoe UI" w:cs="Segoe UI"/>
          <w:szCs w:val="20"/>
        </w:rPr>
        <w:t>allo stesso tempo anche i confini dell’informativa stessa</w:t>
      </w:r>
      <w:r w:rsidR="000004E9" w:rsidRPr="0062207D">
        <w:rPr>
          <w:rFonts w:ascii="Segoe UI" w:hAnsi="Segoe UI" w:cs="Segoe UI"/>
          <w:szCs w:val="20"/>
        </w:rPr>
        <w:t xml:space="preserve"> e</w:t>
      </w:r>
      <w:r w:rsidRPr="0062207D">
        <w:rPr>
          <w:rFonts w:ascii="Segoe UI" w:hAnsi="Segoe UI" w:cs="Segoe UI"/>
          <w:szCs w:val="20"/>
        </w:rPr>
        <w:t xml:space="preserve"> includendo </w:t>
      </w:r>
      <w:r w:rsidR="000004E9" w:rsidRPr="0062207D">
        <w:rPr>
          <w:rFonts w:ascii="Segoe UI" w:hAnsi="Segoe UI" w:cs="Segoe UI"/>
          <w:szCs w:val="20"/>
        </w:rPr>
        <w:t xml:space="preserve">nel perimetro </w:t>
      </w:r>
      <w:r w:rsidRPr="0062207D">
        <w:rPr>
          <w:rFonts w:ascii="Segoe UI" w:hAnsi="Segoe UI" w:cs="Segoe UI"/>
          <w:szCs w:val="20"/>
        </w:rPr>
        <w:t xml:space="preserve">anche società controllate, </w:t>
      </w:r>
      <w:r w:rsidRPr="0062207D">
        <w:rPr>
          <w:rFonts w:ascii="Segoe UI" w:hAnsi="Segoe UI" w:cs="Segoe UI"/>
          <w:i/>
          <w:szCs w:val="20"/>
        </w:rPr>
        <w:t>joint venture</w:t>
      </w:r>
      <w:r w:rsidRPr="0062207D">
        <w:rPr>
          <w:rFonts w:ascii="Segoe UI" w:hAnsi="Segoe UI" w:cs="Segoe UI"/>
          <w:szCs w:val="20"/>
        </w:rPr>
        <w:t xml:space="preserve"> e attività d</w:t>
      </w:r>
      <w:r w:rsidR="000004E9" w:rsidRPr="0062207D">
        <w:rPr>
          <w:rFonts w:ascii="Segoe UI" w:hAnsi="Segoe UI" w:cs="Segoe UI"/>
          <w:szCs w:val="20"/>
        </w:rPr>
        <w:t>’</w:t>
      </w:r>
      <w:r w:rsidRPr="0062207D">
        <w:rPr>
          <w:rFonts w:ascii="Segoe UI" w:hAnsi="Segoe UI" w:cs="Segoe UI"/>
          <w:szCs w:val="20"/>
        </w:rPr>
        <w:t xml:space="preserve">investimento sulle quali l’organizzazione </w:t>
      </w:r>
      <w:r w:rsidR="003A56AF">
        <w:rPr>
          <w:rFonts w:ascii="Segoe UI" w:hAnsi="Segoe UI" w:cs="Segoe UI"/>
          <w:szCs w:val="20"/>
        </w:rPr>
        <w:t xml:space="preserve">eserciti </w:t>
      </w:r>
      <w:r w:rsidRPr="0062207D">
        <w:rPr>
          <w:rFonts w:ascii="Segoe UI" w:hAnsi="Segoe UI" w:cs="Segoe UI"/>
          <w:szCs w:val="20"/>
        </w:rPr>
        <w:t xml:space="preserve">un controllo o un’influenza dominante. Stabilire tali confini, nel processo di definizione della </w:t>
      </w:r>
      <w:r w:rsidR="000004E9" w:rsidRPr="0062207D">
        <w:rPr>
          <w:rFonts w:ascii="Segoe UI" w:hAnsi="Segoe UI" w:cs="Segoe UI"/>
          <w:szCs w:val="20"/>
        </w:rPr>
        <w:t>rilevanza</w:t>
      </w:r>
      <w:r w:rsidRPr="0062207D">
        <w:rPr>
          <w:rFonts w:ascii="Segoe UI" w:hAnsi="Segoe UI" w:cs="Segoe UI"/>
          <w:szCs w:val="20"/>
        </w:rPr>
        <w:t xml:space="preserve">, non solo è utile ai fini della determinazione degli </w:t>
      </w:r>
      <w:r w:rsidRPr="007F1EC1">
        <w:rPr>
          <w:rFonts w:ascii="Segoe UI" w:hAnsi="Segoe UI" w:cs="Segoe UI"/>
          <w:i/>
          <w:szCs w:val="20"/>
        </w:rPr>
        <w:t>input</w:t>
      </w:r>
      <w:r w:rsidRPr="0062207D">
        <w:rPr>
          <w:rFonts w:ascii="Segoe UI" w:hAnsi="Segoe UI" w:cs="Segoe UI"/>
          <w:szCs w:val="20"/>
        </w:rPr>
        <w:t xml:space="preserve"> dell’attività di impresa e degli </w:t>
      </w:r>
      <w:r w:rsidRPr="00B84251">
        <w:rPr>
          <w:rFonts w:ascii="Segoe UI" w:hAnsi="Segoe UI" w:cs="Segoe UI"/>
          <w:i/>
          <w:szCs w:val="20"/>
        </w:rPr>
        <w:t>output</w:t>
      </w:r>
      <w:r w:rsidRPr="0062207D">
        <w:rPr>
          <w:rFonts w:ascii="Segoe UI" w:hAnsi="Segoe UI" w:cs="Segoe UI"/>
          <w:szCs w:val="20"/>
        </w:rPr>
        <w:t xml:space="preserve"> necessari ai fini della </w:t>
      </w:r>
      <w:r w:rsidR="000004E9" w:rsidRPr="0062207D">
        <w:rPr>
          <w:rFonts w:ascii="Segoe UI" w:hAnsi="Segoe UI" w:cs="Segoe UI"/>
          <w:szCs w:val="20"/>
        </w:rPr>
        <w:t xml:space="preserve">valutazione della </w:t>
      </w:r>
      <w:r w:rsidRPr="0062207D">
        <w:rPr>
          <w:rFonts w:ascii="Segoe UI" w:hAnsi="Segoe UI" w:cs="Segoe UI"/>
          <w:szCs w:val="20"/>
        </w:rPr>
        <w:t xml:space="preserve">creazione di valore, ma è fondamentale anche per la determinazione delle relazioni chiave con eventuali fornitori, </w:t>
      </w:r>
      <w:r w:rsidRPr="0062207D">
        <w:rPr>
          <w:rFonts w:ascii="Segoe UI" w:hAnsi="Segoe UI" w:cs="Segoe UI"/>
          <w:i/>
          <w:szCs w:val="20"/>
        </w:rPr>
        <w:t>partner</w:t>
      </w:r>
      <w:r w:rsidRPr="0062207D">
        <w:rPr>
          <w:rFonts w:ascii="Segoe UI" w:hAnsi="Segoe UI" w:cs="Segoe UI"/>
          <w:szCs w:val="20"/>
        </w:rPr>
        <w:t xml:space="preserve"> strategici, comunità locali e consumatori.</w:t>
      </w:r>
    </w:p>
    <w:p w14:paraId="4D38BDBB" w14:textId="1C342336" w:rsidR="00F270C0" w:rsidRDefault="000004E9"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Nel seguente diagramma</w:t>
      </w:r>
      <w:r w:rsidR="003A56AF">
        <w:rPr>
          <w:rFonts w:ascii="Segoe UI" w:hAnsi="Segoe UI" w:cs="Segoe UI"/>
          <w:szCs w:val="20"/>
        </w:rPr>
        <w:t xml:space="preserve"> (ormai noto agli operatori)</w:t>
      </w:r>
      <w:r w:rsidRPr="0062207D">
        <w:rPr>
          <w:rFonts w:ascii="Segoe UI" w:hAnsi="Segoe UI" w:cs="Segoe UI"/>
          <w:szCs w:val="20"/>
        </w:rPr>
        <w:t xml:space="preserve"> è fornita la rappresentazione del </w:t>
      </w:r>
      <w:r w:rsidR="00F270C0" w:rsidRPr="0062207D">
        <w:rPr>
          <w:rFonts w:ascii="Segoe UI" w:hAnsi="Segoe UI" w:cs="Segoe UI"/>
          <w:szCs w:val="20"/>
        </w:rPr>
        <w:t xml:space="preserve">processo di creazione di valore nell’approccio dell’IR </w:t>
      </w:r>
      <w:r w:rsidR="00922E05" w:rsidRPr="00922E05">
        <w:rPr>
          <w:rFonts w:ascii="Segoe UI" w:hAnsi="Segoe UI" w:cs="Segoe UI"/>
          <w:szCs w:val="20"/>
        </w:rPr>
        <w:t>Framework</w:t>
      </w:r>
      <w:r w:rsidR="00B84251">
        <w:rPr>
          <w:rFonts w:ascii="Segoe UI" w:hAnsi="Segoe UI" w:cs="Segoe UI"/>
          <w:szCs w:val="20"/>
        </w:rPr>
        <w:t xml:space="preserve"> </w:t>
      </w:r>
      <w:r w:rsidR="00F270C0" w:rsidRPr="0062207D">
        <w:rPr>
          <w:rFonts w:ascii="Segoe UI" w:hAnsi="Segoe UI" w:cs="Segoe UI"/>
          <w:szCs w:val="20"/>
        </w:rPr>
        <w:t>1.0.</w:t>
      </w:r>
    </w:p>
    <w:p w14:paraId="3BFAD3A7" w14:textId="77777777" w:rsidR="003E60EE" w:rsidRPr="0062207D" w:rsidRDefault="003E60EE" w:rsidP="00C23330">
      <w:pPr>
        <w:autoSpaceDE w:val="0"/>
        <w:autoSpaceDN w:val="0"/>
        <w:adjustRightInd w:val="0"/>
        <w:spacing w:before="120" w:after="120" w:line="240" w:lineRule="auto"/>
        <w:jc w:val="both"/>
        <w:rPr>
          <w:rFonts w:ascii="Segoe UI" w:hAnsi="Segoe UI" w:cs="Segoe UI"/>
          <w:szCs w:val="20"/>
        </w:rPr>
      </w:pPr>
    </w:p>
    <w:p w14:paraId="2C264CA6" w14:textId="21FF2D64" w:rsidR="00581A30" w:rsidRPr="008E1842" w:rsidRDefault="00F270C0" w:rsidP="008E1842">
      <w:pPr>
        <w:keepNext/>
        <w:keepLines/>
        <w:tabs>
          <w:tab w:val="left" w:pos="142"/>
        </w:tabs>
        <w:spacing w:before="120" w:after="120" w:line="240" w:lineRule="auto"/>
        <w:jc w:val="center"/>
        <w:rPr>
          <w:rFonts w:ascii="Segoe UI" w:hAnsi="Segoe UI" w:cs="Segoe UI"/>
          <w:sz w:val="20"/>
          <w:szCs w:val="20"/>
        </w:rPr>
      </w:pPr>
      <w:r w:rsidRPr="00962B78">
        <w:rPr>
          <w:rFonts w:ascii="Segoe UI" w:hAnsi="Segoe UI" w:cs="Segoe UI"/>
          <w:sz w:val="20"/>
          <w:szCs w:val="20"/>
        </w:rPr>
        <w:t xml:space="preserve">Figura </w:t>
      </w:r>
      <w:r w:rsidR="00865484" w:rsidRPr="00962B78">
        <w:rPr>
          <w:rFonts w:ascii="Segoe UI" w:hAnsi="Segoe UI" w:cs="Segoe UI"/>
          <w:sz w:val="20"/>
          <w:szCs w:val="20"/>
        </w:rPr>
        <w:t>5</w:t>
      </w:r>
      <w:r w:rsidRPr="00962B78">
        <w:rPr>
          <w:rFonts w:ascii="Segoe UI" w:hAnsi="Segoe UI" w:cs="Segoe UI"/>
          <w:sz w:val="20"/>
          <w:szCs w:val="20"/>
        </w:rPr>
        <w:t xml:space="preserve">: Processo di creazione del valore secondo l’IR </w:t>
      </w:r>
      <w:r w:rsidR="00922E05" w:rsidRPr="00962B78">
        <w:rPr>
          <w:rFonts w:ascii="Segoe UI" w:hAnsi="Segoe UI" w:cs="Segoe UI"/>
          <w:sz w:val="20"/>
          <w:szCs w:val="20"/>
        </w:rPr>
        <w:t>Framework</w:t>
      </w:r>
    </w:p>
    <w:p w14:paraId="1180AD9F" w14:textId="77777777" w:rsidR="00F270C0" w:rsidRPr="008D2065" w:rsidRDefault="00F270C0" w:rsidP="00C23330">
      <w:pPr>
        <w:keepNext/>
        <w:keepLines/>
        <w:tabs>
          <w:tab w:val="left" w:pos="0"/>
        </w:tabs>
        <w:spacing w:before="120" w:after="120" w:line="240" w:lineRule="auto"/>
        <w:jc w:val="center"/>
        <w:rPr>
          <w:rFonts w:ascii="Segoe UI" w:hAnsi="Segoe UI" w:cs="Segoe UI"/>
          <w:i/>
          <w:sz w:val="18"/>
          <w:szCs w:val="18"/>
        </w:rPr>
      </w:pPr>
      <w:r w:rsidRPr="008D2065">
        <w:rPr>
          <w:rFonts w:cs="Arial"/>
          <w:noProof/>
          <w:sz w:val="24"/>
          <w:szCs w:val="24"/>
          <w:lang w:eastAsia="it-IT"/>
        </w:rPr>
        <w:drawing>
          <wp:inline distT="0" distB="0" distL="0" distR="0" wp14:anchorId="7C09D39F" wp14:editId="20086623">
            <wp:extent cx="6120000" cy="3744000"/>
            <wp:effectExtent l="0" t="0" r="0" b="0"/>
            <wp:docPr id="313" name="Immagine 313" descr="C:\Users\loma\Desktop\Elaborato Direttiva NFY\IIRC - Value creation diagram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oma\Desktop\Elaborato Direttiva NFY\IIRC - Value creation diagram 3.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20000" cy="3744000"/>
                    </a:xfrm>
                    <a:prstGeom prst="rect">
                      <a:avLst/>
                    </a:prstGeom>
                    <a:noFill/>
                    <a:ln>
                      <a:noFill/>
                    </a:ln>
                  </pic:spPr>
                </pic:pic>
              </a:graphicData>
            </a:graphic>
          </wp:inline>
        </w:drawing>
      </w:r>
      <w:r w:rsidRPr="008D2065">
        <w:rPr>
          <w:rFonts w:ascii="Segoe UI" w:hAnsi="Segoe UI" w:cs="Segoe UI"/>
          <w:i/>
          <w:sz w:val="18"/>
          <w:szCs w:val="18"/>
        </w:rPr>
        <w:t>Fonte: IIRC, IR Framework, 2013, p. 13.</w:t>
      </w:r>
    </w:p>
    <w:p w14:paraId="26418E76" w14:textId="77777777" w:rsidR="00544C1A" w:rsidRDefault="00544C1A" w:rsidP="00C23330">
      <w:pPr>
        <w:autoSpaceDE w:val="0"/>
        <w:autoSpaceDN w:val="0"/>
        <w:adjustRightInd w:val="0"/>
        <w:spacing w:before="120" w:after="120" w:line="240" w:lineRule="auto"/>
        <w:jc w:val="both"/>
        <w:rPr>
          <w:rFonts w:ascii="Segoe UI" w:hAnsi="Segoe UI" w:cs="Segoe UI"/>
          <w:szCs w:val="20"/>
        </w:rPr>
      </w:pPr>
    </w:p>
    <w:p w14:paraId="3C03020C" w14:textId="77777777" w:rsidR="00544C1A" w:rsidRPr="0062207D" w:rsidRDefault="00544C1A" w:rsidP="00C23330">
      <w:pPr>
        <w:autoSpaceDE w:val="0"/>
        <w:autoSpaceDN w:val="0"/>
        <w:adjustRightInd w:val="0"/>
        <w:spacing w:before="120" w:after="120" w:line="240" w:lineRule="auto"/>
        <w:jc w:val="both"/>
        <w:rPr>
          <w:rFonts w:ascii="Segoe UI" w:hAnsi="Segoe UI" w:cs="Segoe UI"/>
          <w:szCs w:val="20"/>
        </w:rPr>
      </w:pPr>
    </w:p>
    <w:p w14:paraId="1091791E" w14:textId="469B59BE"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Il fulcro dell’organizzazione è costituito dal suo modello di </w:t>
      </w:r>
      <w:r w:rsidRPr="0062207D">
        <w:rPr>
          <w:rFonts w:ascii="Segoe UI" w:hAnsi="Segoe UI" w:cs="Segoe UI"/>
          <w:i/>
          <w:szCs w:val="20"/>
        </w:rPr>
        <w:t>business</w:t>
      </w:r>
      <w:r w:rsidRPr="0062207D">
        <w:rPr>
          <w:rFonts w:ascii="Segoe UI" w:hAnsi="Segoe UI" w:cs="Segoe UI"/>
          <w:szCs w:val="20"/>
        </w:rPr>
        <w:t xml:space="preserve"> che</w:t>
      </w:r>
      <w:r w:rsidR="003A23A5">
        <w:rPr>
          <w:rFonts w:ascii="Segoe UI" w:hAnsi="Segoe UI" w:cs="Segoe UI"/>
          <w:szCs w:val="20"/>
        </w:rPr>
        <w:t>,</w:t>
      </w:r>
      <w:r w:rsidRPr="0062207D">
        <w:rPr>
          <w:rFonts w:ascii="Segoe UI" w:hAnsi="Segoe UI" w:cs="Segoe UI"/>
          <w:szCs w:val="20"/>
        </w:rPr>
        <w:t xml:space="preserve"> </w:t>
      </w:r>
      <w:r w:rsidR="00C561E8">
        <w:rPr>
          <w:rFonts w:ascii="Segoe UI" w:hAnsi="Segoe UI" w:cs="Segoe UI"/>
          <w:szCs w:val="20"/>
        </w:rPr>
        <w:t xml:space="preserve">sfruttando nel modo ritenuto più opportuno le leve delle sue </w:t>
      </w:r>
      <w:r w:rsidR="00834BA0" w:rsidRPr="0062207D">
        <w:rPr>
          <w:rFonts w:ascii="Segoe UI" w:hAnsi="Segoe UI" w:cs="Segoe UI"/>
          <w:szCs w:val="20"/>
        </w:rPr>
        <w:t>varie tipologie di</w:t>
      </w:r>
      <w:r w:rsidRPr="0062207D">
        <w:rPr>
          <w:rFonts w:ascii="Segoe UI" w:hAnsi="Segoe UI" w:cs="Segoe UI"/>
          <w:szCs w:val="20"/>
        </w:rPr>
        <w:t xml:space="preserve"> capitali</w:t>
      </w:r>
      <w:r w:rsidR="00C561E8">
        <w:rPr>
          <w:rFonts w:ascii="Segoe UI" w:hAnsi="Segoe UI" w:cs="Segoe UI"/>
          <w:szCs w:val="20"/>
        </w:rPr>
        <w:t xml:space="preserve">, </w:t>
      </w:r>
      <w:r w:rsidRPr="0062207D">
        <w:rPr>
          <w:rFonts w:ascii="Segoe UI" w:hAnsi="Segoe UI" w:cs="Segoe UI"/>
          <w:szCs w:val="20"/>
        </w:rPr>
        <w:t xml:space="preserve">converte </w:t>
      </w:r>
      <w:r w:rsidR="00C561E8">
        <w:rPr>
          <w:rFonts w:ascii="Segoe UI" w:hAnsi="Segoe UI" w:cs="Segoe UI"/>
          <w:szCs w:val="20"/>
        </w:rPr>
        <w:t xml:space="preserve">i propri </w:t>
      </w:r>
      <w:r w:rsidR="00C561E8" w:rsidRPr="00C561E8">
        <w:rPr>
          <w:rFonts w:ascii="Segoe UI" w:hAnsi="Segoe UI" w:cs="Segoe UI"/>
          <w:i/>
          <w:szCs w:val="20"/>
        </w:rPr>
        <w:t>input</w:t>
      </w:r>
      <w:r w:rsidR="00C561E8">
        <w:rPr>
          <w:rFonts w:ascii="Segoe UI" w:hAnsi="Segoe UI" w:cs="Segoe UI"/>
          <w:szCs w:val="20"/>
        </w:rPr>
        <w:t xml:space="preserve"> </w:t>
      </w:r>
      <w:r w:rsidRPr="0062207D">
        <w:rPr>
          <w:rFonts w:ascii="Segoe UI" w:hAnsi="Segoe UI" w:cs="Segoe UI"/>
          <w:szCs w:val="20"/>
        </w:rPr>
        <w:t xml:space="preserve">in </w:t>
      </w:r>
      <w:r w:rsidRPr="00B84251">
        <w:rPr>
          <w:rFonts w:ascii="Segoe UI" w:hAnsi="Segoe UI" w:cs="Segoe UI"/>
          <w:i/>
          <w:szCs w:val="20"/>
        </w:rPr>
        <w:t>output</w:t>
      </w:r>
      <w:r w:rsidRPr="0062207D">
        <w:rPr>
          <w:rFonts w:ascii="Segoe UI" w:hAnsi="Segoe UI" w:cs="Segoe UI"/>
          <w:szCs w:val="20"/>
        </w:rPr>
        <w:t xml:space="preserve"> (prodotti, servizi, sottoprodotti e scarti) attraverso l</w:t>
      </w:r>
      <w:r w:rsidR="00D07F47" w:rsidRPr="0062207D">
        <w:rPr>
          <w:rFonts w:ascii="Segoe UI" w:hAnsi="Segoe UI" w:cs="Segoe UI"/>
          <w:szCs w:val="20"/>
        </w:rPr>
        <w:t xml:space="preserve">e </w:t>
      </w:r>
      <w:r w:rsidR="00834BA0" w:rsidRPr="0062207D">
        <w:rPr>
          <w:rFonts w:ascii="Segoe UI" w:hAnsi="Segoe UI" w:cs="Segoe UI"/>
          <w:szCs w:val="20"/>
        </w:rPr>
        <w:t xml:space="preserve">attività </w:t>
      </w:r>
      <w:r w:rsidR="00D07F47" w:rsidRPr="0062207D">
        <w:rPr>
          <w:rFonts w:ascii="Segoe UI" w:hAnsi="Segoe UI" w:cs="Segoe UI"/>
          <w:szCs w:val="20"/>
        </w:rPr>
        <w:t xml:space="preserve">aziendali </w:t>
      </w:r>
      <w:r w:rsidR="00834BA0" w:rsidRPr="0062207D">
        <w:rPr>
          <w:rFonts w:ascii="Segoe UI" w:hAnsi="Segoe UI" w:cs="Segoe UI"/>
          <w:szCs w:val="20"/>
        </w:rPr>
        <w:t>di valorizzazione economica</w:t>
      </w:r>
      <w:r w:rsidRPr="0062207D">
        <w:rPr>
          <w:rFonts w:ascii="Segoe UI" w:hAnsi="Segoe UI" w:cs="Segoe UI"/>
          <w:szCs w:val="20"/>
        </w:rPr>
        <w:t xml:space="preserve">. Le attività e gli </w:t>
      </w:r>
      <w:r w:rsidRPr="003A23A5">
        <w:rPr>
          <w:rFonts w:ascii="Segoe UI" w:hAnsi="Segoe UI" w:cs="Segoe UI"/>
          <w:i/>
          <w:szCs w:val="20"/>
        </w:rPr>
        <w:t>output</w:t>
      </w:r>
      <w:r w:rsidRPr="0062207D">
        <w:rPr>
          <w:rFonts w:ascii="Segoe UI" w:hAnsi="Segoe UI" w:cs="Segoe UI"/>
          <w:szCs w:val="20"/>
        </w:rPr>
        <w:t xml:space="preserve"> dell’organizzazione </w:t>
      </w:r>
      <w:r w:rsidR="00C561E8">
        <w:rPr>
          <w:rFonts w:ascii="Segoe UI" w:hAnsi="Segoe UI" w:cs="Segoe UI"/>
          <w:szCs w:val="20"/>
        </w:rPr>
        <w:t xml:space="preserve">generano </w:t>
      </w:r>
      <w:r w:rsidRPr="00D72342">
        <w:rPr>
          <w:rFonts w:ascii="Segoe UI" w:hAnsi="Segoe UI" w:cs="Segoe UI"/>
          <w:i/>
          <w:szCs w:val="20"/>
        </w:rPr>
        <w:t>outcome</w:t>
      </w:r>
      <w:r w:rsidRPr="0062207D">
        <w:rPr>
          <w:rFonts w:ascii="Segoe UI" w:hAnsi="Segoe UI" w:cs="Segoe UI"/>
          <w:szCs w:val="20"/>
        </w:rPr>
        <w:t xml:space="preserve"> in termini di impatti su</w:t>
      </w:r>
      <w:r w:rsidR="00C561E8">
        <w:rPr>
          <w:rFonts w:ascii="Segoe UI" w:hAnsi="Segoe UI" w:cs="Segoe UI"/>
          <w:szCs w:val="20"/>
        </w:rPr>
        <w:t xml:space="preserve">gli stessi </w:t>
      </w:r>
      <w:r w:rsidRPr="0062207D">
        <w:rPr>
          <w:rFonts w:ascii="Segoe UI" w:hAnsi="Segoe UI" w:cs="Segoe UI"/>
          <w:szCs w:val="20"/>
        </w:rPr>
        <w:t xml:space="preserve">capitali. La capacità del modello di </w:t>
      </w:r>
      <w:r w:rsidRPr="0062207D">
        <w:rPr>
          <w:rFonts w:ascii="Segoe UI" w:hAnsi="Segoe UI" w:cs="Segoe UI"/>
          <w:i/>
          <w:szCs w:val="20"/>
        </w:rPr>
        <w:t>business</w:t>
      </w:r>
      <w:r w:rsidRPr="0062207D">
        <w:rPr>
          <w:rFonts w:ascii="Segoe UI" w:hAnsi="Segoe UI" w:cs="Segoe UI"/>
          <w:szCs w:val="20"/>
        </w:rPr>
        <w:t xml:space="preserve"> di adattarsi ai cambiamenti (ad esempio nei livelli di disponibilità, qualità e accessibilità degli </w:t>
      </w:r>
      <w:r w:rsidRPr="00B84251">
        <w:rPr>
          <w:rFonts w:ascii="Segoe UI" w:hAnsi="Segoe UI" w:cs="Segoe UI"/>
          <w:i/>
          <w:szCs w:val="20"/>
        </w:rPr>
        <w:t>input</w:t>
      </w:r>
      <w:r w:rsidRPr="0062207D">
        <w:rPr>
          <w:rFonts w:ascii="Segoe UI" w:hAnsi="Segoe UI" w:cs="Segoe UI"/>
          <w:szCs w:val="20"/>
        </w:rPr>
        <w:t>) può influire sulla continuità dell’attività aziendale nel lungo termine.</w:t>
      </w:r>
    </w:p>
    <w:p w14:paraId="37E02AE6" w14:textId="06DBA660"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Le attività aziendali possono includere la pianificazione, la progettazione e la produzione di beni, oppure la fornitura di competenze e conoscenze specialistiche durante l’erogazione di servizi. La promozione di una cultura dell’innovazione costituisce spesso un’attività chiave per l’ideazione di nuovi beni e nuovi servizi in grado di anticipare la domanda dei clienti, migliorando l’efficienza e l’uso della tecnologia, sostituendo gli </w:t>
      </w:r>
      <w:r w:rsidRPr="00C6270D">
        <w:rPr>
          <w:rFonts w:ascii="Segoe UI" w:hAnsi="Segoe UI" w:cs="Segoe UI"/>
          <w:i/>
          <w:szCs w:val="20"/>
        </w:rPr>
        <w:t>input</w:t>
      </w:r>
      <w:r w:rsidRPr="0062207D">
        <w:rPr>
          <w:rFonts w:ascii="Segoe UI" w:hAnsi="Segoe UI" w:cs="Segoe UI"/>
          <w:szCs w:val="20"/>
        </w:rPr>
        <w:t xml:space="preserve"> in modo da minimizzare gli impatti sociali o ambientali </w:t>
      </w:r>
      <w:r w:rsidR="00D07F47" w:rsidRPr="0062207D">
        <w:rPr>
          <w:rFonts w:ascii="Segoe UI" w:hAnsi="Segoe UI" w:cs="Segoe UI"/>
          <w:szCs w:val="20"/>
        </w:rPr>
        <w:t>e i rischi</w:t>
      </w:r>
      <w:r w:rsidR="00F75089" w:rsidRPr="0062207D">
        <w:rPr>
          <w:rFonts w:ascii="Segoe UI" w:hAnsi="Segoe UI" w:cs="Segoe UI"/>
          <w:szCs w:val="20"/>
        </w:rPr>
        <w:t xml:space="preserve"> potenziali </w:t>
      </w:r>
      <w:r w:rsidRPr="0062207D">
        <w:rPr>
          <w:rFonts w:ascii="Segoe UI" w:hAnsi="Segoe UI" w:cs="Segoe UI"/>
          <w:szCs w:val="20"/>
        </w:rPr>
        <w:t xml:space="preserve">e trovando utilizzi alternativi per gli </w:t>
      </w:r>
      <w:r w:rsidRPr="00B84251">
        <w:rPr>
          <w:rFonts w:ascii="Segoe UI" w:hAnsi="Segoe UI" w:cs="Segoe UI"/>
          <w:i/>
          <w:szCs w:val="20"/>
        </w:rPr>
        <w:t>output</w:t>
      </w:r>
      <w:r w:rsidRPr="0062207D">
        <w:rPr>
          <w:rFonts w:ascii="Segoe UI" w:hAnsi="Segoe UI" w:cs="Segoe UI"/>
          <w:szCs w:val="20"/>
        </w:rPr>
        <w:t>.</w:t>
      </w:r>
    </w:p>
    <w:p w14:paraId="4420A10F" w14:textId="77777777" w:rsidR="00C6270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L’ambiente esterno, che include le condizioni economiche, i cambiamenti tecnologici, le questioni sociali e le sfide ambientali, rappresenta il contesto in cui opera l’organizzazione. La </w:t>
      </w:r>
      <w:r w:rsidRPr="0062207D">
        <w:rPr>
          <w:rFonts w:ascii="Segoe UI" w:hAnsi="Segoe UI" w:cs="Segoe UI"/>
          <w:i/>
          <w:szCs w:val="20"/>
        </w:rPr>
        <w:t xml:space="preserve">mission </w:t>
      </w:r>
      <w:r w:rsidRPr="0062207D">
        <w:rPr>
          <w:rFonts w:ascii="Segoe UI" w:hAnsi="Segoe UI" w:cs="Segoe UI"/>
          <w:szCs w:val="20"/>
        </w:rPr>
        <w:t>e la</w:t>
      </w:r>
      <w:r w:rsidRPr="0062207D">
        <w:rPr>
          <w:rFonts w:ascii="Segoe UI" w:hAnsi="Segoe UI" w:cs="Segoe UI"/>
          <w:i/>
          <w:szCs w:val="20"/>
        </w:rPr>
        <w:t xml:space="preserve"> vision</w:t>
      </w:r>
      <w:r w:rsidRPr="0062207D">
        <w:rPr>
          <w:rFonts w:ascii="Segoe UI" w:hAnsi="Segoe UI" w:cs="Segoe UI"/>
          <w:szCs w:val="20"/>
        </w:rPr>
        <w:t xml:space="preserve"> riguardano l’intera organizzazione e definiscono il fine di quest’ultima in termini chiari e concisi.</w:t>
      </w:r>
    </w:p>
    <w:p w14:paraId="3172C81C" w14:textId="4DFFA1F0"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I componenti della </w:t>
      </w:r>
      <w:r w:rsidRPr="00D72342">
        <w:rPr>
          <w:rFonts w:ascii="Segoe UI" w:hAnsi="Segoe UI" w:cs="Segoe UI"/>
          <w:i/>
          <w:szCs w:val="20"/>
        </w:rPr>
        <w:t>governance</w:t>
      </w:r>
      <w:r w:rsidRPr="0062207D">
        <w:rPr>
          <w:rFonts w:ascii="Segoe UI" w:hAnsi="Segoe UI" w:cs="Segoe UI"/>
          <w:szCs w:val="20"/>
        </w:rPr>
        <w:t xml:space="preserve"> hanno il compito di creare</w:t>
      </w:r>
      <w:r w:rsidR="00276431">
        <w:rPr>
          <w:rFonts w:ascii="Segoe UI" w:hAnsi="Segoe UI" w:cs="Segoe UI"/>
          <w:szCs w:val="20"/>
        </w:rPr>
        <w:t xml:space="preserve"> </w:t>
      </w:r>
      <w:r w:rsidRPr="0062207D">
        <w:rPr>
          <w:rFonts w:ascii="Segoe UI" w:hAnsi="Segoe UI" w:cs="Segoe UI"/>
          <w:szCs w:val="20"/>
        </w:rPr>
        <w:t xml:space="preserve">una struttura di supervisione </w:t>
      </w:r>
      <w:r w:rsidR="00F75089" w:rsidRPr="0062207D">
        <w:rPr>
          <w:rFonts w:ascii="Segoe UI" w:hAnsi="Segoe UI" w:cs="Segoe UI"/>
          <w:szCs w:val="20"/>
        </w:rPr>
        <w:t>adegu</w:t>
      </w:r>
      <w:r w:rsidRPr="0062207D">
        <w:rPr>
          <w:rFonts w:ascii="Segoe UI" w:hAnsi="Segoe UI" w:cs="Segoe UI"/>
          <w:szCs w:val="20"/>
        </w:rPr>
        <w:t>a</w:t>
      </w:r>
      <w:r w:rsidR="00F75089" w:rsidRPr="0062207D">
        <w:rPr>
          <w:rFonts w:ascii="Segoe UI" w:hAnsi="Segoe UI" w:cs="Segoe UI"/>
          <w:szCs w:val="20"/>
        </w:rPr>
        <w:t>ta</w:t>
      </w:r>
      <w:r w:rsidRPr="0062207D">
        <w:rPr>
          <w:rFonts w:ascii="Segoe UI" w:hAnsi="Segoe UI" w:cs="Segoe UI"/>
          <w:szCs w:val="20"/>
        </w:rPr>
        <w:t xml:space="preserve">, a supporto della capacità </w:t>
      </w:r>
      <w:r w:rsidR="00276431">
        <w:rPr>
          <w:rFonts w:ascii="Segoe UI" w:hAnsi="Segoe UI" w:cs="Segoe UI"/>
          <w:szCs w:val="20"/>
        </w:rPr>
        <w:t xml:space="preserve">dell’organizzazione di </w:t>
      </w:r>
      <w:r w:rsidRPr="0062207D">
        <w:rPr>
          <w:rFonts w:ascii="Segoe UI" w:hAnsi="Segoe UI" w:cs="Segoe UI"/>
          <w:szCs w:val="20"/>
        </w:rPr>
        <w:t>crea</w:t>
      </w:r>
      <w:r w:rsidR="00276431">
        <w:rPr>
          <w:rFonts w:ascii="Segoe UI" w:hAnsi="Segoe UI" w:cs="Segoe UI"/>
          <w:szCs w:val="20"/>
        </w:rPr>
        <w:t>re</w:t>
      </w:r>
      <w:r w:rsidRPr="0062207D">
        <w:rPr>
          <w:rFonts w:ascii="Segoe UI" w:hAnsi="Segoe UI" w:cs="Segoe UI"/>
          <w:szCs w:val="20"/>
        </w:rPr>
        <w:t xml:space="preserve"> valore.</w:t>
      </w:r>
    </w:p>
    <w:p w14:paraId="1B73BA02" w14:textId="1B7CCB22"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Gli </w:t>
      </w:r>
      <w:r w:rsidRPr="00D72342">
        <w:rPr>
          <w:rFonts w:ascii="Segoe UI" w:hAnsi="Segoe UI" w:cs="Segoe UI"/>
          <w:i/>
          <w:szCs w:val="20"/>
        </w:rPr>
        <w:t>outcome</w:t>
      </w:r>
      <w:r w:rsidRPr="0062207D">
        <w:rPr>
          <w:rFonts w:ascii="Segoe UI" w:hAnsi="Segoe UI" w:cs="Segoe UI"/>
          <w:szCs w:val="20"/>
        </w:rPr>
        <w:t xml:space="preserve"> sono le conseguenze (positive e negative) interne ed esterne</w:t>
      </w:r>
      <w:r w:rsidR="00A12AE0">
        <w:rPr>
          <w:rFonts w:ascii="Segoe UI" w:hAnsi="Segoe UI" w:cs="Segoe UI"/>
          <w:szCs w:val="20"/>
        </w:rPr>
        <w:t xml:space="preserve"> sul contesto di riferimento e </w:t>
      </w:r>
      <w:r w:rsidRPr="0062207D">
        <w:rPr>
          <w:rFonts w:ascii="Segoe UI" w:hAnsi="Segoe UI" w:cs="Segoe UI"/>
          <w:szCs w:val="20"/>
        </w:rPr>
        <w:t>sui capitali</w:t>
      </w:r>
      <w:r w:rsidR="00A12AE0">
        <w:rPr>
          <w:rFonts w:ascii="Segoe UI" w:hAnsi="Segoe UI" w:cs="Segoe UI"/>
          <w:szCs w:val="20"/>
        </w:rPr>
        <w:t xml:space="preserve"> propri</w:t>
      </w:r>
      <w:r w:rsidRPr="0062207D">
        <w:rPr>
          <w:rFonts w:ascii="Segoe UI" w:hAnsi="Segoe UI" w:cs="Segoe UI"/>
          <w:szCs w:val="20"/>
        </w:rPr>
        <w:t xml:space="preserve">, generate dall’attività aziendali e dagli </w:t>
      </w:r>
      <w:r w:rsidRPr="00A12AE0">
        <w:rPr>
          <w:rFonts w:ascii="Segoe UI" w:hAnsi="Segoe UI" w:cs="Segoe UI"/>
          <w:i/>
          <w:szCs w:val="20"/>
        </w:rPr>
        <w:t>output</w:t>
      </w:r>
      <w:r w:rsidRPr="0062207D">
        <w:rPr>
          <w:rFonts w:ascii="Segoe UI" w:hAnsi="Segoe UI" w:cs="Segoe UI"/>
          <w:szCs w:val="20"/>
        </w:rPr>
        <w:t xml:space="preserve"> di un’organizzazione.</w:t>
      </w:r>
    </w:p>
    <w:p w14:paraId="41B39E6A" w14:textId="60B6ED08"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La strategia dell’organizzazione indica come quest’ultima intend</w:t>
      </w:r>
      <w:r w:rsidR="00F75089" w:rsidRPr="0062207D">
        <w:rPr>
          <w:rFonts w:ascii="Segoe UI" w:hAnsi="Segoe UI" w:cs="Segoe UI"/>
          <w:szCs w:val="20"/>
        </w:rPr>
        <w:t>a</w:t>
      </w:r>
      <w:r w:rsidRPr="0062207D">
        <w:rPr>
          <w:rFonts w:ascii="Segoe UI" w:hAnsi="Segoe UI" w:cs="Segoe UI"/>
          <w:szCs w:val="20"/>
        </w:rPr>
        <w:t xml:space="preserve"> mitigare e gestire i rischi e sfruttare le opportunità. </w:t>
      </w:r>
      <w:r w:rsidR="0088637B">
        <w:rPr>
          <w:rFonts w:ascii="Segoe UI" w:hAnsi="Segoe UI" w:cs="Segoe UI"/>
          <w:szCs w:val="20"/>
        </w:rPr>
        <w:t>A valle di questo processo e in modo continuo, l</w:t>
      </w:r>
      <w:r w:rsidRPr="0062207D">
        <w:rPr>
          <w:rFonts w:ascii="Segoe UI" w:hAnsi="Segoe UI" w:cs="Segoe UI"/>
          <w:szCs w:val="20"/>
        </w:rPr>
        <w:t xml:space="preserve">’organizzazione </w:t>
      </w:r>
      <w:r w:rsidR="0088637B">
        <w:rPr>
          <w:rFonts w:ascii="Segoe UI" w:hAnsi="Segoe UI" w:cs="Segoe UI"/>
          <w:szCs w:val="20"/>
        </w:rPr>
        <w:t>riesamina e ri</w:t>
      </w:r>
      <w:r w:rsidRPr="0062207D">
        <w:rPr>
          <w:rFonts w:ascii="Segoe UI" w:hAnsi="Segoe UI" w:cs="Segoe UI"/>
          <w:szCs w:val="20"/>
        </w:rPr>
        <w:t xml:space="preserve">definisce gli obiettivi e le </w:t>
      </w:r>
      <w:r w:rsidR="00F75089" w:rsidRPr="0062207D">
        <w:rPr>
          <w:rFonts w:ascii="Segoe UI" w:hAnsi="Segoe UI" w:cs="Segoe UI"/>
          <w:szCs w:val="20"/>
        </w:rPr>
        <w:t xml:space="preserve">politiche </w:t>
      </w:r>
      <w:r w:rsidRPr="0062207D">
        <w:rPr>
          <w:rFonts w:ascii="Segoe UI" w:hAnsi="Segoe UI" w:cs="Segoe UI"/>
          <w:szCs w:val="20"/>
        </w:rPr>
        <w:t>per raggiunger</w:t>
      </w:r>
      <w:r w:rsidR="00F75089" w:rsidRPr="0062207D">
        <w:rPr>
          <w:rFonts w:ascii="Segoe UI" w:hAnsi="Segoe UI" w:cs="Segoe UI"/>
          <w:szCs w:val="20"/>
        </w:rPr>
        <w:t xml:space="preserve">e tali obiettivi; le politiche </w:t>
      </w:r>
      <w:r w:rsidRPr="0062207D">
        <w:rPr>
          <w:rFonts w:ascii="Segoe UI" w:hAnsi="Segoe UI" w:cs="Segoe UI"/>
          <w:szCs w:val="20"/>
        </w:rPr>
        <w:t xml:space="preserve">sono </w:t>
      </w:r>
      <w:r w:rsidR="00F75089" w:rsidRPr="0062207D">
        <w:rPr>
          <w:rFonts w:ascii="Segoe UI" w:hAnsi="Segoe UI" w:cs="Segoe UI"/>
          <w:szCs w:val="20"/>
        </w:rPr>
        <w:t xml:space="preserve">poi </w:t>
      </w:r>
      <w:r w:rsidRPr="0062207D">
        <w:rPr>
          <w:rFonts w:ascii="Segoe UI" w:hAnsi="Segoe UI" w:cs="Segoe UI"/>
          <w:szCs w:val="20"/>
        </w:rPr>
        <w:t>implementate attraverso piani</w:t>
      </w:r>
      <w:r w:rsidR="0088637B">
        <w:rPr>
          <w:rFonts w:ascii="Segoe UI" w:hAnsi="Segoe UI" w:cs="Segoe UI"/>
          <w:szCs w:val="20"/>
        </w:rPr>
        <w:t>,</w:t>
      </w:r>
      <w:r w:rsidRPr="0062207D">
        <w:rPr>
          <w:rFonts w:ascii="Segoe UI" w:hAnsi="Segoe UI" w:cs="Segoe UI"/>
          <w:szCs w:val="20"/>
        </w:rPr>
        <w:t xml:space="preserve"> </w:t>
      </w:r>
      <w:r w:rsidR="0088637B">
        <w:rPr>
          <w:rFonts w:ascii="Segoe UI" w:hAnsi="Segoe UI" w:cs="Segoe UI"/>
          <w:szCs w:val="20"/>
        </w:rPr>
        <w:t xml:space="preserve">nuovi o consolidati, </w:t>
      </w:r>
      <w:r w:rsidRPr="0062207D">
        <w:rPr>
          <w:rFonts w:ascii="Segoe UI" w:hAnsi="Segoe UI" w:cs="Segoe UI"/>
          <w:szCs w:val="20"/>
        </w:rPr>
        <w:t>di allocazione delle risorse</w:t>
      </w:r>
      <w:r w:rsidR="0088637B">
        <w:rPr>
          <w:rFonts w:ascii="Segoe UI" w:hAnsi="Segoe UI" w:cs="Segoe UI"/>
          <w:szCs w:val="20"/>
        </w:rPr>
        <w:t>, chiudendo il cerchio e ponendo le basi per il ripristino di tutto il processo</w:t>
      </w:r>
      <w:r w:rsidRPr="0062207D">
        <w:rPr>
          <w:rFonts w:ascii="Segoe UI" w:hAnsi="Segoe UI" w:cs="Segoe UI"/>
          <w:szCs w:val="20"/>
        </w:rPr>
        <w:t>.</w:t>
      </w:r>
    </w:p>
    <w:p w14:paraId="22D1317C" w14:textId="72D0EE0A" w:rsidR="00F270C0" w:rsidRPr="0071093F" w:rsidRDefault="0088637B" w:rsidP="00C23330">
      <w:pPr>
        <w:autoSpaceDE w:val="0"/>
        <w:autoSpaceDN w:val="0"/>
        <w:adjustRightInd w:val="0"/>
        <w:spacing w:before="120" w:after="120" w:line="240" w:lineRule="auto"/>
        <w:jc w:val="both"/>
        <w:rPr>
          <w:rFonts w:ascii="Segoe UI" w:hAnsi="Segoe UI" w:cs="Segoe UI"/>
          <w:szCs w:val="20"/>
        </w:rPr>
      </w:pPr>
      <w:r>
        <w:rPr>
          <w:rFonts w:ascii="Segoe UI" w:hAnsi="Segoe UI" w:cs="Segoe UI"/>
          <w:szCs w:val="20"/>
        </w:rPr>
        <w:t xml:space="preserve">Nell’ambito del processo della </w:t>
      </w:r>
      <w:r w:rsidR="00F270C0" w:rsidRPr="0062207D">
        <w:rPr>
          <w:rFonts w:ascii="Segoe UI" w:hAnsi="Segoe UI" w:cs="Segoe UI"/>
          <w:szCs w:val="20"/>
        </w:rPr>
        <w:t xml:space="preserve">creazione di valore, il coinvolgimento degli </w:t>
      </w:r>
      <w:r w:rsidR="00F270C0" w:rsidRPr="00F03CD2">
        <w:rPr>
          <w:rFonts w:ascii="Segoe UI" w:hAnsi="Segoe UI" w:cs="Segoe UI"/>
          <w:i/>
          <w:szCs w:val="20"/>
        </w:rPr>
        <w:t>stakeholder</w:t>
      </w:r>
      <w:r w:rsidR="00F270C0" w:rsidRPr="0062207D">
        <w:rPr>
          <w:rFonts w:ascii="Segoe UI" w:hAnsi="Segoe UI" w:cs="Segoe UI"/>
          <w:szCs w:val="20"/>
        </w:rPr>
        <w:t xml:space="preserve"> dovrebbe essere già incorporato nelle attività ordinarie dell’organizzazione</w:t>
      </w:r>
      <w:r w:rsidR="00F75089" w:rsidRPr="0062207D">
        <w:rPr>
          <w:rFonts w:ascii="Segoe UI" w:hAnsi="Segoe UI" w:cs="Segoe UI"/>
          <w:szCs w:val="20"/>
        </w:rPr>
        <w:t>;</w:t>
      </w:r>
      <w:r w:rsidR="00F270C0" w:rsidRPr="0062207D">
        <w:rPr>
          <w:rFonts w:ascii="Segoe UI" w:hAnsi="Segoe UI" w:cs="Segoe UI"/>
          <w:szCs w:val="20"/>
        </w:rPr>
        <w:t xml:space="preserve"> tuttavia, l</w:t>
      </w:r>
      <w:r w:rsidR="00F75089" w:rsidRPr="0062207D">
        <w:rPr>
          <w:rFonts w:ascii="Segoe UI" w:hAnsi="Segoe UI" w:cs="Segoe UI"/>
          <w:szCs w:val="20"/>
        </w:rPr>
        <w:t>’IR</w:t>
      </w:r>
      <w:r w:rsidR="00F270C0" w:rsidRPr="0062207D">
        <w:rPr>
          <w:rFonts w:ascii="Segoe UI" w:hAnsi="Segoe UI" w:cs="Segoe UI"/>
          <w:szCs w:val="20"/>
        </w:rPr>
        <w:t xml:space="preserve"> Framework 1.0</w:t>
      </w:r>
      <w:r w:rsidR="00F75089" w:rsidRPr="0062207D">
        <w:rPr>
          <w:rFonts w:ascii="Segoe UI" w:hAnsi="Segoe UI" w:cs="Segoe UI"/>
          <w:szCs w:val="20"/>
        </w:rPr>
        <w:t>,</w:t>
      </w:r>
      <w:r w:rsidR="00F270C0" w:rsidRPr="0062207D">
        <w:rPr>
          <w:rFonts w:ascii="Segoe UI" w:hAnsi="Segoe UI" w:cs="Segoe UI"/>
          <w:szCs w:val="20"/>
        </w:rPr>
        <w:t xml:space="preserve"> al paragrafo 3.12</w:t>
      </w:r>
      <w:r w:rsidR="00F75089" w:rsidRPr="0062207D">
        <w:rPr>
          <w:rFonts w:ascii="Segoe UI" w:hAnsi="Segoe UI" w:cs="Segoe UI"/>
          <w:szCs w:val="20"/>
        </w:rPr>
        <w:t>,</w:t>
      </w:r>
      <w:r w:rsidR="00F270C0" w:rsidRPr="0062207D">
        <w:rPr>
          <w:rFonts w:ascii="Segoe UI" w:hAnsi="Segoe UI" w:cs="Segoe UI"/>
          <w:szCs w:val="20"/>
        </w:rPr>
        <w:t xml:space="preserve"> precisa che:</w:t>
      </w:r>
      <w:r w:rsidR="00F270C0" w:rsidRPr="0071093F">
        <w:rPr>
          <w:rFonts w:ascii="Segoe UI" w:hAnsi="Segoe UI" w:cs="Segoe UI"/>
          <w:szCs w:val="20"/>
        </w:rPr>
        <w:t xml:space="preserve"> “</w:t>
      </w:r>
      <w:r w:rsidR="0090341A" w:rsidRPr="0071093F">
        <w:rPr>
          <w:rFonts w:ascii="Segoe UI" w:hAnsi="Segoe UI" w:cs="Segoe UI"/>
          <w:szCs w:val="20"/>
        </w:rPr>
        <w:t>Gli stakeholder forniscono utili considerazioni sugli aspetti che considerano importanti, tra questi i temi economici, ambientali e sociali che influiscono anche sulla capacità dell'organizzazione di creare valore.</w:t>
      </w:r>
      <w:r w:rsidR="004F7D59" w:rsidRPr="0071093F">
        <w:rPr>
          <w:rFonts w:ascii="Segoe UI" w:hAnsi="Segoe UI" w:cs="Segoe UI"/>
          <w:szCs w:val="20"/>
        </w:rPr>
        <w:t xml:space="preserve"> </w:t>
      </w:r>
      <w:r w:rsidR="0090341A" w:rsidRPr="0071093F">
        <w:rPr>
          <w:rFonts w:ascii="Segoe UI" w:hAnsi="Segoe UI" w:cs="Segoe UI"/>
          <w:szCs w:val="20"/>
        </w:rPr>
        <w:t>Tali considerazioni possono aiutare l'organizzazione a: comprendere il modo in cui gli stakeholder percepiscono il valore; identificare le tendenze che potrebbero non essere ancora state portate all’attenzione generale ma che stanno crescendo di importanza; identificare gli aspetti materiali, inclusi rischi e opportunità; sviluppare e valutare la strategia; gestire i rischi; implementare attività, considerando tra queste le risposte fornite, responsabilmente, sugli aspetti materiali</w:t>
      </w:r>
      <w:r w:rsidR="00F270C0" w:rsidRPr="0071093F">
        <w:rPr>
          <w:rFonts w:ascii="Segoe UI" w:hAnsi="Segoe UI" w:cs="Segoe UI"/>
          <w:szCs w:val="20"/>
        </w:rPr>
        <w:t>”</w:t>
      </w:r>
      <w:r w:rsidR="004F7D59" w:rsidRPr="0071093F">
        <w:rPr>
          <w:rFonts w:ascii="Segoe UI" w:hAnsi="Segoe UI" w:cs="Segoe UI"/>
          <w:szCs w:val="20"/>
        </w:rPr>
        <w:t>.</w:t>
      </w:r>
    </w:p>
    <w:p w14:paraId="4E6427E1" w14:textId="77777777" w:rsidR="00F270C0" w:rsidRPr="0071093F" w:rsidRDefault="00F270C0" w:rsidP="00C23330">
      <w:pPr>
        <w:autoSpaceDE w:val="0"/>
        <w:autoSpaceDN w:val="0"/>
        <w:adjustRightInd w:val="0"/>
        <w:spacing w:before="120" w:after="120" w:line="240" w:lineRule="auto"/>
        <w:jc w:val="both"/>
        <w:rPr>
          <w:rFonts w:ascii="Segoe UI" w:hAnsi="Segoe UI" w:cs="Segoe UI"/>
          <w:szCs w:val="20"/>
        </w:rPr>
      </w:pPr>
    </w:p>
    <w:p w14:paraId="735AC7AA" w14:textId="77777777" w:rsidR="00F270C0" w:rsidRPr="0062207D" w:rsidRDefault="00F270C0" w:rsidP="005938C8">
      <w:pPr>
        <w:pStyle w:val="Paragrafoelenco"/>
        <w:keepNext/>
        <w:keepLines/>
        <w:numPr>
          <w:ilvl w:val="0"/>
          <w:numId w:val="11"/>
        </w:numPr>
        <w:tabs>
          <w:tab w:val="left" w:pos="284"/>
        </w:tabs>
        <w:autoSpaceDE w:val="0"/>
        <w:autoSpaceDN w:val="0"/>
        <w:adjustRightInd w:val="0"/>
        <w:spacing w:before="120" w:after="120" w:line="240" w:lineRule="auto"/>
        <w:ind w:left="0" w:firstLine="0"/>
        <w:contextualSpacing w:val="0"/>
        <w:jc w:val="both"/>
        <w:rPr>
          <w:rFonts w:ascii="Segoe UI" w:hAnsi="Segoe UI" w:cs="Segoe UI"/>
          <w:i/>
          <w:szCs w:val="20"/>
        </w:rPr>
      </w:pPr>
      <w:r w:rsidRPr="0062207D">
        <w:rPr>
          <w:rFonts w:ascii="Segoe UI" w:hAnsi="Segoe UI" w:cs="Segoe UI"/>
          <w:i/>
          <w:szCs w:val="20"/>
        </w:rPr>
        <w:t>Selezionare i temi</w:t>
      </w:r>
    </w:p>
    <w:p w14:paraId="3C6D190C" w14:textId="4976D529"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Stabiliti i parametri e i confini del processo di creazione del valore, al fine di determinare la rilevanza dei temi, </w:t>
      </w:r>
      <w:r w:rsidR="00F4533E">
        <w:rPr>
          <w:rFonts w:ascii="Segoe UI" w:hAnsi="Segoe UI" w:cs="Segoe UI"/>
          <w:szCs w:val="20"/>
        </w:rPr>
        <w:t>l</w:t>
      </w:r>
      <w:r w:rsidRPr="0062207D">
        <w:rPr>
          <w:rFonts w:ascii="Segoe UI" w:hAnsi="Segoe UI" w:cs="Segoe UI"/>
          <w:szCs w:val="20"/>
        </w:rPr>
        <w:t xml:space="preserve">a </w:t>
      </w:r>
      <w:r w:rsidR="00777A91" w:rsidRPr="0062207D">
        <w:rPr>
          <w:rFonts w:ascii="Segoe UI" w:hAnsi="Segoe UI" w:cs="Segoe UI"/>
          <w:szCs w:val="20"/>
        </w:rPr>
        <w:t>seconda fase del processo</w:t>
      </w:r>
      <w:r w:rsidR="00F4533E">
        <w:rPr>
          <w:rFonts w:ascii="Segoe UI" w:hAnsi="Segoe UI" w:cs="Segoe UI"/>
          <w:szCs w:val="20"/>
        </w:rPr>
        <w:t>,</w:t>
      </w:r>
      <w:r w:rsidR="00777A91" w:rsidRPr="0062207D">
        <w:rPr>
          <w:rFonts w:ascii="Segoe UI" w:hAnsi="Segoe UI" w:cs="Segoe UI"/>
          <w:szCs w:val="20"/>
        </w:rPr>
        <w:t xml:space="preserve"> </w:t>
      </w:r>
      <w:r w:rsidRPr="0062207D">
        <w:rPr>
          <w:rFonts w:ascii="Segoe UI" w:hAnsi="Segoe UI" w:cs="Segoe UI"/>
          <w:szCs w:val="20"/>
        </w:rPr>
        <w:t xml:space="preserve">definita dall’IR </w:t>
      </w:r>
      <w:r w:rsidR="00922E05" w:rsidRPr="00922E05">
        <w:rPr>
          <w:rFonts w:ascii="Segoe UI" w:hAnsi="Segoe UI" w:cs="Segoe UI"/>
          <w:szCs w:val="20"/>
        </w:rPr>
        <w:t>Framework</w:t>
      </w:r>
      <w:r w:rsidRPr="0062207D">
        <w:rPr>
          <w:rFonts w:ascii="Segoe UI" w:hAnsi="Segoe UI" w:cs="Segoe UI"/>
          <w:szCs w:val="20"/>
        </w:rPr>
        <w:t xml:space="preserve"> 1.0 </w:t>
      </w:r>
      <w:r w:rsidR="00777A91" w:rsidRPr="0062207D">
        <w:rPr>
          <w:rFonts w:ascii="Segoe UI" w:hAnsi="Segoe UI" w:cs="Segoe UI"/>
          <w:szCs w:val="20"/>
        </w:rPr>
        <w:t xml:space="preserve">“Selezione dei temi”, </w:t>
      </w:r>
      <w:r w:rsidR="00F4533E">
        <w:rPr>
          <w:rFonts w:ascii="Segoe UI" w:hAnsi="Segoe UI" w:cs="Segoe UI"/>
          <w:szCs w:val="20"/>
        </w:rPr>
        <w:t>si concretizza, appunto, nell’</w:t>
      </w:r>
      <w:r w:rsidR="00777A91" w:rsidRPr="0062207D">
        <w:rPr>
          <w:rFonts w:ascii="Segoe UI" w:hAnsi="Segoe UI" w:cs="Segoe UI"/>
          <w:szCs w:val="20"/>
        </w:rPr>
        <w:t>i</w:t>
      </w:r>
      <w:r w:rsidRPr="0062207D">
        <w:rPr>
          <w:rFonts w:ascii="Segoe UI" w:hAnsi="Segoe UI" w:cs="Segoe UI"/>
          <w:szCs w:val="20"/>
        </w:rPr>
        <w:t>dentificazione degli aspetti</w:t>
      </w:r>
      <w:r w:rsidRPr="0062207D">
        <w:rPr>
          <w:rFonts w:ascii="Segoe UI" w:hAnsi="Segoe UI" w:cs="Segoe UI"/>
          <w:b/>
          <w:szCs w:val="20"/>
        </w:rPr>
        <w:t xml:space="preserve"> </w:t>
      </w:r>
      <w:r w:rsidRPr="0062207D">
        <w:rPr>
          <w:rFonts w:ascii="Segoe UI" w:hAnsi="Segoe UI" w:cs="Segoe UI"/>
          <w:szCs w:val="20"/>
        </w:rPr>
        <w:t>rilevanti</w:t>
      </w:r>
      <w:r w:rsidR="00777A91" w:rsidRPr="0062207D">
        <w:rPr>
          <w:rFonts w:ascii="Segoe UI" w:hAnsi="Segoe UI" w:cs="Segoe UI"/>
          <w:szCs w:val="20"/>
        </w:rPr>
        <w:t>,</w:t>
      </w:r>
      <w:r w:rsidRPr="0062207D">
        <w:rPr>
          <w:rFonts w:ascii="Segoe UI" w:hAnsi="Segoe UI" w:cs="Segoe UI"/>
          <w:szCs w:val="20"/>
        </w:rPr>
        <w:t xml:space="preserve"> </w:t>
      </w:r>
      <w:r w:rsidR="00375636">
        <w:rPr>
          <w:rFonts w:ascii="Segoe UI" w:hAnsi="Segoe UI" w:cs="Segoe UI"/>
          <w:szCs w:val="20"/>
        </w:rPr>
        <w:t xml:space="preserve">e </w:t>
      </w:r>
      <w:r w:rsidRPr="0062207D">
        <w:rPr>
          <w:rFonts w:ascii="Segoe UI" w:hAnsi="Segoe UI" w:cs="Segoe UI"/>
          <w:szCs w:val="20"/>
        </w:rPr>
        <w:t>fa</w:t>
      </w:r>
      <w:r w:rsidR="00F4533E">
        <w:rPr>
          <w:rFonts w:ascii="Segoe UI" w:hAnsi="Segoe UI" w:cs="Segoe UI"/>
          <w:szCs w:val="20"/>
        </w:rPr>
        <w:t xml:space="preserve"> </w:t>
      </w:r>
      <w:r w:rsidRPr="0062207D">
        <w:rPr>
          <w:rFonts w:ascii="Segoe UI" w:hAnsi="Segoe UI" w:cs="Segoe UI"/>
          <w:szCs w:val="20"/>
        </w:rPr>
        <w:t>esplicito richiamo ai paragrafi dal 3.21 al 3.23 del</w:t>
      </w:r>
      <w:r w:rsidR="00777A91" w:rsidRPr="0062207D">
        <w:rPr>
          <w:rFonts w:ascii="Segoe UI" w:hAnsi="Segoe UI" w:cs="Segoe UI"/>
          <w:szCs w:val="20"/>
        </w:rPr>
        <w:t xml:space="preserve"> </w:t>
      </w:r>
      <w:r w:rsidR="00922E05" w:rsidRPr="00922E05">
        <w:rPr>
          <w:rFonts w:ascii="Segoe UI" w:hAnsi="Segoe UI" w:cs="Segoe UI"/>
          <w:szCs w:val="20"/>
        </w:rPr>
        <w:t>Framework</w:t>
      </w:r>
      <w:r w:rsidRPr="0062207D">
        <w:rPr>
          <w:rFonts w:ascii="Segoe UI" w:hAnsi="Segoe UI" w:cs="Segoe UI"/>
          <w:szCs w:val="20"/>
        </w:rPr>
        <w:t>.</w:t>
      </w:r>
    </w:p>
    <w:p w14:paraId="4066A851" w14:textId="304B401F" w:rsidR="00F270C0" w:rsidRPr="0071093F"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A tale proposito, </w:t>
      </w:r>
      <w:r w:rsidR="00922E05">
        <w:rPr>
          <w:rFonts w:ascii="Segoe UI" w:hAnsi="Segoe UI" w:cs="Segoe UI"/>
          <w:szCs w:val="20"/>
        </w:rPr>
        <w:t xml:space="preserve">l’IR </w:t>
      </w:r>
      <w:r w:rsidR="00922E05" w:rsidRPr="00922E05">
        <w:rPr>
          <w:rFonts w:ascii="Segoe UI" w:hAnsi="Segoe UI" w:cs="Segoe UI"/>
          <w:szCs w:val="20"/>
        </w:rPr>
        <w:t>Framework</w:t>
      </w:r>
      <w:r w:rsidR="00777A91" w:rsidRPr="0062207D">
        <w:rPr>
          <w:rFonts w:ascii="Segoe UI" w:hAnsi="Segoe UI" w:cs="Segoe UI"/>
          <w:szCs w:val="20"/>
        </w:rPr>
        <w:t>,</w:t>
      </w:r>
      <w:r w:rsidRPr="0062207D">
        <w:rPr>
          <w:rFonts w:ascii="Segoe UI" w:hAnsi="Segoe UI" w:cs="Segoe UI"/>
          <w:szCs w:val="20"/>
        </w:rPr>
        <w:t xml:space="preserve"> al paragrafo 3.21</w:t>
      </w:r>
      <w:r w:rsidR="00777A91" w:rsidRPr="0062207D">
        <w:rPr>
          <w:rFonts w:ascii="Segoe UI" w:hAnsi="Segoe UI" w:cs="Segoe UI"/>
          <w:szCs w:val="20"/>
        </w:rPr>
        <w:t>,</w:t>
      </w:r>
      <w:r w:rsidRPr="0062207D">
        <w:rPr>
          <w:rFonts w:ascii="Segoe UI" w:hAnsi="Segoe UI" w:cs="Segoe UI"/>
          <w:szCs w:val="20"/>
        </w:rPr>
        <w:t xml:space="preserve"> stabilisce che </w:t>
      </w:r>
      <w:r w:rsidRPr="0071093F">
        <w:rPr>
          <w:rFonts w:ascii="Segoe UI" w:hAnsi="Segoe UI" w:cs="Segoe UI"/>
          <w:szCs w:val="20"/>
        </w:rPr>
        <w:t xml:space="preserve">“gli aspetti rilevanti sono quelli che hanno influenzato o potrebbero influenzare la capacità dell’organizzazione di creare valore. Per identificarli è necessario considerare il loro impatto sulla strategia, sulla </w:t>
      </w:r>
      <w:r w:rsidRPr="0071093F">
        <w:rPr>
          <w:rFonts w:ascii="Segoe UI" w:hAnsi="Segoe UI" w:cs="Segoe UI"/>
          <w:i/>
          <w:szCs w:val="20"/>
        </w:rPr>
        <w:t>governance</w:t>
      </w:r>
      <w:r w:rsidRPr="0071093F">
        <w:rPr>
          <w:rFonts w:ascii="Segoe UI" w:hAnsi="Segoe UI" w:cs="Segoe UI"/>
          <w:szCs w:val="20"/>
        </w:rPr>
        <w:t>, sulla performance e sulle prospettive per il futuro dell’organizzazione”</w:t>
      </w:r>
      <w:r w:rsidRPr="0062207D">
        <w:rPr>
          <w:rFonts w:ascii="Segoe UI" w:hAnsi="Segoe UI" w:cs="Segoe UI"/>
          <w:i/>
          <w:szCs w:val="20"/>
        </w:rPr>
        <w:t xml:space="preserve">. </w:t>
      </w:r>
      <w:r w:rsidRPr="0062207D">
        <w:rPr>
          <w:rFonts w:ascii="Segoe UI" w:hAnsi="Segoe UI" w:cs="Segoe UI"/>
          <w:szCs w:val="20"/>
        </w:rPr>
        <w:t>Ancora,</w:t>
      </w:r>
      <w:r w:rsidR="00375636">
        <w:rPr>
          <w:rFonts w:ascii="Segoe UI" w:hAnsi="Segoe UI" w:cs="Segoe UI"/>
          <w:szCs w:val="20"/>
        </w:rPr>
        <w:t xml:space="preserve"> </w:t>
      </w:r>
      <w:r w:rsidRPr="0062207D">
        <w:rPr>
          <w:rFonts w:ascii="Segoe UI" w:hAnsi="Segoe UI" w:cs="Segoe UI"/>
          <w:szCs w:val="20"/>
        </w:rPr>
        <w:t>l</w:t>
      </w:r>
      <w:r w:rsidR="00375636">
        <w:rPr>
          <w:rFonts w:ascii="Segoe UI" w:hAnsi="Segoe UI" w:cs="Segoe UI"/>
          <w:szCs w:val="20"/>
        </w:rPr>
        <w:t>’IR</w:t>
      </w:r>
      <w:r w:rsidRPr="0062207D">
        <w:rPr>
          <w:rFonts w:ascii="Segoe UI" w:hAnsi="Segoe UI" w:cs="Segoe UI"/>
          <w:szCs w:val="20"/>
        </w:rPr>
        <w:t xml:space="preserve"> Framework stabilisce che</w:t>
      </w:r>
      <w:r w:rsidRPr="0062207D">
        <w:rPr>
          <w:rFonts w:ascii="Segoe UI" w:hAnsi="Segoe UI" w:cs="Segoe UI"/>
          <w:i/>
          <w:szCs w:val="20"/>
        </w:rPr>
        <w:t xml:space="preserve"> </w:t>
      </w:r>
      <w:r w:rsidRPr="0071093F">
        <w:rPr>
          <w:rFonts w:ascii="Segoe UI" w:hAnsi="Segoe UI" w:cs="Segoe UI"/>
          <w:szCs w:val="20"/>
        </w:rPr>
        <w:t xml:space="preserve">“in genere, gli aspetti inerenti la creazione di valore discussi durante le riunioni a cui partecipano i componenti della </w:t>
      </w:r>
      <w:r w:rsidRPr="0071093F">
        <w:rPr>
          <w:rFonts w:ascii="Segoe UI" w:hAnsi="Segoe UI" w:cs="Segoe UI"/>
          <w:i/>
          <w:szCs w:val="20"/>
        </w:rPr>
        <w:t>governance</w:t>
      </w:r>
      <w:r w:rsidRPr="0071093F">
        <w:rPr>
          <w:rFonts w:ascii="Segoe UI" w:hAnsi="Segoe UI" w:cs="Segoe UI"/>
          <w:szCs w:val="20"/>
        </w:rPr>
        <w:t xml:space="preserve"> sono considerati rilevanti e che, inoltre, è essenziale comprendere le prospettive degli stakeholder chiave”. </w:t>
      </w:r>
      <w:r w:rsidRPr="0062207D">
        <w:rPr>
          <w:rFonts w:ascii="Segoe UI" w:hAnsi="Segoe UI" w:cs="Segoe UI"/>
          <w:szCs w:val="20"/>
        </w:rPr>
        <w:t xml:space="preserve">Tra gli aspetti rilevanti </w:t>
      </w:r>
      <w:r w:rsidR="00375636">
        <w:rPr>
          <w:rFonts w:ascii="Segoe UI" w:hAnsi="Segoe UI" w:cs="Segoe UI"/>
          <w:szCs w:val="20"/>
        </w:rPr>
        <w:t xml:space="preserve">l’IR </w:t>
      </w:r>
      <w:r w:rsidRPr="0062207D">
        <w:rPr>
          <w:rFonts w:ascii="Segoe UI" w:hAnsi="Segoe UI" w:cs="Segoe UI"/>
          <w:szCs w:val="20"/>
        </w:rPr>
        <w:t>Framework 1.0 include “</w:t>
      </w:r>
      <w:r w:rsidRPr="0071093F">
        <w:rPr>
          <w:rFonts w:ascii="Segoe UI" w:hAnsi="Segoe UI" w:cs="Segoe UI"/>
          <w:szCs w:val="20"/>
        </w:rPr>
        <w:t>anche quelli che possono essere relativamente semplici da affrontare nel breve termine ma che, se trascurati possono diventare critici o difficili da gestire nel medio lungo termine. Non è possibile escludere gli aspetti che l’organizzazione non intende o non sa come affrontare”.</w:t>
      </w:r>
    </w:p>
    <w:p w14:paraId="3D5405CA" w14:textId="2E91F87A" w:rsidR="00F270C0" w:rsidRPr="0062207D" w:rsidRDefault="00F270C0" w:rsidP="00C23330">
      <w:pPr>
        <w:keepNext/>
        <w:keepLines/>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In estrema sintesi</w:t>
      </w:r>
      <w:r w:rsidR="00375636">
        <w:rPr>
          <w:rFonts w:ascii="Segoe UI" w:hAnsi="Segoe UI" w:cs="Segoe UI"/>
          <w:szCs w:val="20"/>
        </w:rPr>
        <w:t xml:space="preserve">, </w:t>
      </w:r>
      <w:r w:rsidRPr="0062207D">
        <w:rPr>
          <w:rFonts w:ascii="Segoe UI" w:hAnsi="Segoe UI" w:cs="Segoe UI"/>
          <w:szCs w:val="20"/>
        </w:rPr>
        <w:t xml:space="preserve">al fine di definire se un aspetto </w:t>
      </w:r>
      <w:r w:rsidR="00375636">
        <w:rPr>
          <w:rFonts w:ascii="Segoe UI" w:hAnsi="Segoe UI" w:cs="Segoe UI"/>
          <w:szCs w:val="20"/>
        </w:rPr>
        <w:t>sia</w:t>
      </w:r>
      <w:r w:rsidRPr="0062207D">
        <w:rPr>
          <w:rFonts w:ascii="Segoe UI" w:hAnsi="Segoe UI" w:cs="Segoe UI"/>
          <w:szCs w:val="20"/>
        </w:rPr>
        <w:t xml:space="preserve"> rilevante (</w:t>
      </w:r>
      <w:r w:rsidRPr="0062207D">
        <w:rPr>
          <w:rFonts w:ascii="Segoe UI" w:hAnsi="Segoe UI" w:cs="Segoe UI"/>
          <w:i/>
          <w:szCs w:val="20"/>
        </w:rPr>
        <w:t>material</w:t>
      </w:r>
      <w:r w:rsidRPr="0062207D">
        <w:rPr>
          <w:rFonts w:ascii="Segoe UI" w:hAnsi="Segoe UI" w:cs="Segoe UI"/>
          <w:szCs w:val="20"/>
        </w:rPr>
        <w:t>)</w:t>
      </w:r>
      <w:r w:rsidR="00375636">
        <w:rPr>
          <w:rFonts w:ascii="Segoe UI" w:hAnsi="Segoe UI" w:cs="Segoe UI"/>
          <w:szCs w:val="20"/>
        </w:rPr>
        <w:t>,</w:t>
      </w:r>
      <w:r w:rsidRPr="0062207D">
        <w:rPr>
          <w:rFonts w:ascii="Segoe UI" w:hAnsi="Segoe UI" w:cs="Segoe UI"/>
          <w:szCs w:val="20"/>
        </w:rPr>
        <w:t xml:space="preserve"> lo </w:t>
      </w:r>
      <w:r w:rsidRPr="006911EA">
        <w:rPr>
          <w:rFonts w:ascii="Segoe UI" w:hAnsi="Segoe UI" w:cs="Segoe UI"/>
          <w:i/>
          <w:szCs w:val="20"/>
        </w:rPr>
        <w:t>standard</w:t>
      </w:r>
      <w:r w:rsidRPr="0062207D">
        <w:rPr>
          <w:rFonts w:ascii="Segoe UI" w:hAnsi="Segoe UI" w:cs="Segoe UI"/>
          <w:szCs w:val="20"/>
        </w:rPr>
        <w:t xml:space="preserve"> suggerisce di considerare temi che:</w:t>
      </w:r>
    </w:p>
    <w:p w14:paraId="5B6EF278" w14:textId="0CC7C614"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poss</w:t>
      </w:r>
      <w:r w:rsidR="00375636">
        <w:rPr>
          <w:rFonts w:ascii="Segoe UI" w:hAnsi="Segoe UI" w:cs="Segoe UI"/>
          <w:szCs w:val="20"/>
        </w:rPr>
        <w:t>a</w:t>
      </w:r>
      <w:r w:rsidRPr="0062207D">
        <w:rPr>
          <w:rFonts w:ascii="Segoe UI" w:hAnsi="Segoe UI" w:cs="Segoe UI"/>
          <w:szCs w:val="20"/>
        </w:rPr>
        <w:t>no, in maniera concreta, avere un impatto sul processo di creazione del valore;</w:t>
      </w:r>
    </w:p>
    <w:p w14:paraId="4A58C880" w14:textId="5308A9C3"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poss</w:t>
      </w:r>
      <w:r w:rsidR="00375636">
        <w:rPr>
          <w:rFonts w:ascii="Segoe UI" w:hAnsi="Segoe UI" w:cs="Segoe UI"/>
          <w:szCs w:val="20"/>
        </w:rPr>
        <w:t>a</w:t>
      </w:r>
      <w:r w:rsidRPr="0062207D">
        <w:rPr>
          <w:rFonts w:ascii="Segoe UI" w:hAnsi="Segoe UI" w:cs="Segoe UI"/>
          <w:szCs w:val="20"/>
        </w:rPr>
        <w:t xml:space="preserve">no creare interdipendenze tra strategie, </w:t>
      </w:r>
      <w:r w:rsidRPr="0062207D">
        <w:rPr>
          <w:rFonts w:ascii="Segoe UI" w:hAnsi="Segoe UI" w:cs="Segoe UI"/>
          <w:i/>
          <w:szCs w:val="20"/>
        </w:rPr>
        <w:t>governance</w:t>
      </w:r>
      <w:r w:rsidRPr="0062207D">
        <w:rPr>
          <w:rFonts w:ascii="Segoe UI" w:hAnsi="Segoe UI" w:cs="Segoe UI"/>
          <w:szCs w:val="20"/>
        </w:rPr>
        <w:t>, performance e prospettive future dell’organizzazione;</w:t>
      </w:r>
    </w:p>
    <w:p w14:paraId="4B10A759" w14:textId="375DC6AB"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s</w:t>
      </w:r>
      <w:r w:rsidR="00375636">
        <w:rPr>
          <w:rFonts w:ascii="Segoe UI" w:hAnsi="Segoe UI" w:cs="Segoe UI"/>
          <w:szCs w:val="20"/>
        </w:rPr>
        <w:t>ia</w:t>
      </w:r>
      <w:r w:rsidRPr="0062207D">
        <w:rPr>
          <w:rFonts w:ascii="Segoe UI" w:hAnsi="Segoe UI" w:cs="Segoe UI"/>
          <w:szCs w:val="20"/>
        </w:rPr>
        <w:t xml:space="preserve">no rilevanti per gli </w:t>
      </w:r>
      <w:r w:rsidRPr="00F03CD2">
        <w:rPr>
          <w:rFonts w:ascii="Segoe UI" w:hAnsi="Segoe UI" w:cs="Segoe UI"/>
          <w:i/>
          <w:szCs w:val="20"/>
        </w:rPr>
        <w:t>stakeholder</w:t>
      </w:r>
      <w:r w:rsidRPr="0062207D">
        <w:rPr>
          <w:rFonts w:ascii="Segoe UI" w:hAnsi="Segoe UI" w:cs="Segoe UI"/>
          <w:szCs w:val="20"/>
        </w:rPr>
        <w:t xml:space="preserve"> chiave;</w:t>
      </w:r>
    </w:p>
    <w:p w14:paraId="58F0DACC" w14:textId="4F4632B4"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veng</w:t>
      </w:r>
      <w:r w:rsidR="00375636">
        <w:rPr>
          <w:rFonts w:ascii="Segoe UI" w:hAnsi="Segoe UI" w:cs="Segoe UI"/>
          <w:szCs w:val="20"/>
        </w:rPr>
        <w:t>a</w:t>
      </w:r>
      <w:r w:rsidRPr="0062207D">
        <w:rPr>
          <w:rFonts w:ascii="Segoe UI" w:hAnsi="Segoe UI" w:cs="Segoe UI"/>
          <w:szCs w:val="20"/>
        </w:rPr>
        <w:t>no discuss</w:t>
      </w:r>
      <w:r w:rsidR="00172ACE" w:rsidRPr="0062207D">
        <w:rPr>
          <w:rFonts w:ascii="Segoe UI" w:hAnsi="Segoe UI" w:cs="Segoe UI"/>
          <w:szCs w:val="20"/>
        </w:rPr>
        <w:t>i</w:t>
      </w:r>
      <w:r w:rsidRPr="0062207D">
        <w:rPr>
          <w:rFonts w:ascii="Segoe UI" w:hAnsi="Segoe UI" w:cs="Segoe UI"/>
          <w:szCs w:val="20"/>
        </w:rPr>
        <w:t xml:space="preserve"> durante le riunioni degli organi della </w:t>
      </w:r>
      <w:r w:rsidRPr="0062207D">
        <w:rPr>
          <w:rFonts w:ascii="Segoe UI" w:hAnsi="Segoe UI" w:cs="Segoe UI"/>
          <w:i/>
          <w:szCs w:val="20"/>
        </w:rPr>
        <w:t>governance</w:t>
      </w:r>
      <w:r w:rsidRPr="0062207D">
        <w:rPr>
          <w:rFonts w:ascii="Segoe UI" w:hAnsi="Segoe UI" w:cs="Segoe UI"/>
          <w:szCs w:val="20"/>
        </w:rPr>
        <w:t>;</w:t>
      </w:r>
    </w:p>
    <w:p w14:paraId="2B06994E" w14:textId="4C1245BC"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poss</w:t>
      </w:r>
      <w:r w:rsidR="00375636">
        <w:rPr>
          <w:rFonts w:ascii="Segoe UI" w:hAnsi="Segoe UI" w:cs="Segoe UI"/>
          <w:szCs w:val="20"/>
        </w:rPr>
        <w:t>a</w:t>
      </w:r>
      <w:r w:rsidRPr="0062207D">
        <w:rPr>
          <w:rFonts w:ascii="Segoe UI" w:hAnsi="Segoe UI" w:cs="Segoe UI"/>
          <w:szCs w:val="20"/>
        </w:rPr>
        <w:t>no intensificare o condurre a perdite se non sottoposti a controllo.</w:t>
      </w:r>
    </w:p>
    <w:p w14:paraId="710A4225" w14:textId="77777777" w:rsidR="0054541C" w:rsidRPr="0062207D" w:rsidRDefault="0054541C" w:rsidP="00C23330">
      <w:pPr>
        <w:autoSpaceDE w:val="0"/>
        <w:autoSpaceDN w:val="0"/>
        <w:adjustRightInd w:val="0"/>
        <w:spacing w:before="120" w:after="120" w:line="240" w:lineRule="auto"/>
        <w:jc w:val="both"/>
        <w:rPr>
          <w:rFonts w:ascii="Segoe UI" w:hAnsi="Segoe UI" w:cs="Segoe UI"/>
          <w:szCs w:val="20"/>
        </w:rPr>
      </w:pPr>
    </w:p>
    <w:p w14:paraId="62E25272" w14:textId="77777777" w:rsidR="00F270C0" w:rsidRPr="0062207D" w:rsidRDefault="00F270C0" w:rsidP="007F1EC1">
      <w:pPr>
        <w:pStyle w:val="Paragrafoelenco"/>
        <w:keepNext/>
        <w:keepLines/>
        <w:numPr>
          <w:ilvl w:val="0"/>
          <w:numId w:val="11"/>
        </w:numPr>
        <w:tabs>
          <w:tab w:val="left" w:pos="284"/>
        </w:tabs>
        <w:autoSpaceDE w:val="0"/>
        <w:autoSpaceDN w:val="0"/>
        <w:adjustRightInd w:val="0"/>
        <w:spacing w:before="120" w:after="120" w:line="240" w:lineRule="auto"/>
        <w:ind w:left="0" w:firstLine="0"/>
        <w:contextualSpacing w:val="0"/>
        <w:jc w:val="both"/>
        <w:rPr>
          <w:rFonts w:ascii="Segoe UI" w:hAnsi="Segoe UI" w:cs="Segoe UI"/>
          <w:b/>
          <w:i/>
          <w:szCs w:val="20"/>
        </w:rPr>
      </w:pPr>
      <w:r w:rsidRPr="0062207D">
        <w:rPr>
          <w:rFonts w:ascii="Segoe UI" w:hAnsi="Segoe UI" w:cs="Segoe UI"/>
          <w:i/>
          <w:szCs w:val="20"/>
        </w:rPr>
        <w:t>Valutare l’importanza degli aspetti rilevanti</w:t>
      </w:r>
    </w:p>
    <w:p w14:paraId="1F81BCC7" w14:textId="461AC589"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Dopo aver selezionato gli aspetti rilevanti, è necessario procedere </w:t>
      </w:r>
      <w:r w:rsidRPr="0062207D">
        <w:rPr>
          <w:rFonts w:ascii="Segoe UI" w:hAnsi="Segoe UI" w:cs="Segoe UI"/>
          <w:b/>
          <w:szCs w:val="20"/>
        </w:rPr>
        <w:t>alla valutazione</w:t>
      </w:r>
      <w:r w:rsidRPr="0062207D">
        <w:rPr>
          <w:rFonts w:ascii="Segoe UI" w:hAnsi="Segoe UI" w:cs="Segoe UI"/>
          <w:szCs w:val="20"/>
        </w:rPr>
        <w:t xml:space="preserve"> degli stessi</w:t>
      </w:r>
      <w:r w:rsidR="00E253D8">
        <w:rPr>
          <w:rFonts w:ascii="Segoe UI" w:hAnsi="Segoe UI" w:cs="Segoe UI"/>
          <w:szCs w:val="20"/>
        </w:rPr>
        <w:t xml:space="preserve">, considerandone e ponderandone </w:t>
      </w:r>
      <w:r w:rsidRPr="0062207D">
        <w:rPr>
          <w:rFonts w:ascii="Segoe UI" w:hAnsi="Segoe UI" w:cs="Segoe UI"/>
          <w:szCs w:val="20"/>
        </w:rPr>
        <w:t xml:space="preserve">l’effetto sulla creazione di valore. La natura dell’effetto viene analizzata considerando diversi fattori, quali: </w:t>
      </w:r>
      <w:r w:rsidRPr="00E253D8">
        <w:rPr>
          <w:rFonts w:ascii="Segoe UI" w:hAnsi="Segoe UI" w:cs="Segoe UI"/>
          <w:b/>
          <w:szCs w:val="20"/>
        </w:rPr>
        <w:t>l’effetto finanziario</w:t>
      </w:r>
      <w:r w:rsidRPr="0062207D">
        <w:rPr>
          <w:rFonts w:ascii="Segoe UI" w:hAnsi="Segoe UI" w:cs="Segoe UI"/>
          <w:szCs w:val="20"/>
        </w:rPr>
        <w:t>, il quale può essere misurato in termini monetari</w:t>
      </w:r>
      <w:r w:rsidR="00E253D8">
        <w:rPr>
          <w:rFonts w:ascii="Segoe UI" w:hAnsi="Segoe UI" w:cs="Segoe UI"/>
          <w:szCs w:val="20"/>
        </w:rPr>
        <w:t>,</w:t>
      </w:r>
      <w:r w:rsidRPr="0062207D">
        <w:rPr>
          <w:rFonts w:ascii="Segoe UI" w:hAnsi="Segoe UI" w:cs="Segoe UI"/>
          <w:szCs w:val="20"/>
        </w:rPr>
        <w:t xml:space="preserve"> ma può essere esteso anche all’analisi degli indicatori di bilancio</w:t>
      </w:r>
      <w:r w:rsidR="00E253D8">
        <w:rPr>
          <w:rFonts w:ascii="Segoe UI" w:hAnsi="Segoe UI" w:cs="Segoe UI"/>
          <w:szCs w:val="20"/>
        </w:rPr>
        <w:t xml:space="preserve">, </w:t>
      </w:r>
      <w:r w:rsidRPr="0062207D">
        <w:rPr>
          <w:rFonts w:ascii="Segoe UI" w:hAnsi="Segoe UI" w:cs="Segoe UI"/>
          <w:szCs w:val="20"/>
        </w:rPr>
        <w:t>quali</w:t>
      </w:r>
      <w:r w:rsidR="00E253D8">
        <w:rPr>
          <w:rFonts w:ascii="Segoe UI" w:hAnsi="Segoe UI" w:cs="Segoe UI"/>
          <w:szCs w:val="20"/>
        </w:rPr>
        <w:t>, ad esempio, il</w:t>
      </w:r>
      <w:r w:rsidRPr="0062207D">
        <w:rPr>
          <w:rFonts w:ascii="Segoe UI" w:hAnsi="Segoe UI" w:cs="Segoe UI"/>
          <w:szCs w:val="20"/>
        </w:rPr>
        <w:t xml:space="preserve"> margine operativo, </w:t>
      </w:r>
      <w:r w:rsidR="00E253D8">
        <w:rPr>
          <w:rFonts w:ascii="Segoe UI" w:hAnsi="Segoe UI" w:cs="Segoe UI"/>
          <w:szCs w:val="20"/>
        </w:rPr>
        <w:t xml:space="preserve">la </w:t>
      </w:r>
      <w:r w:rsidRPr="0062207D">
        <w:rPr>
          <w:rFonts w:ascii="Segoe UI" w:hAnsi="Segoe UI" w:cs="Segoe UI"/>
          <w:szCs w:val="20"/>
        </w:rPr>
        <w:t xml:space="preserve">liquidità e/o </w:t>
      </w:r>
      <w:r w:rsidR="00E253D8">
        <w:rPr>
          <w:rFonts w:ascii="Segoe UI" w:hAnsi="Segoe UI" w:cs="Segoe UI"/>
          <w:szCs w:val="20"/>
        </w:rPr>
        <w:t xml:space="preserve">il </w:t>
      </w:r>
      <w:r w:rsidRPr="0062207D">
        <w:rPr>
          <w:rFonts w:ascii="Segoe UI" w:hAnsi="Segoe UI" w:cs="Segoe UI"/>
          <w:szCs w:val="20"/>
        </w:rPr>
        <w:t xml:space="preserve">rischio di credito; </w:t>
      </w:r>
      <w:r w:rsidR="00E253D8" w:rsidRPr="002924B6">
        <w:rPr>
          <w:rFonts w:ascii="Segoe UI" w:hAnsi="Segoe UI" w:cs="Segoe UI"/>
          <w:b/>
          <w:szCs w:val="20"/>
        </w:rPr>
        <w:t>l</w:t>
      </w:r>
      <w:r w:rsidR="002924B6" w:rsidRPr="002924B6">
        <w:rPr>
          <w:rFonts w:ascii="Segoe UI" w:hAnsi="Segoe UI" w:cs="Segoe UI"/>
          <w:b/>
          <w:szCs w:val="20"/>
        </w:rPr>
        <w:t>’</w:t>
      </w:r>
      <w:r w:rsidRPr="002924B6">
        <w:rPr>
          <w:rFonts w:ascii="Segoe UI" w:hAnsi="Segoe UI" w:cs="Segoe UI"/>
          <w:b/>
          <w:szCs w:val="20"/>
        </w:rPr>
        <w:t>effetto operativo</w:t>
      </w:r>
      <w:r w:rsidRPr="0062207D">
        <w:rPr>
          <w:rFonts w:ascii="Segoe UI" w:hAnsi="Segoe UI" w:cs="Segoe UI"/>
          <w:szCs w:val="20"/>
        </w:rPr>
        <w:t xml:space="preserve"> in relazione </w:t>
      </w:r>
      <w:r w:rsidR="00172ACE" w:rsidRPr="0062207D">
        <w:rPr>
          <w:rFonts w:ascii="Segoe UI" w:hAnsi="Segoe UI" w:cs="Segoe UI"/>
          <w:szCs w:val="20"/>
        </w:rPr>
        <w:t>al</w:t>
      </w:r>
      <w:r w:rsidRPr="0062207D">
        <w:rPr>
          <w:rFonts w:ascii="Segoe UI" w:hAnsi="Segoe UI" w:cs="Segoe UI"/>
          <w:szCs w:val="20"/>
        </w:rPr>
        <w:t xml:space="preserve">l’attività dell’organizzazione e </w:t>
      </w:r>
      <w:r w:rsidR="00172ACE" w:rsidRPr="0062207D">
        <w:rPr>
          <w:rFonts w:ascii="Segoe UI" w:hAnsi="Segoe UI" w:cs="Segoe UI"/>
          <w:szCs w:val="20"/>
        </w:rPr>
        <w:t>a</w:t>
      </w:r>
      <w:r w:rsidRPr="0062207D">
        <w:rPr>
          <w:rFonts w:ascii="Segoe UI" w:hAnsi="Segoe UI" w:cs="Segoe UI"/>
          <w:szCs w:val="20"/>
        </w:rPr>
        <w:t xml:space="preserve">l processo di creazione del valore. Con riferimento alla </w:t>
      </w:r>
      <w:r w:rsidRPr="0062207D">
        <w:rPr>
          <w:rFonts w:ascii="Segoe UI" w:hAnsi="Segoe UI" w:cs="Segoe UI"/>
          <w:i/>
          <w:szCs w:val="20"/>
        </w:rPr>
        <w:t>performance</w:t>
      </w:r>
      <w:r w:rsidRPr="0062207D">
        <w:rPr>
          <w:rFonts w:ascii="Segoe UI" w:hAnsi="Segoe UI" w:cs="Segoe UI"/>
          <w:szCs w:val="20"/>
        </w:rPr>
        <w:t xml:space="preserve"> operativa</w:t>
      </w:r>
      <w:r w:rsidR="00172ACE" w:rsidRPr="0062207D">
        <w:rPr>
          <w:rFonts w:ascii="Segoe UI" w:hAnsi="Segoe UI" w:cs="Segoe UI"/>
          <w:szCs w:val="20"/>
        </w:rPr>
        <w:t>,</w:t>
      </w:r>
      <w:r w:rsidRPr="0062207D">
        <w:rPr>
          <w:rFonts w:ascii="Segoe UI" w:hAnsi="Segoe UI" w:cs="Segoe UI"/>
          <w:szCs w:val="20"/>
        </w:rPr>
        <w:t xml:space="preserve"> l’effetto viene v</w:t>
      </w:r>
      <w:r w:rsidR="00172ACE" w:rsidRPr="0062207D">
        <w:rPr>
          <w:rFonts w:ascii="Segoe UI" w:hAnsi="Segoe UI" w:cs="Segoe UI"/>
          <w:szCs w:val="20"/>
        </w:rPr>
        <w:t>alutato</w:t>
      </w:r>
      <w:r w:rsidRPr="0062207D">
        <w:rPr>
          <w:rFonts w:ascii="Segoe UI" w:hAnsi="Segoe UI" w:cs="Segoe UI"/>
          <w:szCs w:val="20"/>
        </w:rPr>
        <w:t xml:space="preserve">, generalmente, in </w:t>
      </w:r>
      <w:r w:rsidR="00172ACE" w:rsidRPr="0062207D">
        <w:rPr>
          <w:rFonts w:ascii="Segoe UI" w:hAnsi="Segoe UI" w:cs="Segoe UI"/>
          <w:szCs w:val="20"/>
        </w:rPr>
        <w:t>funzione delle seguenti variabili</w:t>
      </w:r>
      <w:r w:rsidRPr="0062207D">
        <w:rPr>
          <w:rFonts w:ascii="Segoe UI" w:hAnsi="Segoe UI" w:cs="Segoe UI"/>
          <w:szCs w:val="20"/>
        </w:rPr>
        <w:t>: volume di produzione</w:t>
      </w:r>
      <w:r w:rsidR="00172ACE" w:rsidRPr="0062207D">
        <w:rPr>
          <w:rFonts w:ascii="Segoe UI" w:hAnsi="Segoe UI" w:cs="Segoe UI"/>
          <w:szCs w:val="20"/>
        </w:rPr>
        <w:t>;</w:t>
      </w:r>
      <w:r w:rsidRPr="0062207D">
        <w:rPr>
          <w:rFonts w:ascii="Segoe UI" w:hAnsi="Segoe UI" w:cs="Segoe UI"/>
          <w:szCs w:val="20"/>
        </w:rPr>
        <w:t xml:space="preserve"> efficienza</w:t>
      </w:r>
      <w:r w:rsidR="00172ACE" w:rsidRPr="0062207D">
        <w:rPr>
          <w:rFonts w:ascii="Segoe UI" w:hAnsi="Segoe UI" w:cs="Segoe UI"/>
          <w:szCs w:val="20"/>
        </w:rPr>
        <w:t>;</w:t>
      </w:r>
      <w:r w:rsidRPr="0062207D">
        <w:rPr>
          <w:rFonts w:ascii="Segoe UI" w:hAnsi="Segoe UI" w:cs="Segoe UI"/>
          <w:szCs w:val="20"/>
        </w:rPr>
        <w:t xml:space="preserve"> </w:t>
      </w:r>
      <w:r w:rsidRPr="00C6270D">
        <w:rPr>
          <w:rFonts w:ascii="Segoe UI" w:hAnsi="Segoe UI" w:cs="Segoe UI"/>
          <w:i/>
          <w:szCs w:val="20"/>
        </w:rPr>
        <w:t>performance</w:t>
      </w:r>
      <w:r w:rsidRPr="0062207D">
        <w:rPr>
          <w:rFonts w:ascii="Segoe UI" w:hAnsi="Segoe UI" w:cs="Segoe UI"/>
          <w:szCs w:val="20"/>
        </w:rPr>
        <w:t xml:space="preserve"> sulla sicurezza</w:t>
      </w:r>
      <w:r w:rsidR="00172ACE" w:rsidRPr="0062207D">
        <w:rPr>
          <w:rFonts w:ascii="Segoe UI" w:hAnsi="Segoe UI" w:cs="Segoe UI"/>
          <w:szCs w:val="20"/>
        </w:rPr>
        <w:t>;</w:t>
      </w:r>
      <w:r w:rsidRPr="0062207D">
        <w:rPr>
          <w:rFonts w:ascii="Segoe UI" w:hAnsi="Segoe UI" w:cs="Segoe UI"/>
          <w:szCs w:val="20"/>
        </w:rPr>
        <w:t xml:space="preserve"> tasso di abbandono dei clienti.</w:t>
      </w:r>
    </w:p>
    <w:p w14:paraId="4F33DE35" w14:textId="7EB40D1A" w:rsidR="00F270C0" w:rsidRPr="0062207D" w:rsidRDefault="007F1EC1" w:rsidP="00C23330">
      <w:pPr>
        <w:keepNext/>
        <w:keepLines/>
        <w:autoSpaceDE w:val="0"/>
        <w:autoSpaceDN w:val="0"/>
        <w:adjustRightInd w:val="0"/>
        <w:spacing w:before="120" w:after="120" w:line="240" w:lineRule="auto"/>
        <w:jc w:val="both"/>
        <w:rPr>
          <w:rFonts w:ascii="Segoe UI" w:hAnsi="Segoe UI" w:cs="Segoe UI"/>
          <w:szCs w:val="20"/>
        </w:rPr>
      </w:pPr>
      <w:r>
        <w:rPr>
          <w:rFonts w:ascii="Segoe UI" w:hAnsi="Segoe UI" w:cs="Segoe UI"/>
          <w:szCs w:val="20"/>
        </w:rPr>
        <w:t xml:space="preserve">L’IR </w:t>
      </w:r>
      <w:r w:rsidR="00922E05" w:rsidRPr="00922E05">
        <w:rPr>
          <w:rFonts w:ascii="Segoe UI" w:hAnsi="Segoe UI" w:cs="Segoe UI"/>
          <w:szCs w:val="20"/>
        </w:rPr>
        <w:t>Framework</w:t>
      </w:r>
      <w:r w:rsidR="00F270C0" w:rsidRPr="0062207D">
        <w:rPr>
          <w:rFonts w:ascii="Segoe UI" w:hAnsi="Segoe UI" w:cs="Segoe UI"/>
          <w:szCs w:val="20"/>
        </w:rPr>
        <w:t xml:space="preserve"> 1.0 identifica</w:t>
      </w:r>
      <w:r w:rsidR="00172ACE" w:rsidRPr="0062207D">
        <w:rPr>
          <w:rFonts w:ascii="Segoe UI" w:hAnsi="Segoe UI" w:cs="Segoe UI"/>
          <w:szCs w:val="20"/>
        </w:rPr>
        <w:t>,</w:t>
      </w:r>
      <w:r w:rsidR="00F270C0" w:rsidRPr="0062207D">
        <w:rPr>
          <w:rFonts w:ascii="Segoe UI" w:hAnsi="Segoe UI" w:cs="Segoe UI"/>
          <w:szCs w:val="20"/>
        </w:rPr>
        <w:t xml:space="preserve"> tra gli effetti rilevanti</w:t>
      </w:r>
      <w:r w:rsidR="00172ACE" w:rsidRPr="0062207D">
        <w:rPr>
          <w:rFonts w:ascii="Segoe UI" w:hAnsi="Segoe UI" w:cs="Segoe UI"/>
          <w:szCs w:val="20"/>
        </w:rPr>
        <w:t>,</w:t>
      </w:r>
      <w:r w:rsidR="00F270C0" w:rsidRPr="0062207D">
        <w:rPr>
          <w:rFonts w:ascii="Segoe UI" w:hAnsi="Segoe UI" w:cs="Segoe UI"/>
          <w:szCs w:val="20"/>
        </w:rPr>
        <w:t xml:space="preserve"> anche:</w:t>
      </w:r>
    </w:p>
    <w:p w14:paraId="13E06EC6" w14:textId="30344993"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 xml:space="preserve">l’effetto sulla reputazione, che si ottiene quando </w:t>
      </w:r>
      <w:r w:rsidR="00172ACE" w:rsidRPr="0062207D">
        <w:rPr>
          <w:rFonts w:ascii="Segoe UI" w:hAnsi="Segoe UI" w:cs="Segoe UI"/>
          <w:szCs w:val="20"/>
        </w:rPr>
        <w:t>un</w:t>
      </w:r>
      <w:r w:rsidRPr="0062207D">
        <w:rPr>
          <w:rFonts w:ascii="Segoe UI" w:hAnsi="Segoe UI" w:cs="Segoe UI"/>
          <w:szCs w:val="20"/>
        </w:rPr>
        <w:t xml:space="preserve">’iniziativa o </w:t>
      </w:r>
      <w:r w:rsidR="00172ACE" w:rsidRPr="0062207D">
        <w:rPr>
          <w:rFonts w:ascii="Segoe UI" w:hAnsi="Segoe UI" w:cs="Segoe UI"/>
          <w:szCs w:val="20"/>
        </w:rPr>
        <w:t xml:space="preserve">un </w:t>
      </w:r>
      <w:r w:rsidRPr="0062207D">
        <w:rPr>
          <w:rFonts w:ascii="Segoe UI" w:hAnsi="Segoe UI" w:cs="Segoe UI"/>
          <w:szCs w:val="20"/>
        </w:rPr>
        <w:t>evento (come</w:t>
      </w:r>
      <w:r w:rsidR="00172ACE" w:rsidRPr="0062207D">
        <w:rPr>
          <w:rFonts w:ascii="Segoe UI" w:hAnsi="Segoe UI" w:cs="Segoe UI"/>
          <w:szCs w:val="20"/>
        </w:rPr>
        <w:t>,</w:t>
      </w:r>
      <w:r w:rsidRPr="0062207D">
        <w:rPr>
          <w:rFonts w:ascii="Segoe UI" w:hAnsi="Segoe UI" w:cs="Segoe UI"/>
          <w:szCs w:val="20"/>
        </w:rPr>
        <w:t xml:space="preserve"> ad esempio</w:t>
      </w:r>
      <w:r w:rsidR="00172ACE" w:rsidRPr="0062207D">
        <w:rPr>
          <w:rFonts w:ascii="Segoe UI" w:hAnsi="Segoe UI" w:cs="Segoe UI"/>
          <w:szCs w:val="20"/>
        </w:rPr>
        <w:t>,</w:t>
      </w:r>
      <w:r w:rsidRPr="0062207D">
        <w:rPr>
          <w:rFonts w:ascii="Segoe UI" w:hAnsi="Segoe UI" w:cs="Segoe UI"/>
          <w:szCs w:val="20"/>
        </w:rPr>
        <w:t xml:space="preserve"> </w:t>
      </w:r>
      <w:r w:rsidR="00172ACE" w:rsidRPr="0062207D">
        <w:rPr>
          <w:rFonts w:ascii="Segoe UI" w:hAnsi="Segoe UI" w:cs="Segoe UI"/>
          <w:szCs w:val="20"/>
        </w:rPr>
        <w:t>un’</w:t>
      </w:r>
      <w:r w:rsidRPr="0062207D">
        <w:rPr>
          <w:rFonts w:ascii="Segoe UI" w:hAnsi="Segoe UI" w:cs="Segoe UI"/>
          <w:szCs w:val="20"/>
        </w:rPr>
        <w:t>attività di beneficienza) migliorano o peggiorano l’immagine dell’organizzazione</w:t>
      </w:r>
      <w:r w:rsidR="00172ACE" w:rsidRPr="0062207D">
        <w:rPr>
          <w:rFonts w:ascii="Segoe UI" w:hAnsi="Segoe UI" w:cs="Segoe UI"/>
          <w:szCs w:val="20"/>
        </w:rPr>
        <w:t xml:space="preserve"> o </w:t>
      </w:r>
      <w:r w:rsidRPr="0062207D">
        <w:rPr>
          <w:rFonts w:ascii="Segoe UI" w:hAnsi="Segoe UI" w:cs="Segoe UI"/>
          <w:szCs w:val="20"/>
        </w:rPr>
        <w:t>del marchio</w:t>
      </w:r>
      <w:r w:rsidR="00172ACE" w:rsidRPr="0062207D">
        <w:rPr>
          <w:rFonts w:ascii="Segoe UI" w:hAnsi="Segoe UI" w:cs="Segoe UI"/>
          <w:szCs w:val="20"/>
        </w:rPr>
        <w:t xml:space="preserve">, </w:t>
      </w:r>
      <w:r w:rsidRPr="0062207D">
        <w:rPr>
          <w:rFonts w:ascii="Segoe UI" w:hAnsi="Segoe UI" w:cs="Segoe UI"/>
          <w:szCs w:val="20"/>
        </w:rPr>
        <w:t xml:space="preserve">o la </w:t>
      </w:r>
      <w:r w:rsidR="00172ACE" w:rsidRPr="0062207D">
        <w:rPr>
          <w:rFonts w:ascii="Segoe UI" w:hAnsi="Segoe UI" w:cs="Segoe UI"/>
          <w:szCs w:val="20"/>
        </w:rPr>
        <w:t xml:space="preserve">legittimazione </w:t>
      </w:r>
      <w:r w:rsidRPr="0062207D">
        <w:rPr>
          <w:rFonts w:ascii="Segoe UI" w:hAnsi="Segoe UI" w:cs="Segoe UI"/>
          <w:szCs w:val="20"/>
        </w:rPr>
        <w:t xml:space="preserve">sociale </w:t>
      </w:r>
      <w:r w:rsidR="00172ACE" w:rsidRPr="0062207D">
        <w:rPr>
          <w:rFonts w:ascii="Segoe UI" w:hAnsi="Segoe UI" w:cs="Segoe UI"/>
          <w:szCs w:val="20"/>
        </w:rPr>
        <w:t>a</w:t>
      </w:r>
      <w:r w:rsidRPr="0062207D">
        <w:rPr>
          <w:rFonts w:ascii="Segoe UI" w:hAnsi="Segoe UI" w:cs="Segoe UI"/>
          <w:szCs w:val="20"/>
        </w:rPr>
        <w:t>d operare;</w:t>
      </w:r>
    </w:p>
    <w:p w14:paraId="24065B67" w14:textId="0769586D"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l’effetto sulla regolamentazione, includendo gli effetti della violazione della legge o l’introduzione di nuove leggi e regolamentazioni (ad esempio</w:t>
      </w:r>
      <w:r w:rsidR="00172ACE" w:rsidRPr="0062207D">
        <w:rPr>
          <w:rFonts w:ascii="Segoe UI" w:hAnsi="Segoe UI" w:cs="Segoe UI"/>
          <w:szCs w:val="20"/>
        </w:rPr>
        <w:t>,</w:t>
      </w:r>
      <w:r w:rsidRPr="0062207D">
        <w:rPr>
          <w:rFonts w:ascii="Segoe UI" w:hAnsi="Segoe UI" w:cs="Segoe UI"/>
          <w:szCs w:val="20"/>
        </w:rPr>
        <w:t xml:space="preserve"> violazioni della legge dal pu</w:t>
      </w:r>
      <w:r w:rsidR="00172ACE" w:rsidRPr="0062207D">
        <w:rPr>
          <w:rFonts w:ascii="Segoe UI" w:hAnsi="Segoe UI" w:cs="Segoe UI"/>
          <w:szCs w:val="20"/>
        </w:rPr>
        <w:t>n</w:t>
      </w:r>
      <w:r w:rsidRPr="0062207D">
        <w:rPr>
          <w:rFonts w:ascii="Segoe UI" w:hAnsi="Segoe UI" w:cs="Segoe UI"/>
          <w:szCs w:val="20"/>
        </w:rPr>
        <w:t>to di vista civile e</w:t>
      </w:r>
      <w:r w:rsidR="00172ACE" w:rsidRPr="0062207D">
        <w:rPr>
          <w:rFonts w:ascii="Segoe UI" w:hAnsi="Segoe UI" w:cs="Segoe UI"/>
          <w:szCs w:val="20"/>
        </w:rPr>
        <w:t>/o</w:t>
      </w:r>
      <w:r w:rsidRPr="0062207D">
        <w:rPr>
          <w:rFonts w:ascii="Segoe UI" w:hAnsi="Segoe UI" w:cs="Segoe UI"/>
          <w:szCs w:val="20"/>
        </w:rPr>
        <w:t xml:space="preserve"> penale o requisiti più stringenti per le emissioni).</w:t>
      </w:r>
    </w:p>
    <w:p w14:paraId="22ED3E1C" w14:textId="152D2324" w:rsidR="00F270C0" w:rsidRPr="0062207D" w:rsidRDefault="00F270C0" w:rsidP="00C23330">
      <w:pPr>
        <w:keepNext/>
        <w:keepLines/>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Sempre con </w:t>
      </w:r>
      <w:r w:rsidR="00172ACE" w:rsidRPr="0062207D">
        <w:rPr>
          <w:rFonts w:ascii="Segoe UI" w:hAnsi="Segoe UI" w:cs="Segoe UI"/>
          <w:szCs w:val="20"/>
        </w:rPr>
        <w:t xml:space="preserve">riguardo </w:t>
      </w:r>
      <w:r w:rsidRPr="0062207D">
        <w:rPr>
          <w:rFonts w:ascii="Segoe UI" w:hAnsi="Segoe UI" w:cs="Segoe UI"/>
          <w:szCs w:val="20"/>
        </w:rPr>
        <w:t xml:space="preserve">alla fase di valutazione degli aspetti rilevanti, nell’ambito della </w:t>
      </w:r>
      <w:r w:rsidR="00172ACE" w:rsidRPr="0062207D">
        <w:rPr>
          <w:rFonts w:ascii="Segoe UI" w:hAnsi="Segoe UI" w:cs="Segoe UI"/>
          <w:szCs w:val="20"/>
        </w:rPr>
        <w:t>loro considerazione/</w:t>
      </w:r>
      <w:r w:rsidRPr="0062207D">
        <w:rPr>
          <w:rFonts w:ascii="Segoe UI" w:hAnsi="Segoe UI" w:cs="Segoe UI"/>
          <w:szCs w:val="20"/>
        </w:rPr>
        <w:t>misurazione</w:t>
      </w:r>
      <w:r w:rsidR="006564CC">
        <w:rPr>
          <w:rFonts w:ascii="Segoe UI" w:hAnsi="Segoe UI" w:cs="Segoe UI"/>
          <w:szCs w:val="20"/>
        </w:rPr>
        <w:t>,</w:t>
      </w:r>
      <w:r w:rsidR="00596DC6">
        <w:rPr>
          <w:rFonts w:ascii="Segoe UI" w:hAnsi="Segoe UI" w:cs="Segoe UI"/>
          <w:szCs w:val="20"/>
        </w:rPr>
        <w:t xml:space="preserve"> </w:t>
      </w:r>
      <w:r w:rsidRPr="0062207D">
        <w:rPr>
          <w:rFonts w:ascii="Segoe UI" w:hAnsi="Segoe UI" w:cs="Segoe UI"/>
          <w:szCs w:val="20"/>
        </w:rPr>
        <w:t>l’IIRC distingue tra:</w:t>
      </w:r>
    </w:p>
    <w:p w14:paraId="02747ACA" w14:textId="37C0A918"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effetto interno: relativo all’efficienza organizzativa e alla capacità dell’organizzazione di continuare ad operare nel lungo periodo (ad esempio</w:t>
      </w:r>
      <w:r w:rsidR="00172ACE" w:rsidRPr="0062207D">
        <w:rPr>
          <w:rFonts w:ascii="Segoe UI" w:hAnsi="Segoe UI" w:cs="Segoe UI"/>
          <w:szCs w:val="20"/>
        </w:rPr>
        <w:t>, l’</w:t>
      </w:r>
      <w:r w:rsidRPr="0062207D">
        <w:rPr>
          <w:rFonts w:ascii="Segoe UI" w:hAnsi="Segoe UI" w:cs="Segoe UI"/>
          <w:szCs w:val="20"/>
        </w:rPr>
        <w:t>introduzione di una nuova tecnologia che increment</w:t>
      </w:r>
      <w:r w:rsidR="00172ACE" w:rsidRPr="0062207D">
        <w:rPr>
          <w:rFonts w:ascii="Segoe UI" w:hAnsi="Segoe UI" w:cs="Segoe UI"/>
          <w:szCs w:val="20"/>
        </w:rPr>
        <w:t>i</w:t>
      </w:r>
      <w:r w:rsidRPr="0062207D">
        <w:rPr>
          <w:rFonts w:ascii="Segoe UI" w:hAnsi="Segoe UI" w:cs="Segoe UI"/>
          <w:szCs w:val="20"/>
        </w:rPr>
        <w:t xml:space="preserve"> l’efficienza o </w:t>
      </w:r>
      <w:r w:rsidR="00172ACE" w:rsidRPr="0062207D">
        <w:rPr>
          <w:rFonts w:ascii="Segoe UI" w:hAnsi="Segoe UI" w:cs="Segoe UI"/>
          <w:szCs w:val="20"/>
        </w:rPr>
        <w:t>la riduzione de</w:t>
      </w:r>
      <w:r w:rsidRPr="0062207D">
        <w:rPr>
          <w:rFonts w:ascii="Segoe UI" w:hAnsi="Segoe UI" w:cs="Segoe UI"/>
          <w:szCs w:val="20"/>
        </w:rPr>
        <w:t>i tempi di produzione derivanti da novità produttive di qualsiasi genere);</w:t>
      </w:r>
    </w:p>
    <w:p w14:paraId="499736DA" w14:textId="7E53D7C8"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effetto esterno: relativo ad impatti che va</w:t>
      </w:r>
      <w:r w:rsidR="00172ACE" w:rsidRPr="0062207D">
        <w:rPr>
          <w:rFonts w:ascii="Segoe UI" w:hAnsi="Segoe UI" w:cs="Segoe UI"/>
          <w:szCs w:val="20"/>
        </w:rPr>
        <w:t xml:space="preserve">dano </w:t>
      </w:r>
      <w:r w:rsidRPr="0062207D">
        <w:rPr>
          <w:rFonts w:ascii="Segoe UI" w:hAnsi="Segoe UI" w:cs="Segoe UI"/>
          <w:szCs w:val="20"/>
        </w:rPr>
        <w:t>oltre l’organizzazione stessa e modific</w:t>
      </w:r>
      <w:r w:rsidR="00172ACE" w:rsidRPr="0062207D">
        <w:rPr>
          <w:rFonts w:ascii="Segoe UI" w:hAnsi="Segoe UI" w:cs="Segoe UI"/>
          <w:szCs w:val="20"/>
        </w:rPr>
        <w:t>hino</w:t>
      </w:r>
      <w:r w:rsidRPr="0062207D">
        <w:rPr>
          <w:rFonts w:ascii="Segoe UI" w:hAnsi="Segoe UI" w:cs="Segoe UI"/>
          <w:szCs w:val="20"/>
        </w:rPr>
        <w:t xml:space="preserve"> le percezioni degli </w:t>
      </w:r>
      <w:r w:rsidRPr="00F03CD2">
        <w:rPr>
          <w:rFonts w:ascii="Segoe UI" w:hAnsi="Segoe UI" w:cs="Segoe UI"/>
          <w:i/>
          <w:szCs w:val="20"/>
        </w:rPr>
        <w:t>stakeholder</w:t>
      </w:r>
      <w:r w:rsidRPr="0062207D">
        <w:rPr>
          <w:rFonts w:ascii="Segoe UI" w:hAnsi="Segoe UI" w:cs="Segoe UI"/>
          <w:szCs w:val="20"/>
        </w:rPr>
        <w:t xml:space="preserve"> (ad esempio</w:t>
      </w:r>
      <w:r w:rsidR="00172ACE" w:rsidRPr="0062207D">
        <w:rPr>
          <w:rFonts w:ascii="Segoe UI" w:hAnsi="Segoe UI" w:cs="Segoe UI"/>
          <w:szCs w:val="20"/>
        </w:rPr>
        <w:t>,</w:t>
      </w:r>
      <w:r w:rsidRPr="0062207D">
        <w:rPr>
          <w:rFonts w:ascii="Segoe UI" w:hAnsi="Segoe UI" w:cs="Segoe UI"/>
          <w:szCs w:val="20"/>
        </w:rPr>
        <w:t xml:space="preserve"> </w:t>
      </w:r>
      <w:r w:rsidR="00172ACE" w:rsidRPr="0062207D">
        <w:rPr>
          <w:rFonts w:ascii="Segoe UI" w:hAnsi="Segoe UI" w:cs="Segoe UI"/>
          <w:szCs w:val="20"/>
        </w:rPr>
        <w:t xml:space="preserve">il </w:t>
      </w:r>
      <w:r w:rsidRPr="0062207D">
        <w:rPr>
          <w:rFonts w:ascii="Segoe UI" w:hAnsi="Segoe UI" w:cs="Segoe UI"/>
          <w:szCs w:val="20"/>
        </w:rPr>
        <w:t xml:space="preserve">degrado ambientale e/o </w:t>
      </w:r>
      <w:r w:rsidR="00172ACE" w:rsidRPr="0062207D">
        <w:rPr>
          <w:rFonts w:ascii="Segoe UI" w:hAnsi="Segoe UI" w:cs="Segoe UI"/>
          <w:szCs w:val="20"/>
        </w:rPr>
        <w:t xml:space="preserve">il </w:t>
      </w:r>
      <w:r w:rsidRPr="0062207D">
        <w:rPr>
          <w:rFonts w:ascii="Segoe UI" w:hAnsi="Segoe UI" w:cs="Segoe UI"/>
          <w:szCs w:val="20"/>
        </w:rPr>
        <w:t>miglioramento delle infrastrutture nella comunità, mediante programmi dedicati, possono cambiare la percezione pubblica e avere un impatto sull</w:t>
      </w:r>
      <w:r w:rsidR="00172ACE" w:rsidRPr="0062207D">
        <w:rPr>
          <w:rFonts w:ascii="Segoe UI" w:hAnsi="Segoe UI" w:cs="Segoe UI"/>
          <w:szCs w:val="20"/>
        </w:rPr>
        <w:t xml:space="preserve">e opportunità </w:t>
      </w:r>
      <w:r w:rsidRPr="0062207D">
        <w:rPr>
          <w:rFonts w:ascii="Segoe UI" w:hAnsi="Segoe UI" w:cs="Segoe UI"/>
          <w:szCs w:val="20"/>
        </w:rPr>
        <w:t>di accesso ai capitali da parte dell’organizzazione)</w:t>
      </w:r>
      <w:r w:rsidR="0054541C" w:rsidRPr="0062207D">
        <w:rPr>
          <w:rFonts w:ascii="Segoe UI" w:hAnsi="Segoe UI" w:cs="Segoe UI"/>
          <w:szCs w:val="20"/>
        </w:rPr>
        <w:t>.</w:t>
      </w:r>
    </w:p>
    <w:p w14:paraId="49202E20" w14:textId="50355FEA"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Con riferimento all’orizzonte temporale l’IIRC precisa che quest’ultimo può essere diverso a seconda del settore, del ciclo degli investimenti, degli obiettivi strategici e dei risultati attesi. Di conseguenza, non può definirsi un orizzonte temporale applicabile </w:t>
      </w:r>
      <w:r w:rsidR="00451F67">
        <w:rPr>
          <w:rFonts w:ascii="Segoe UI" w:hAnsi="Segoe UI" w:cs="Segoe UI"/>
          <w:szCs w:val="20"/>
        </w:rPr>
        <w:t xml:space="preserve">a </w:t>
      </w:r>
      <w:r w:rsidRPr="0062207D">
        <w:rPr>
          <w:rFonts w:ascii="Segoe UI" w:hAnsi="Segoe UI" w:cs="Segoe UI"/>
          <w:szCs w:val="20"/>
        </w:rPr>
        <w:t xml:space="preserve">tutti i settori. </w:t>
      </w:r>
      <w:r w:rsidR="001D13E8" w:rsidRPr="0062207D">
        <w:rPr>
          <w:rFonts w:ascii="Segoe UI" w:hAnsi="Segoe UI" w:cs="Segoe UI"/>
          <w:szCs w:val="20"/>
        </w:rPr>
        <w:t>Nell</w:t>
      </w:r>
      <w:r w:rsidRPr="0062207D">
        <w:rPr>
          <w:rFonts w:ascii="Segoe UI" w:hAnsi="Segoe UI" w:cs="Segoe UI"/>
          <w:szCs w:val="20"/>
        </w:rPr>
        <w:t xml:space="preserve">’industria mineraria, ad esempio, caratterizzata da una catena del valore piuttosto lunga, </w:t>
      </w:r>
      <w:r w:rsidR="001D13E8" w:rsidRPr="0062207D">
        <w:rPr>
          <w:rFonts w:ascii="Segoe UI" w:hAnsi="Segoe UI" w:cs="Segoe UI"/>
          <w:szCs w:val="20"/>
        </w:rPr>
        <w:t xml:space="preserve">possono essere necessari </w:t>
      </w:r>
      <w:r w:rsidRPr="0062207D">
        <w:rPr>
          <w:rFonts w:ascii="Segoe UI" w:hAnsi="Segoe UI" w:cs="Segoe UI"/>
          <w:szCs w:val="20"/>
        </w:rPr>
        <w:t xml:space="preserve">decenni per </w:t>
      </w:r>
      <w:r w:rsidR="001D13E8" w:rsidRPr="0062207D">
        <w:rPr>
          <w:rFonts w:ascii="Segoe UI" w:hAnsi="Segoe UI" w:cs="Segoe UI"/>
          <w:szCs w:val="20"/>
        </w:rPr>
        <w:t>registrare l’</w:t>
      </w:r>
      <w:r w:rsidRPr="0062207D">
        <w:rPr>
          <w:rFonts w:ascii="Segoe UI" w:hAnsi="Segoe UI" w:cs="Segoe UI"/>
          <w:szCs w:val="20"/>
        </w:rPr>
        <w:t>esplica</w:t>
      </w:r>
      <w:r w:rsidR="001D13E8" w:rsidRPr="0062207D">
        <w:rPr>
          <w:rFonts w:ascii="Segoe UI" w:hAnsi="Segoe UI" w:cs="Segoe UI"/>
          <w:szCs w:val="20"/>
        </w:rPr>
        <w:t xml:space="preserve">zione di un </w:t>
      </w:r>
      <w:r w:rsidRPr="0062207D">
        <w:rPr>
          <w:rFonts w:ascii="Segoe UI" w:hAnsi="Segoe UI" w:cs="Segoe UI"/>
          <w:szCs w:val="20"/>
        </w:rPr>
        <w:t xml:space="preserve">effetto </w:t>
      </w:r>
      <w:r w:rsidR="001D13E8" w:rsidRPr="0062207D">
        <w:rPr>
          <w:rFonts w:ascii="Segoe UI" w:hAnsi="Segoe UI" w:cs="Segoe UI"/>
          <w:szCs w:val="20"/>
        </w:rPr>
        <w:t xml:space="preserve">generato </w:t>
      </w:r>
      <w:r w:rsidRPr="0062207D">
        <w:rPr>
          <w:rFonts w:ascii="Segoe UI" w:hAnsi="Segoe UI" w:cs="Segoe UI"/>
          <w:szCs w:val="20"/>
        </w:rPr>
        <w:t>d</w:t>
      </w:r>
      <w:r w:rsidR="001D13E8" w:rsidRPr="0062207D">
        <w:rPr>
          <w:rFonts w:ascii="Segoe UI" w:hAnsi="Segoe UI" w:cs="Segoe UI"/>
          <w:szCs w:val="20"/>
        </w:rPr>
        <w:t>a</w:t>
      </w:r>
      <w:r w:rsidRPr="0062207D">
        <w:rPr>
          <w:rFonts w:ascii="Segoe UI" w:hAnsi="Segoe UI" w:cs="Segoe UI"/>
          <w:szCs w:val="20"/>
        </w:rPr>
        <w:t xml:space="preserve"> un aspetto rilevante. </w:t>
      </w:r>
      <w:r w:rsidR="001D13E8" w:rsidRPr="0062207D">
        <w:rPr>
          <w:rFonts w:ascii="Segoe UI" w:hAnsi="Segoe UI" w:cs="Segoe UI"/>
          <w:szCs w:val="20"/>
        </w:rPr>
        <w:t>D’altro canto</w:t>
      </w:r>
      <w:r w:rsidRPr="0062207D">
        <w:rPr>
          <w:rFonts w:ascii="Segoe UI" w:hAnsi="Segoe UI" w:cs="Segoe UI"/>
          <w:szCs w:val="20"/>
        </w:rPr>
        <w:t>, i</w:t>
      </w:r>
      <w:r w:rsidR="001D13E8" w:rsidRPr="0062207D">
        <w:rPr>
          <w:rFonts w:ascii="Segoe UI" w:hAnsi="Segoe UI" w:cs="Segoe UI"/>
          <w:szCs w:val="20"/>
        </w:rPr>
        <w:t>n</w:t>
      </w:r>
      <w:r w:rsidRPr="0062207D">
        <w:rPr>
          <w:rFonts w:ascii="Segoe UI" w:hAnsi="Segoe UI" w:cs="Segoe UI"/>
          <w:szCs w:val="20"/>
        </w:rPr>
        <w:t xml:space="preserve"> settori più innovati, come</w:t>
      </w:r>
      <w:r w:rsidR="00CC3C3B">
        <w:rPr>
          <w:rFonts w:ascii="Segoe UI" w:hAnsi="Segoe UI" w:cs="Segoe UI"/>
          <w:szCs w:val="20"/>
        </w:rPr>
        <w:t>,</w:t>
      </w:r>
      <w:r w:rsidRPr="0062207D">
        <w:rPr>
          <w:rFonts w:ascii="Segoe UI" w:hAnsi="Segoe UI" w:cs="Segoe UI"/>
          <w:szCs w:val="20"/>
        </w:rPr>
        <w:t xml:space="preserve"> ad esempio</w:t>
      </w:r>
      <w:r w:rsidR="00CC3C3B">
        <w:rPr>
          <w:rFonts w:ascii="Segoe UI" w:hAnsi="Segoe UI" w:cs="Segoe UI"/>
          <w:szCs w:val="20"/>
        </w:rPr>
        <w:t>,</w:t>
      </w:r>
      <w:r w:rsidRPr="0062207D">
        <w:rPr>
          <w:rFonts w:ascii="Segoe UI" w:hAnsi="Segoe UI" w:cs="Segoe UI"/>
          <w:szCs w:val="20"/>
        </w:rPr>
        <w:t xml:space="preserve"> le telecomunicazioni o lo sviluppo di </w:t>
      </w:r>
      <w:r w:rsidRPr="00655DF9">
        <w:rPr>
          <w:rFonts w:ascii="Segoe UI" w:hAnsi="Segoe UI" w:cs="Segoe UI"/>
          <w:i/>
          <w:szCs w:val="20"/>
        </w:rPr>
        <w:t>software</w:t>
      </w:r>
      <w:r w:rsidRPr="0062207D">
        <w:rPr>
          <w:rFonts w:ascii="Segoe UI" w:hAnsi="Segoe UI" w:cs="Segoe UI"/>
          <w:szCs w:val="20"/>
        </w:rPr>
        <w:t>, generalmente caratterizzat</w:t>
      </w:r>
      <w:r w:rsidR="001D13E8" w:rsidRPr="0062207D">
        <w:rPr>
          <w:rFonts w:ascii="Segoe UI" w:hAnsi="Segoe UI" w:cs="Segoe UI"/>
          <w:szCs w:val="20"/>
        </w:rPr>
        <w:t>i</w:t>
      </w:r>
      <w:r w:rsidRPr="0062207D">
        <w:rPr>
          <w:rFonts w:ascii="Segoe UI" w:hAnsi="Segoe UI" w:cs="Segoe UI"/>
          <w:szCs w:val="20"/>
        </w:rPr>
        <w:t xml:space="preserve"> da pianificazione e ciclo degli investimenti di breve periodo, </w:t>
      </w:r>
      <w:r w:rsidR="001D13E8" w:rsidRPr="0062207D">
        <w:rPr>
          <w:rFonts w:ascii="Segoe UI" w:hAnsi="Segoe UI" w:cs="Segoe UI"/>
          <w:szCs w:val="20"/>
        </w:rPr>
        <w:t xml:space="preserve">gli effetti di un aspetto considerato rilevante </w:t>
      </w:r>
      <w:r w:rsidRPr="0062207D">
        <w:rPr>
          <w:rFonts w:ascii="Segoe UI" w:hAnsi="Segoe UI" w:cs="Segoe UI"/>
          <w:szCs w:val="20"/>
        </w:rPr>
        <w:t>po</w:t>
      </w:r>
      <w:r w:rsidR="001D13E8" w:rsidRPr="0062207D">
        <w:rPr>
          <w:rFonts w:ascii="Segoe UI" w:hAnsi="Segoe UI" w:cs="Segoe UI"/>
          <w:szCs w:val="20"/>
        </w:rPr>
        <w:t xml:space="preserve">trebbero esplicitarsi </w:t>
      </w:r>
      <w:r w:rsidRPr="0062207D">
        <w:rPr>
          <w:rFonts w:ascii="Segoe UI" w:hAnsi="Segoe UI" w:cs="Segoe UI"/>
          <w:szCs w:val="20"/>
        </w:rPr>
        <w:t xml:space="preserve">anche </w:t>
      </w:r>
      <w:r w:rsidR="001D13E8" w:rsidRPr="0062207D">
        <w:rPr>
          <w:rFonts w:ascii="Segoe UI" w:hAnsi="Segoe UI" w:cs="Segoe UI"/>
          <w:szCs w:val="20"/>
        </w:rPr>
        <w:t xml:space="preserve">in </w:t>
      </w:r>
      <w:r w:rsidRPr="0062207D">
        <w:rPr>
          <w:rFonts w:ascii="Segoe UI" w:hAnsi="Segoe UI" w:cs="Segoe UI"/>
          <w:szCs w:val="20"/>
        </w:rPr>
        <w:t>pochi mesi</w:t>
      </w:r>
      <w:r w:rsidR="001D13E8" w:rsidRPr="0062207D">
        <w:rPr>
          <w:rFonts w:ascii="Segoe UI" w:hAnsi="Segoe UI" w:cs="Segoe UI"/>
          <w:szCs w:val="20"/>
        </w:rPr>
        <w:t xml:space="preserve"> (o addirittura in poche settimane)</w:t>
      </w:r>
      <w:r w:rsidRPr="0062207D">
        <w:rPr>
          <w:rFonts w:ascii="Segoe UI" w:hAnsi="Segoe UI" w:cs="Segoe UI"/>
          <w:szCs w:val="20"/>
        </w:rPr>
        <w:t>.</w:t>
      </w:r>
    </w:p>
    <w:p w14:paraId="729665CD" w14:textId="353EC858" w:rsidR="00F270C0" w:rsidRPr="0062207D" w:rsidRDefault="00F270C0" w:rsidP="00C23330">
      <w:pPr>
        <w:keepNext/>
        <w:keepLines/>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In considerazione di </w:t>
      </w:r>
      <w:r w:rsidR="00451F67">
        <w:rPr>
          <w:rFonts w:ascii="Segoe UI" w:hAnsi="Segoe UI" w:cs="Segoe UI"/>
          <w:szCs w:val="20"/>
        </w:rPr>
        <w:t>tali circostanze</w:t>
      </w:r>
      <w:r w:rsidRPr="0062207D">
        <w:rPr>
          <w:rFonts w:ascii="Segoe UI" w:hAnsi="Segoe UI" w:cs="Segoe UI"/>
          <w:szCs w:val="20"/>
        </w:rPr>
        <w:t>,</w:t>
      </w:r>
      <w:r w:rsidR="00451F67">
        <w:rPr>
          <w:rFonts w:ascii="Segoe UI" w:hAnsi="Segoe UI" w:cs="Segoe UI"/>
          <w:szCs w:val="20"/>
        </w:rPr>
        <w:t xml:space="preserve"> </w:t>
      </w:r>
      <w:r w:rsidRPr="0062207D">
        <w:rPr>
          <w:rFonts w:ascii="Segoe UI" w:hAnsi="Segoe UI" w:cs="Segoe UI"/>
          <w:szCs w:val="20"/>
        </w:rPr>
        <w:t>l’I</w:t>
      </w:r>
      <w:r w:rsidR="001D13E8" w:rsidRPr="0062207D">
        <w:rPr>
          <w:rFonts w:ascii="Segoe UI" w:hAnsi="Segoe UI" w:cs="Segoe UI"/>
          <w:szCs w:val="20"/>
        </w:rPr>
        <w:t>I</w:t>
      </w:r>
      <w:r w:rsidRPr="0062207D">
        <w:rPr>
          <w:rFonts w:ascii="Segoe UI" w:hAnsi="Segoe UI" w:cs="Segoe UI"/>
          <w:szCs w:val="20"/>
        </w:rPr>
        <w:t xml:space="preserve">RC </w:t>
      </w:r>
      <w:r w:rsidR="001D13E8" w:rsidRPr="0062207D">
        <w:rPr>
          <w:rFonts w:ascii="Segoe UI" w:hAnsi="Segoe UI" w:cs="Segoe UI"/>
          <w:szCs w:val="20"/>
        </w:rPr>
        <w:t>distingue</w:t>
      </w:r>
      <w:r w:rsidRPr="0062207D">
        <w:rPr>
          <w:rFonts w:ascii="Segoe UI" w:hAnsi="Segoe UI" w:cs="Segoe UI"/>
          <w:szCs w:val="20"/>
        </w:rPr>
        <w:t>:</w:t>
      </w:r>
    </w:p>
    <w:p w14:paraId="0ECC640F" w14:textId="725720A8"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effetti di breve periodo, includendo</w:t>
      </w:r>
      <w:r w:rsidR="001D13E8" w:rsidRPr="0062207D">
        <w:rPr>
          <w:rFonts w:ascii="Segoe UI" w:hAnsi="Segoe UI" w:cs="Segoe UI"/>
          <w:szCs w:val="20"/>
        </w:rPr>
        <w:t xml:space="preserve">vi anche gli </w:t>
      </w:r>
      <w:r w:rsidRPr="0062207D">
        <w:rPr>
          <w:rFonts w:ascii="Segoe UI" w:hAnsi="Segoe UI" w:cs="Segoe UI"/>
          <w:szCs w:val="20"/>
        </w:rPr>
        <w:t>effetti immediati, e gli impatti immediati degli eventi, come</w:t>
      </w:r>
      <w:r w:rsidR="001D13E8" w:rsidRPr="0062207D">
        <w:rPr>
          <w:rFonts w:ascii="Segoe UI" w:hAnsi="Segoe UI" w:cs="Segoe UI"/>
          <w:szCs w:val="20"/>
        </w:rPr>
        <w:t>,</w:t>
      </w:r>
      <w:r w:rsidRPr="0062207D">
        <w:rPr>
          <w:rFonts w:ascii="Segoe UI" w:hAnsi="Segoe UI" w:cs="Segoe UI"/>
          <w:szCs w:val="20"/>
        </w:rPr>
        <w:t xml:space="preserve"> ad esempio</w:t>
      </w:r>
      <w:r w:rsidR="001D13E8" w:rsidRPr="0062207D">
        <w:rPr>
          <w:rFonts w:ascii="Segoe UI" w:hAnsi="Segoe UI" w:cs="Segoe UI"/>
          <w:szCs w:val="20"/>
        </w:rPr>
        <w:t>,</w:t>
      </w:r>
      <w:r w:rsidRPr="0062207D">
        <w:rPr>
          <w:rFonts w:ascii="Segoe UI" w:hAnsi="Segoe UI" w:cs="Segoe UI"/>
          <w:szCs w:val="20"/>
        </w:rPr>
        <w:t xml:space="preserve"> quelli </w:t>
      </w:r>
      <w:r w:rsidR="001D13E8" w:rsidRPr="0062207D">
        <w:rPr>
          <w:rFonts w:ascii="Segoe UI" w:hAnsi="Segoe UI" w:cs="Segoe UI"/>
          <w:szCs w:val="20"/>
        </w:rPr>
        <w:t xml:space="preserve">generati </w:t>
      </w:r>
      <w:r w:rsidRPr="0062207D">
        <w:rPr>
          <w:rFonts w:ascii="Segoe UI" w:hAnsi="Segoe UI" w:cs="Segoe UI"/>
          <w:szCs w:val="20"/>
        </w:rPr>
        <w:t xml:space="preserve">dalle infrazioni sulla salute e </w:t>
      </w:r>
      <w:r w:rsidR="00CC3C3B">
        <w:rPr>
          <w:rFonts w:ascii="Segoe UI" w:hAnsi="Segoe UI" w:cs="Segoe UI"/>
          <w:szCs w:val="20"/>
        </w:rPr>
        <w:t xml:space="preserve">sulla </w:t>
      </w:r>
      <w:r w:rsidRPr="0062207D">
        <w:rPr>
          <w:rFonts w:ascii="Segoe UI" w:hAnsi="Segoe UI" w:cs="Segoe UI"/>
          <w:szCs w:val="20"/>
        </w:rPr>
        <w:t>sicurezza</w:t>
      </w:r>
      <w:r w:rsidR="00CC3C3B">
        <w:rPr>
          <w:rFonts w:ascii="Segoe UI" w:hAnsi="Segoe UI" w:cs="Segoe UI"/>
          <w:szCs w:val="20"/>
        </w:rPr>
        <w:t>; p</w:t>
      </w:r>
      <w:r w:rsidRPr="0062207D">
        <w:rPr>
          <w:rFonts w:ascii="Segoe UI" w:hAnsi="Segoe UI" w:cs="Segoe UI"/>
          <w:szCs w:val="20"/>
        </w:rPr>
        <w:t xml:space="preserve">er scopi pratici, alcune organizzazioni considerano il breve periodo come quello coincidente con il </w:t>
      </w:r>
      <w:r w:rsidRPr="00CC3C3B">
        <w:rPr>
          <w:rFonts w:ascii="Segoe UI" w:hAnsi="Segoe UI" w:cs="Segoe UI"/>
          <w:i/>
          <w:szCs w:val="20"/>
        </w:rPr>
        <w:t>report</w:t>
      </w:r>
      <w:r w:rsidRPr="0062207D">
        <w:rPr>
          <w:rFonts w:ascii="Segoe UI" w:hAnsi="Segoe UI" w:cs="Segoe UI"/>
          <w:szCs w:val="20"/>
        </w:rPr>
        <w:t xml:space="preserve"> di informazione periodica annuale;</w:t>
      </w:r>
    </w:p>
    <w:p w14:paraId="52274D38" w14:textId="1DDBE530"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effetti di medio periodo, includendo</w:t>
      </w:r>
      <w:r w:rsidR="001D13E8" w:rsidRPr="0062207D">
        <w:rPr>
          <w:rFonts w:ascii="Segoe UI" w:hAnsi="Segoe UI" w:cs="Segoe UI"/>
          <w:szCs w:val="20"/>
        </w:rPr>
        <w:t>vi</w:t>
      </w:r>
      <w:r w:rsidRPr="0062207D">
        <w:rPr>
          <w:rFonts w:ascii="Segoe UI" w:hAnsi="Segoe UI" w:cs="Segoe UI"/>
          <w:szCs w:val="20"/>
        </w:rPr>
        <w:t xml:space="preserve"> quelli che si sviluppano oltre il breve periodo così come definito dall’organizzazione</w:t>
      </w:r>
      <w:r w:rsidR="00CC3C3B">
        <w:rPr>
          <w:rFonts w:ascii="Segoe UI" w:hAnsi="Segoe UI" w:cs="Segoe UI"/>
          <w:szCs w:val="20"/>
        </w:rPr>
        <w:t>; q</w:t>
      </w:r>
      <w:r w:rsidRPr="0062207D">
        <w:rPr>
          <w:rFonts w:ascii="Segoe UI" w:hAnsi="Segoe UI" w:cs="Segoe UI"/>
          <w:szCs w:val="20"/>
        </w:rPr>
        <w:t>uest</w:t>
      </w:r>
      <w:r w:rsidR="001D13E8" w:rsidRPr="0062207D">
        <w:rPr>
          <w:rFonts w:ascii="Segoe UI" w:hAnsi="Segoe UI" w:cs="Segoe UI"/>
          <w:szCs w:val="20"/>
        </w:rPr>
        <w:t xml:space="preserve">i </w:t>
      </w:r>
      <w:r w:rsidRPr="0062207D">
        <w:rPr>
          <w:rFonts w:ascii="Segoe UI" w:hAnsi="Segoe UI" w:cs="Segoe UI"/>
          <w:szCs w:val="20"/>
        </w:rPr>
        <w:t>effett</w:t>
      </w:r>
      <w:r w:rsidR="001D13E8" w:rsidRPr="0062207D">
        <w:rPr>
          <w:rFonts w:ascii="Segoe UI" w:hAnsi="Segoe UI" w:cs="Segoe UI"/>
          <w:szCs w:val="20"/>
        </w:rPr>
        <w:t>i</w:t>
      </w:r>
      <w:r w:rsidRPr="0062207D">
        <w:rPr>
          <w:rFonts w:ascii="Segoe UI" w:hAnsi="Segoe UI" w:cs="Segoe UI"/>
          <w:szCs w:val="20"/>
        </w:rPr>
        <w:t xml:space="preserve"> p</w:t>
      </w:r>
      <w:r w:rsidR="001D13E8" w:rsidRPr="0062207D">
        <w:rPr>
          <w:rFonts w:ascii="Segoe UI" w:hAnsi="Segoe UI" w:cs="Segoe UI"/>
          <w:szCs w:val="20"/>
        </w:rPr>
        <w:t xml:space="preserve">ossono </w:t>
      </w:r>
      <w:r w:rsidRPr="0062207D">
        <w:rPr>
          <w:rFonts w:ascii="Segoe UI" w:hAnsi="Segoe UI" w:cs="Segoe UI"/>
          <w:szCs w:val="20"/>
        </w:rPr>
        <w:t>manifestarsi anche con diversi anni di ritardo, in maniera indiretta o con impatti aggregati di più aspetti considerati rilevanti</w:t>
      </w:r>
      <w:r w:rsidR="001D13E8" w:rsidRPr="0062207D">
        <w:rPr>
          <w:rFonts w:ascii="Segoe UI" w:hAnsi="Segoe UI" w:cs="Segoe UI"/>
          <w:szCs w:val="20"/>
        </w:rPr>
        <w:t>;</w:t>
      </w:r>
    </w:p>
    <w:p w14:paraId="48CA38E8" w14:textId="03EB5E22"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effetti di lungo periodo, includendo</w:t>
      </w:r>
      <w:r w:rsidR="001D13E8" w:rsidRPr="0062207D">
        <w:rPr>
          <w:rFonts w:ascii="Segoe UI" w:hAnsi="Segoe UI" w:cs="Segoe UI"/>
          <w:szCs w:val="20"/>
        </w:rPr>
        <w:t>vi</w:t>
      </w:r>
      <w:r w:rsidRPr="0062207D">
        <w:rPr>
          <w:rFonts w:ascii="Segoe UI" w:hAnsi="Segoe UI" w:cs="Segoe UI"/>
          <w:szCs w:val="20"/>
        </w:rPr>
        <w:t xml:space="preserve"> gli impatti degli aspetti rilevanti in un orizzonte temporale più esteso,</w:t>
      </w:r>
      <w:r w:rsidR="001D13E8" w:rsidRPr="0062207D">
        <w:rPr>
          <w:rFonts w:ascii="Segoe UI" w:hAnsi="Segoe UI" w:cs="Segoe UI"/>
          <w:szCs w:val="20"/>
        </w:rPr>
        <w:t xml:space="preserve"> costituiti, generalmente, da conseguenze </w:t>
      </w:r>
      <w:r w:rsidRPr="0062207D">
        <w:rPr>
          <w:rFonts w:ascii="Segoe UI" w:hAnsi="Segoe UI" w:cs="Segoe UI"/>
          <w:szCs w:val="20"/>
        </w:rPr>
        <w:t>di natura più strategica che operativa</w:t>
      </w:r>
      <w:r w:rsidR="00CC3C3B">
        <w:rPr>
          <w:rFonts w:ascii="Segoe UI" w:hAnsi="Segoe UI" w:cs="Segoe UI"/>
          <w:szCs w:val="20"/>
        </w:rPr>
        <w:t>; a</w:t>
      </w:r>
      <w:r w:rsidRPr="0062207D">
        <w:rPr>
          <w:rFonts w:ascii="Segoe UI" w:hAnsi="Segoe UI" w:cs="Segoe UI"/>
          <w:szCs w:val="20"/>
        </w:rPr>
        <w:t>nche in questo caso</w:t>
      </w:r>
      <w:r w:rsidR="001D13E8" w:rsidRPr="0062207D">
        <w:rPr>
          <w:rFonts w:ascii="Segoe UI" w:hAnsi="Segoe UI" w:cs="Segoe UI"/>
          <w:szCs w:val="20"/>
        </w:rPr>
        <w:t>,</w:t>
      </w:r>
      <w:r w:rsidRPr="0062207D">
        <w:rPr>
          <w:rFonts w:ascii="Segoe UI" w:hAnsi="Segoe UI" w:cs="Segoe UI"/>
          <w:szCs w:val="20"/>
        </w:rPr>
        <w:t xml:space="preserve"> la distinzione tra il medio e lungo termine viene stabilita in base alle caratteristiche stesse dell’organizzazione e del settore in cui opera.</w:t>
      </w:r>
    </w:p>
    <w:p w14:paraId="10F5F4C6" w14:textId="7F969093" w:rsidR="00F270C0" w:rsidRPr="0062207D" w:rsidRDefault="00F270C0" w:rsidP="00C23330">
      <w:pPr>
        <w:autoSpaceDE w:val="0"/>
        <w:autoSpaceDN w:val="0"/>
        <w:adjustRightInd w:val="0"/>
        <w:spacing w:before="120" w:after="120" w:line="240" w:lineRule="auto"/>
        <w:jc w:val="both"/>
        <w:rPr>
          <w:rFonts w:ascii="Segoe UI" w:hAnsi="Segoe UI" w:cs="Segoe UI"/>
          <w:szCs w:val="20"/>
          <w:lang w:val="en-US"/>
        </w:rPr>
      </w:pPr>
      <w:r w:rsidRPr="0062207D">
        <w:rPr>
          <w:rFonts w:ascii="Segoe UI" w:hAnsi="Segoe UI" w:cs="Segoe UI"/>
          <w:szCs w:val="20"/>
        </w:rPr>
        <w:t xml:space="preserve">La valutazione dell’effetto di un aspetto considerato rilevante dipende anche dalla natura del tema. In taluni casi, potrebbe </w:t>
      </w:r>
      <w:r w:rsidR="0040229D">
        <w:rPr>
          <w:rFonts w:ascii="Segoe UI" w:hAnsi="Segoe UI" w:cs="Segoe UI"/>
          <w:szCs w:val="20"/>
        </w:rPr>
        <w:t xml:space="preserve">risultare </w:t>
      </w:r>
      <w:r w:rsidRPr="0062207D">
        <w:rPr>
          <w:rFonts w:ascii="Segoe UI" w:hAnsi="Segoe UI" w:cs="Segoe UI"/>
          <w:szCs w:val="20"/>
        </w:rPr>
        <w:t xml:space="preserve">eccessivamente costoso, impraticabile o comunque inappropriato quantificare gli effetti di un qualsiasi aspetto rilevante con adeguata precisione. In tale circostanza, </w:t>
      </w:r>
      <w:r w:rsidR="0040229D">
        <w:rPr>
          <w:rFonts w:ascii="Segoe UI" w:hAnsi="Segoe UI" w:cs="Segoe UI"/>
          <w:szCs w:val="20"/>
        </w:rPr>
        <w:t xml:space="preserve">l’IR </w:t>
      </w:r>
      <w:r w:rsidRPr="0062207D">
        <w:rPr>
          <w:rFonts w:ascii="Segoe UI" w:hAnsi="Segoe UI" w:cs="Segoe UI"/>
          <w:szCs w:val="20"/>
        </w:rPr>
        <w:t xml:space="preserve">Framework 1.0 suggerisce </w:t>
      </w:r>
      <w:r w:rsidR="00740B86" w:rsidRPr="0062207D">
        <w:rPr>
          <w:rFonts w:ascii="Segoe UI" w:hAnsi="Segoe UI" w:cs="Segoe UI"/>
          <w:szCs w:val="20"/>
        </w:rPr>
        <w:t xml:space="preserve">di effettuare </w:t>
      </w:r>
      <w:r w:rsidRPr="0062207D">
        <w:rPr>
          <w:rFonts w:ascii="Segoe UI" w:hAnsi="Segoe UI" w:cs="Segoe UI"/>
          <w:szCs w:val="20"/>
        </w:rPr>
        <w:t xml:space="preserve">una valutazione qualitativa </w:t>
      </w:r>
      <w:r w:rsidR="00740B86" w:rsidRPr="0062207D">
        <w:rPr>
          <w:rFonts w:ascii="Segoe UI" w:hAnsi="Segoe UI" w:cs="Segoe UI"/>
          <w:szCs w:val="20"/>
        </w:rPr>
        <w:t xml:space="preserve">piuttosto che </w:t>
      </w:r>
      <w:r w:rsidRPr="0062207D">
        <w:rPr>
          <w:rFonts w:ascii="Segoe UI" w:hAnsi="Segoe UI" w:cs="Segoe UI"/>
          <w:szCs w:val="20"/>
        </w:rPr>
        <w:t xml:space="preserve">quantitativa, poiché </w:t>
      </w:r>
      <w:r w:rsidR="00740B86" w:rsidRPr="0062207D">
        <w:rPr>
          <w:rFonts w:ascii="Segoe UI" w:hAnsi="Segoe UI" w:cs="Segoe UI"/>
          <w:szCs w:val="20"/>
        </w:rPr>
        <w:t xml:space="preserve">la prima </w:t>
      </w:r>
      <w:r w:rsidRPr="0062207D">
        <w:rPr>
          <w:rFonts w:ascii="Segoe UI" w:hAnsi="Segoe UI" w:cs="Segoe UI"/>
          <w:szCs w:val="20"/>
        </w:rPr>
        <w:t xml:space="preserve">potrebbe spiegare meglio l’influenza del tema sugli obiettivi strategici o sulla valutazione del </w:t>
      </w:r>
      <w:r w:rsidRPr="0062207D">
        <w:rPr>
          <w:rFonts w:ascii="Segoe UI" w:hAnsi="Segoe UI" w:cs="Segoe UI"/>
          <w:i/>
          <w:szCs w:val="20"/>
        </w:rPr>
        <w:t>business model</w:t>
      </w:r>
      <w:r w:rsidRPr="0062207D">
        <w:rPr>
          <w:rFonts w:ascii="Segoe UI" w:hAnsi="Segoe UI" w:cs="Segoe UI"/>
          <w:szCs w:val="20"/>
        </w:rPr>
        <w:t xml:space="preserve"> in generale</w:t>
      </w:r>
      <w:r w:rsidRPr="00646FFE">
        <w:rPr>
          <w:rFonts w:ascii="Segoe UI" w:hAnsi="Segoe UI" w:cs="Segoe UI"/>
          <w:szCs w:val="20"/>
        </w:rPr>
        <w:t>. Nello specifi</w:t>
      </w:r>
      <w:r w:rsidR="00655DF9" w:rsidRPr="00646FFE">
        <w:rPr>
          <w:rFonts w:ascii="Segoe UI" w:hAnsi="Segoe UI" w:cs="Segoe UI"/>
          <w:szCs w:val="20"/>
        </w:rPr>
        <w:t xml:space="preserve">co, l’approccio </w:t>
      </w:r>
      <w:r w:rsidR="00B10894" w:rsidRPr="00646FFE">
        <w:rPr>
          <w:rFonts w:ascii="Segoe UI" w:hAnsi="Segoe UI" w:cs="Segoe UI"/>
          <w:szCs w:val="20"/>
        </w:rPr>
        <w:t>dell’</w:t>
      </w:r>
      <w:r w:rsidR="00655DF9" w:rsidRPr="00646FFE">
        <w:rPr>
          <w:rFonts w:ascii="Segoe UI" w:hAnsi="Segoe UI" w:cs="Segoe UI"/>
          <w:szCs w:val="20"/>
        </w:rPr>
        <w:t>IIRC prevede</w:t>
      </w:r>
      <w:r w:rsidR="00E34E17" w:rsidRPr="00646FFE">
        <w:rPr>
          <w:rFonts w:ascii="Segoe UI" w:hAnsi="Segoe UI" w:cs="Segoe UI"/>
          <w:szCs w:val="20"/>
        </w:rPr>
        <w:t xml:space="preserve"> che</w:t>
      </w:r>
      <w:r w:rsidRPr="0062207D">
        <w:rPr>
          <w:rFonts w:ascii="Segoe UI" w:hAnsi="Segoe UI" w:cs="Segoe UI"/>
          <w:szCs w:val="20"/>
          <w:lang w:val="en-US"/>
        </w:rPr>
        <w:t xml:space="preserve"> “</w:t>
      </w:r>
      <w:r w:rsidRPr="00E34E17">
        <w:rPr>
          <w:rFonts w:ascii="Segoe UI" w:hAnsi="Segoe UI" w:cs="Segoe UI"/>
          <w:szCs w:val="20"/>
          <w:lang w:val="en-US"/>
        </w:rPr>
        <w:t>evaluating the magnitude of a matter’s does not imply that the effect needs to be quantified. Depending on the nature of the matter, a qualitative evaluation might be more appropriate</w:t>
      </w:r>
      <w:r w:rsidRPr="0062207D">
        <w:rPr>
          <w:rFonts w:ascii="Segoe UI" w:hAnsi="Segoe UI" w:cs="Segoe UI"/>
          <w:szCs w:val="20"/>
          <w:lang w:val="en-US"/>
        </w:rPr>
        <w:t>”.</w:t>
      </w:r>
    </w:p>
    <w:p w14:paraId="46BC1743" w14:textId="0FD34BB3" w:rsidR="00F270C0" w:rsidRPr="0062207D" w:rsidRDefault="00F270C0" w:rsidP="00C23330">
      <w:pPr>
        <w:keepNext/>
        <w:keepLines/>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In estrema sintesi, </w:t>
      </w:r>
      <w:r w:rsidR="00384EFF">
        <w:rPr>
          <w:rFonts w:ascii="Segoe UI" w:hAnsi="Segoe UI" w:cs="Segoe UI"/>
          <w:szCs w:val="20"/>
        </w:rPr>
        <w:t xml:space="preserve">l’IR </w:t>
      </w:r>
      <w:r w:rsidRPr="0062207D">
        <w:rPr>
          <w:rFonts w:ascii="Segoe UI" w:hAnsi="Segoe UI" w:cs="Segoe UI"/>
          <w:szCs w:val="20"/>
        </w:rPr>
        <w:t>Framework 1.0</w:t>
      </w:r>
      <w:r w:rsidR="00910075">
        <w:rPr>
          <w:rFonts w:ascii="Segoe UI" w:hAnsi="Segoe UI" w:cs="Segoe UI"/>
          <w:szCs w:val="20"/>
        </w:rPr>
        <w:t>,</w:t>
      </w:r>
      <w:r w:rsidRPr="0062207D">
        <w:rPr>
          <w:rFonts w:ascii="Segoe UI" w:hAnsi="Segoe UI" w:cs="Segoe UI"/>
          <w:szCs w:val="20"/>
        </w:rPr>
        <w:t xml:space="preserve"> </w:t>
      </w:r>
      <w:r w:rsidR="00910075" w:rsidRPr="0062207D">
        <w:rPr>
          <w:rFonts w:ascii="Segoe UI" w:hAnsi="Segoe UI" w:cs="Segoe UI"/>
          <w:szCs w:val="20"/>
        </w:rPr>
        <w:t>nella valutazione degli aspetti rilevanti</w:t>
      </w:r>
      <w:r w:rsidR="00910075">
        <w:rPr>
          <w:rFonts w:ascii="Segoe UI" w:hAnsi="Segoe UI" w:cs="Segoe UI"/>
          <w:szCs w:val="20"/>
        </w:rPr>
        <w:t>,</w:t>
      </w:r>
      <w:r w:rsidR="00910075" w:rsidRPr="0062207D">
        <w:rPr>
          <w:rFonts w:ascii="Segoe UI" w:hAnsi="Segoe UI" w:cs="Segoe UI"/>
          <w:szCs w:val="20"/>
        </w:rPr>
        <w:t xml:space="preserve"> </w:t>
      </w:r>
      <w:r w:rsidRPr="0062207D">
        <w:rPr>
          <w:rFonts w:ascii="Segoe UI" w:hAnsi="Segoe UI" w:cs="Segoe UI"/>
          <w:szCs w:val="20"/>
        </w:rPr>
        <w:t>suggerisce</w:t>
      </w:r>
      <w:r w:rsidR="00910075">
        <w:rPr>
          <w:rFonts w:ascii="Segoe UI" w:hAnsi="Segoe UI" w:cs="Segoe UI"/>
          <w:szCs w:val="20"/>
        </w:rPr>
        <w:t xml:space="preserve"> di </w:t>
      </w:r>
      <w:r w:rsidRPr="0062207D">
        <w:rPr>
          <w:rFonts w:ascii="Segoe UI" w:hAnsi="Segoe UI" w:cs="Segoe UI"/>
          <w:szCs w:val="20"/>
        </w:rPr>
        <w:t>considerare:</w:t>
      </w:r>
    </w:p>
    <w:p w14:paraId="38D53C2F" w14:textId="438A6570" w:rsidR="00F270C0" w:rsidRPr="0062207D" w:rsidRDefault="00611949"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g</w:t>
      </w:r>
      <w:r w:rsidR="00F270C0" w:rsidRPr="0062207D">
        <w:rPr>
          <w:rFonts w:ascii="Segoe UI" w:hAnsi="Segoe UI" w:cs="Segoe UI"/>
          <w:szCs w:val="20"/>
        </w:rPr>
        <w:t>li effetti qualitativi e quantitativi;</w:t>
      </w:r>
    </w:p>
    <w:p w14:paraId="67729E8E" w14:textId="6B14093D" w:rsidR="00F270C0" w:rsidRPr="0062207D" w:rsidRDefault="00611949"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l</w:t>
      </w:r>
      <w:r w:rsidR="00F270C0" w:rsidRPr="0062207D">
        <w:rPr>
          <w:rFonts w:ascii="Segoe UI" w:hAnsi="Segoe UI" w:cs="Segoe UI"/>
          <w:szCs w:val="20"/>
        </w:rPr>
        <w:t>a natura, l’area e l’orizzonte temporale dell’effetto;</w:t>
      </w:r>
    </w:p>
    <w:p w14:paraId="3339925E" w14:textId="4BC4B5CF" w:rsidR="00F270C0" w:rsidRPr="0062207D" w:rsidRDefault="00611949"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l</w:t>
      </w:r>
      <w:r w:rsidR="00F270C0" w:rsidRPr="0062207D">
        <w:rPr>
          <w:rFonts w:ascii="Segoe UI" w:hAnsi="Segoe UI" w:cs="Segoe UI"/>
          <w:szCs w:val="20"/>
        </w:rPr>
        <w:t>a probabilità che l’effetto si verifichi.</w:t>
      </w:r>
    </w:p>
    <w:p w14:paraId="42B0DF63" w14:textId="77777777"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p>
    <w:p w14:paraId="1676BE7F" w14:textId="77777777" w:rsidR="00F270C0" w:rsidRPr="0062207D" w:rsidRDefault="00F270C0" w:rsidP="005938C8">
      <w:pPr>
        <w:pStyle w:val="Paragrafoelenco"/>
        <w:keepNext/>
        <w:keepLines/>
        <w:numPr>
          <w:ilvl w:val="0"/>
          <w:numId w:val="11"/>
        </w:numPr>
        <w:tabs>
          <w:tab w:val="left" w:pos="284"/>
        </w:tabs>
        <w:autoSpaceDE w:val="0"/>
        <w:autoSpaceDN w:val="0"/>
        <w:adjustRightInd w:val="0"/>
        <w:spacing w:before="120" w:after="120" w:line="240" w:lineRule="auto"/>
        <w:ind w:left="0" w:firstLine="0"/>
        <w:contextualSpacing w:val="0"/>
        <w:jc w:val="both"/>
        <w:rPr>
          <w:rFonts w:ascii="Segoe UI" w:hAnsi="Segoe UI" w:cs="Segoe UI"/>
          <w:i/>
          <w:szCs w:val="20"/>
        </w:rPr>
      </w:pPr>
      <w:r w:rsidRPr="0062207D">
        <w:rPr>
          <w:rFonts w:ascii="Segoe UI" w:hAnsi="Segoe UI" w:cs="Segoe UI"/>
          <w:i/>
          <w:szCs w:val="20"/>
        </w:rPr>
        <w:t>Assegnazione delle priorità agli aspetti rilevanti</w:t>
      </w:r>
    </w:p>
    <w:p w14:paraId="6476C655" w14:textId="18F99326"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Valutata l’importanza degli aspetti, </w:t>
      </w:r>
      <w:r w:rsidR="00910075">
        <w:rPr>
          <w:rFonts w:ascii="Segoe UI" w:hAnsi="Segoe UI" w:cs="Segoe UI"/>
          <w:szCs w:val="20"/>
        </w:rPr>
        <w:t xml:space="preserve">occorre </w:t>
      </w:r>
      <w:r w:rsidRPr="0062207D">
        <w:rPr>
          <w:rFonts w:ascii="Segoe UI" w:hAnsi="Segoe UI" w:cs="Segoe UI"/>
          <w:b/>
          <w:szCs w:val="20"/>
        </w:rPr>
        <w:t>attribuire loro una priorità</w:t>
      </w:r>
      <w:r w:rsidRPr="0062207D">
        <w:rPr>
          <w:rFonts w:ascii="Segoe UI" w:hAnsi="Segoe UI" w:cs="Segoe UI"/>
          <w:szCs w:val="20"/>
        </w:rPr>
        <w:t xml:space="preserve">. I temi che esplicitano maggiori effetti, sia attuali </w:t>
      </w:r>
      <w:r w:rsidR="00DD2058" w:rsidRPr="0062207D">
        <w:rPr>
          <w:rFonts w:ascii="Segoe UI" w:hAnsi="Segoe UI" w:cs="Segoe UI"/>
          <w:szCs w:val="20"/>
        </w:rPr>
        <w:t>sia</w:t>
      </w:r>
      <w:r w:rsidRPr="0062207D">
        <w:rPr>
          <w:rFonts w:ascii="Segoe UI" w:hAnsi="Segoe UI" w:cs="Segoe UI"/>
          <w:szCs w:val="20"/>
        </w:rPr>
        <w:t xml:space="preserve"> potenziali, sulla</w:t>
      </w:r>
      <w:r w:rsidR="00910075">
        <w:rPr>
          <w:rFonts w:ascii="Segoe UI" w:hAnsi="Segoe UI" w:cs="Segoe UI"/>
          <w:szCs w:val="20"/>
        </w:rPr>
        <w:t xml:space="preserve"> </w:t>
      </w:r>
      <w:r w:rsidRPr="0062207D">
        <w:rPr>
          <w:rFonts w:ascii="Segoe UI" w:hAnsi="Segoe UI" w:cs="Segoe UI"/>
          <w:szCs w:val="20"/>
        </w:rPr>
        <w:t xml:space="preserve">creazione di valore sono considerati rilevanti ai fini del processo di </w:t>
      </w:r>
      <w:r w:rsidR="00DD2058" w:rsidRPr="0062207D">
        <w:rPr>
          <w:rFonts w:ascii="Segoe UI" w:hAnsi="Segoe UI" w:cs="Segoe UI"/>
          <w:szCs w:val="20"/>
        </w:rPr>
        <w:t xml:space="preserve">rendicontazione </w:t>
      </w:r>
      <w:r w:rsidRPr="0062207D">
        <w:rPr>
          <w:rFonts w:ascii="Segoe UI" w:hAnsi="Segoe UI" w:cs="Segoe UI"/>
          <w:szCs w:val="20"/>
        </w:rPr>
        <w:t>non finanziaria.</w:t>
      </w:r>
    </w:p>
    <w:p w14:paraId="3BA38D8F" w14:textId="5E882AEA"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In relazione alla fase di assegnazione delle priorità agli aspetti rilevanti, l’IIRC suggerisce di </w:t>
      </w:r>
      <w:r w:rsidR="00910075">
        <w:rPr>
          <w:rFonts w:ascii="Segoe UI" w:hAnsi="Segoe UI" w:cs="Segoe UI"/>
          <w:szCs w:val="20"/>
        </w:rPr>
        <w:t xml:space="preserve">muoversi secondo quanto </w:t>
      </w:r>
      <w:r w:rsidRPr="0062207D">
        <w:rPr>
          <w:rFonts w:ascii="Segoe UI" w:hAnsi="Segoe UI" w:cs="Segoe UI"/>
          <w:szCs w:val="20"/>
        </w:rPr>
        <w:t xml:space="preserve">previsto nel paragrafo 3.28 del </w:t>
      </w:r>
      <w:r w:rsidR="00922E05" w:rsidRPr="00922E05">
        <w:rPr>
          <w:rFonts w:ascii="Segoe UI" w:hAnsi="Segoe UI" w:cs="Segoe UI"/>
          <w:szCs w:val="20"/>
        </w:rPr>
        <w:t>Framework</w:t>
      </w:r>
      <w:r w:rsidRPr="0062207D">
        <w:rPr>
          <w:rFonts w:ascii="Segoe UI" w:hAnsi="Segoe UI" w:cs="Segoe UI"/>
          <w:szCs w:val="20"/>
        </w:rPr>
        <w:t>: “</w:t>
      </w:r>
      <w:r w:rsidRPr="00CA58DA">
        <w:rPr>
          <w:rFonts w:ascii="Segoe UI" w:hAnsi="Segoe UI" w:cs="Segoe UI"/>
          <w:szCs w:val="20"/>
        </w:rPr>
        <w:t>Una volta identificati gli elementi che formano l’insieme degli aspetti materiali, le relative priorità vengono assegnate in base alla loro portata. Ciò aiuta a concentrarsi sugli aspetti più importanti nella determinazione delle modalità di rappresentazione</w:t>
      </w:r>
      <w:r w:rsidRPr="0062207D">
        <w:rPr>
          <w:rFonts w:ascii="Segoe UI" w:hAnsi="Segoe UI" w:cs="Segoe UI"/>
          <w:szCs w:val="20"/>
        </w:rPr>
        <w:t>”.</w:t>
      </w:r>
    </w:p>
    <w:p w14:paraId="614BAD10" w14:textId="42463FEF" w:rsidR="00263323"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Di conseguenza, il </w:t>
      </w:r>
      <w:r w:rsidRPr="0062207D">
        <w:rPr>
          <w:rFonts w:ascii="Segoe UI" w:hAnsi="Segoe UI" w:cs="Segoe UI"/>
          <w:i/>
          <w:szCs w:val="20"/>
        </w:rPr>
        <w:t>management</w:t>
      </w:r>
      <w:r w:rsidRPr="0062207D">
        <w:rPr>
          <w:rFonts w:ascii="Segoe UI" w:hAnsi="Segoe UI" w:cs="Segoe UI"/>
          <w:szCs w:val="20"/>
        </w:rPr>
        <w:t xml:space="preserve"> e, più in generale</w:t>
      </w:r>
      <w:r w:rsidR="00263323" w:rsidRPr="0062207D">
        <w:rPr>
          <w:rFonts w:ascii="Segoe UI" w:hAnsi="Segoe UI" w:cs="Segoe UI"/>
          <w:szCs w:val="20"/>
        </w:rPr>
        <w:t>,</w:t>
      </w:r>
      <w:r w:rsidRPr="0062207D">
        <w:rPr>
          <w:rFonts w:ascii="Segoe UI" w:hAnsi="Segoe UI" w:cs="Segoe UI"/>
          <w:szCs w:val="20"/>
        </w:rPr>
        <w:t xml:space="preserve"> gli organi della </w:t>
      </w:r>
      <w:r w:rsidRPr="0062207D">
        <w:rPr>
          <w:rFonts w:ascii="Segoe UI" w:hAnsi="Segoe UI" w:cs="Segoe UI"/>
          <w:i/>
          <w:szCs w:val="20"/>
        </w:rPr>
        <w:t>governance</w:t>
      </w:r>
      <w:r w:rsidRPr="0062207D">
        <w:rPr>
          <w:rFonts w:ascii="Segoe UI" w:hAnsi="Segoe UI" w:cs="Segoe UI"/>
          <w:szCs w:val="20"/>
        </w:rPr>
        <w:t xml:space="preserve"> devono assicurarsi che il processo e la valutazione dei criteri per l’attribuzione delle priorità siano </w:t>
      </w:r>
      <w:r w:rsidR="00263323" w:rsidRPr="0062207D">
        <w:rPr>
          <w:rFonts w:ascii="Segoe UI" w:hAnsi="Segoe UI" w:cs="Segoe UI"/>
          <w:szCs w:val="20"/>
        </w:rPr>
        <w:t>“</w:t>
      </w:r>
      <w:r w:rsidRPr="0062207D">
        <w:rPr>
          <w:rFonts w:ascii="Segoe UI" w:hAnsi="Segoe UI" w:cs="Segoe UI"/>
          <w:szCs w:val="20"/>
        </w:rPr>
        <w:t>robusti</w:t>
      </w:r>
      <w:r w:rsidR="00263323" w:rsidRPr="0062207D">
        <w:rPr>
          <w:rFonts w:ascii="Segoe UI" w:hAnsi="Segoe UI" w:cs="Segoe UI"/>
          <w:szCs w:val="20"/>
        </w:rPr>
        <w:t>”</w:t>
      </w:r>
      <w:r w:rsidRPr="0062207D">
        <w:rPr>
          <w:rFonts w:ascii="Segoe UI" w:hAnsi="Segoe UI" w:cs="Segoe UI"/>
          <w:szCs w:val="20"/>
        </w:rPr>
        <w:t xml:space="preserve"> e che tutti gli aspetti rilevanti siano </w:t>
      </w:r>
      <w:r w:rsidR="00910075">
        <w:rPr>
          <w:rFonts w:ascii="Segoe UI" w:hAnsi="Segoe UI" w:cs="Segoe UI"/>
          <w:szCs w:val="20"/>
        </w:rPr>
        <w:t xml:space="preserve">oggetto di priorizzazione da parte </w:t>
      </w:r>
      <w:r w:rsidRPr="0062207D">
        <w:rPr>
          <w:rFonts w:ascii="Segoe UI" w:hAnsi="Segoe UI" w:cs="Segoe UI"/>
          <w:szCs w:val="20"/>
        </w:rPr>
        <w:t>d</w:t>
      </w:r>
      <w:r w:rsidR="00910075">
        <w:rPr>
          <w:rFonts w:ascii="Segoe UI" w:hAnsi="Segoe UI" w:cs="Segoe UI"/>
          <w:szCs w:val="20"/>
        </w:rPr>
        <w:t>e</w:t>
      </w:r>
      <w:r w:rsidRPr="0062207D">
        <w:rPr>
          <w:rFonts w:ascii="Segoe UI" w:hAnsi="Segoe UI" w:cs="Segoe UI"/>
          <w:szCs w:val="20"/>
        </w:rPr>
        <w:t>ll’organizzazione. La fase di assegnazione delle priorità è di fondamentale importanza per due motivi</w:t>
      </w:r>
      <w:r w:rsidR="00263323" w:rsidRPr="0062207D">
        <w:rPr>
          <w:rFonts w:ascii="Segoe UI" w:hAnsi="Segoe UI" w:cs="Segoe UI"/>
          <w:szCs w:val="20"/>
        </w:rPr>
        <w:t xml:space="preserve">: </w:t>
      </w:r>
      <w:r w:rsidRPr="0062207D">
        <w:rPr>
          <w:rFonts w:ascii="Segoe UI" w:hAnsi="Segoe UI" w:cs="Segoe UI"/>
          <w:szCs w:val="20"/>
        </w:rPr>
        <w:t xml:space="preserve">primo, poiché mediante questa fase </w:t>
      </w:r>
      <w:r w:rsidR="009A0319">
        <w:rPr>
          <w:rFonts w:ascii="Segoe UI" w:hAnsi="Segoe UI" w:cs="Segoe UI"/>
          <w:szCs w:val="20"/>
        </w:rPr>
        <w:t xml:space="preserve">si realizza e </w:t>
      </w:r>
      <w:r w:rsidRPr="0062207D">
        <w:rPr>
          <w:rFonts w:ascii="Segoe UI" w:hAnsi="Segoe UI" w:cs="Segoe UI"/>
          <w:szCs w:val="20"/>
        </w:rPr>
        <w:t>si f</w:t>
      </w:r>
      <w:r w:rsidR="009A0319">
        <w:rPr>
          <w:rFonts w:ascii="Segoe UI" w:hAnsi="Segoe UI" w:cs="Segoe UI"/>
          <w:szCs w:val="20"/>
        </w:rPr>
        <w:t>avorisce l</w:t>
      </w:r>
      <w:r w:rsidRPr="0062207D">
        <w:rPr>
          <w:rFonts w:ascii="Segoe UI" w:hAnsi="Segoe UI" w:cs="Segoe UI"/>
          <w:szCs w:val="20"/>
        </w:rPr>
        <w:t xml:space="preserve">a comprensione </w:t>
      </w:r>
      <w:r w:rsidR="009A0319">
        <w:rPr>
          <w:rFonts w:ascii="Segoe UI" w:hAnsi="Segoe UI" w:cs="Segoe UI"/>
          <w:szCs w:val="20"/>
        </w:rPr>
        <w:t xml:space="preserve">e la </w:t>
      </w:r>
      <w:r w:rsidRPr="0062207D">
        <w:rPr>
          <w:rFonts w:ascii="Segoe UI" w:hAnsi="Segoe UI" w:cs="Segoe UI"/>
          <w:szCs w:val="20"/>
        </w:rPr>
        <w:t>formal</w:t>
      </w:r>
      <w:r w:rsidR="009A0319">
        <w:rPr>
          <w:rFonts w:ascii="Segoe UI" w:hAnsi="Segoe UI" w:cs="Segoe UI"/>
          <w:szCs w:val="20"/>
        </w:rPr>
        <w:t xml:space="preserve">izzazione </w:t>
      </w:r>
      <w:r w:rsidRPr="0062207D">
        <w:rPr>
          <w:rFonts w:ascii="Segoe UI" w:hAnsi="Segoe UI" w:cs="Segoe UI"/>
          <w:szCs w:val="20"/>
        </w:rPr>
        <w:t>di tutti quei fattori che</w:t>
      </w:r>
      <w:r w:rsidR="009A0319">
        <w:rPr>
          <w:rFonts w:ascii="Segoe UI" w:hAnsi="Segoe UI" w:cs="Segoe UI"/>
          <w:szCs w:val="20"/>
        </w:rPr>
        <w:t>,</w:t>
      </w:r>
      <w:r w:rsidRPr="0062207D">
        <w:rPr>
          <w:rFonts w:ascii="Segoe UI" w:hAnsi="Segoe UI" w:cs="Segoe UI"/>
          <w:szCs w:val="20"/>
        </w:rPr>
        <w:t xml:space="preserve"> effettivamente</w:t>
      </w:r>
      <w:r w:rsidR="009A0319">
        <w:rPr>
          <w:rFonts w:ascii="Segoe UI" w:hAnsi="Segoe UI" w:cs="Segoe UI"/>
          <w:szCs w:val="20"/>
        </w:rPr>
        <w:t>,</w:t>
      </w:r>
      <w:r w:rsidRPr="0062207D">
        <w:rPr>
          <w:rFonts w:ascii="Segoe UI" w:hAnsi="Segoe UI" w:cs="Segoe UI"/>
          <w:szCs w:val="20"/>
        </w:rPr>
        <w:t xml:space="preserve"> influenzano il processo d</w:t>
      </w:r>
      <w:r w:rsidR="009A0319">
        <w:rPr>
          <w:rFonts w:ascii="Segoe UI" w:hAnsi="Segoe UI" w:cs="Segoe UI"/>
          <w:szCs w:val="20"/>
        </w:rPr>
        <w:t xml:space="preserve">ella </w:t>
      </w:r>
      <w:r w:rsidRPr="0062207D">
        <w:rPr>
          <w:rFonts w:ascii="Segoe UI" w:hAnsi="Segoe UI" w:cs="Segoe UI"/>
          <w:szCs w:val="20"/>
        </w:rPr>
        <w:t>creazione del valore, in quanto</w:t>
      </w:r>
      <w:r w:rsidR="009A0319">
        <w:rPr>
          <w:rFonts w:ascii="Segoe UI" w:hAnsi="Segoe UI" w:cs="Segoe UI"/>
          <w:szCs w:val="20"/>
        </w:rPr>
        <w:t xml:space="preserve"> essa </w:t>
      </w:r>
      <w:r w:rsidRPr="0062207D">
        <w:rPr>
          <w:rFonts w:ascii="Segoe UI" w:hAnsi="Segoe UI" w:cs="Segoe UI"/>
          <w:szCs w:val="20"/>
        </w:rPr>
        <w:t xml:space="preserve">induce e incoraggia il </w:t>
      </w:r>
      <w:r w:rsidRPr="0062207D">
        <w:rPr>
          <w:rFonts w:ascii="Segoe UI" w:hAnsi="Segoe UI" w:cs="Segoe UI"/>
          <w:i/>
          <w:szCs w:val="20"/>
        </w:rPr>
        <w:t>management</w:t>
      </w:r>
      <w:r w:rsidRPr="0062207D">
        <w:rPr>
          <w:rFonts w:ascii="Segoe UI" w:hAnsi="Segoe UI" w:cs="Segoe UI"/>
          <w:szCs w:val="20"/>
        </w:rPr>
        <w:t xml:space="preserve"> ad analizzare criticamente e analiticamente le probabilità, le relazioni causali, le sinergie e i </w:t>
      </w:r>
      <w:r w:rsidRPr="0062207D">
        <w:rPr>
          <w:rFonts w:ascii="Segoe UI" w:hAnsi="Segoe UI" w:cs="Segoe UI"/>
          <w:i/>
          <w:szCs w:val="20"/>
        </w:rPr>
        <w:t>trade-off</w:t>
      </w:r>
      <w:r w:rsidR="00263323" w:rsidRPr="0062207D">
        <w:rPr>
          <w:rFonts w:ascii="Segoe UI" w:hAnsi="Segoe UI" w:cs="Segoe UI"/>
          <w:szCs w:val="20"/>
        </w:rPr>
        <w:t xml:space="preserve"> degli effetti;</w:t>
      </w:r>
      <w:r w:rsidRPr="0062207D">
        <w:rPr>
          <w:rFonts w:ascii="Segoe UI" w:hAnsi="Segoe UI" w:cs="Segoe UI"/>
          <w:szCs w:val="20"/>
        </w:rPr>
        <w:t xml:space="preserve"> secondo, </w:t>
      </w:r>
      <w:r w:rsidR="00263323" w:rsidRPr="0062207D">
        <w:rPr>
          <w:rFonts w:ascii="Segoe UI" w:hAnsi="Segoe UI" w:cs="Segoe UI"/>
          <w:szCs w:val="20"/>
        </w:rPr>
        <w:t xml:space="preserve">poiché </w:t>
      </w:r>
      <w:r w:rsidRPr="0062207D">
        <w:rPr>
          <w:rFonts w:ascii="Segoe UI" w:hAnsi="Segoe UI" w:cs="Segoe UI"/>
          <w:szCs w:val="20"/>
        </w:rPr>
        <w:t>si con</w:t>
      </w:r>
      <w:r w:rsidR="00263323" w:rsidRPr="0062207D">
        <w:rPr>
          <w:rFonts w:ascii="Segoe UI" w:hAnsi="Segoe UI" w:cs="Segoe UI"/>
          <w:szCs w:val="20"/>
        </w:rPr>
        <w:t>solida un</w:t>
      </w:r>
      <w:r w:rsidRPr="0062207D">
        <w:rPr>
          <w:rFonts w:ascii="Segoe UI" w:hAnsi="Segoe UI" w:cs="Segoe UI"/>
          <w:szCs w:val="20"/>
        </w:rPr>
        <w:t>’informativa non finanziaria focalizzata e utile ai fini del processo decisionale.</w:t>
      </w:r>
    </w:p>
    <w:p w14:paraId="0C7A8942" w14:textId="5E9DC971"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Qualora l’insieme degli aspetti rilevanti fosse particolarmente ampio, il processo di attribuzione delle priorità aiut</w:t>
      </w:r>
      <w:r w:rsidR="0051154F">
        <w:rPr>
          <w:rFonts w:ascii="Segoe UI" w:hAnsi="Segoe UI" w:cs="Segoe UI"/>
          <w:szCs w:val="20"/>
        </w:rPr>
        <w:t xml:space="preserve">erebbe anche </w:t>
      </w:r>
      <w:r w:rsidRPr="0062207D">
        <w:rPr>
          <w:rFonts w:ascii="Segoe UI" w:hAnsi="Segoe UI" w:cs="Segoe UI"/>
          <w:szCs w:val="20"/>
        </w:rPr>
        <w:t>a definire i confini de</w:t>
      </w:r>
      <w:r w:rsidR="0051154F">
        <w:rPr>
          <w:rFonts w:ascii="Segoe UI" w:hAnsi="Segoe UI" w:cs="Segoe UI"/>
          <w:szCs w:val="20"/>
        </w:rPr>
        <w:t>i medesimi nell’ottica d</w:t>
      </w:r>
      <w:r w:rsidR="0097266E">
        <w:rPr>
          <w:rFonts w:ascii="Segoe UI" w:hAnsi="Segoe UI" w:cs="Segoe UI"/>
          <w:szCs w:val="20"/>
        </w:rPr>
        <w:t xml:space="preserve">i una </w:t>
      </w:r>
      <w:r w:rsidR="0051154F">
        <w:rPr>
          <w:rFonts w:ascii="Segoe UI" w:hAnsi="Segoe UI" w:cs="Segoe UI"/>
          <w:szCs w:val="20"/>
        </w:rPr>
        <w:t xml:space="preserve">eventuale loro circoscrizione nell’ambito dei futuri processi di </w:t>
      </w:r>
      <w:r w:rsidR="0051154F" w:rsidRPr="0051154F">
        <w:rPr>
          <w:rFonts w:ascii="Segoe UI" w:hAnsi="Segoe UI" w:cs="Segoe UI"/>
          <w:i/>
          <w:szCs w:val="20"/>
        </w:rPr>
        <w:t>disclosure</w:t>
      </w:r>
      <w:r w:rsidRPr="0062207D">
        <w:rPr>
          <w:rFonts w:ascii="Segoe UI" w:hAnsi="Segoe UI" w:cs="Segoe UI"/>
          <w:szCs w:val="20"/>
        </w:rPr>
        <w:t>.</w:t>
      </w:r>
    </w:p>
    <w:p w14:paraId="17E9887C" w14:textId="77777777" w:rsidR="0054541C" w:rsidRPr="0062207D" w:rsidRDefault="0054541C" w:rsidP="00C23330">
      <w:pPr>
        <w:autoSpaceDE w:val="0"/>
        <w:autoSpaceDN w:val="0"/>
        <w:adjustRightInd w:val="0"/>
        <w:spacing w:before="120" w:after="120" w:line="240" w:lineRule="auto"/>
        <w:jc w:val="both"/>
        <w:rPr>
          <w:rFonts w:ascii="Segoe UI" w:hAnsi="Segoe UI" w:cs="Segoe UI"/>
          <w:szCs w:val="20"/>
        </w:rPr>
      </w:pPr>
    </w:p>
    <w:p w14:paraId="53F06871" w14:textId="77777777" w:rsidR="00F270C0" w:rsidRPr="0062207D" w:rsidRDefault="00F270C0" w:rsidP="005938C8">
      <w:pPr>
        <w:pStyle w:val="Paragrafoelenco"/>
        <w:keepNext/>
        <w:keepLines/>
        <w:numPr>
          <w:ilvl w:val="0"/>
          <w:numId w:val="11"/>
        </w:numPr>
        <w:tabs>
          <w:tab w:val="left" w:pos="284"/>
        </w:tabs>
        <w:autoSpaceDE w:val="0"/>
        <w:autoSpaceDN w:val="0"/>
        <w:adjustRightInd w:val="0"/>
        <w:spacing w:before="120" w:after="120" w:line="240" w:lineRule="auto"/>
        <w:ind w:left="0" w:firstLine="0"/>
        <w:contextualSpacing w:val="0"/>
        <w:jc w:val="both"/>
        <w:rPr>
          <w:rFonts w:ascii="Segoe UI" w:hAnsi="Segoe UI" w:cs="Segoe UI"/>
          <w:i/>
          <w:szCs w:val="20"/>
        </w:rPr>
      </w:pPr>
      <w:r w:rsidRPr="0062207D">
        <w:rPr>
          <w:rFonts w:ascii="Segoe UI" w:hAnsi="Segoe UI" w:cs="Segoe UI"/>
          <w:i/>
          <w:szCs w:val="20"/>
        </w:rPr>
        <w:t>Definire il perimetro di rendicontazione</w:t>
      </w:r>
    </w:p>
    <w:p w14:paraId="48E38B1F" w14:textId="7D6C25AB" w:rsidR="00F270C0" w:rsidRPr="0062207D" w:rsidRDefault="00F270C0" w:rsidP="00C23330">
      <w:pPr>
        <w:keepNext/>
        <w:keepLines/>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Nella </w:t>
      </w:r>
      <w:r w:rsidRPr="0062207D">
        <w:rPr>
          <w:rFonts w:ascii="Segoe UI" w:hAnsi="Segoe UI" w:cs="Segoe UI"/>
          <w:b/>
          <w:szCs w:val="20"/>
        </w:rPr>
        <w:t>definizione del perimetro di rendicontazione</w:t>
      </w:r>
      <w:r w:rsidRPr="0062207D">
        <w:rPr>
          <w:rFonts w:ascii="Segoe UI" w:hAnsi="Segoe UI" w:cs="Segoe UI"/>
          <w:szCs w:val="20"/>
        </w:rPr>
        <w:t xml:space="preserve"> l’IIRC richiama i paragrafi 3.30 e 3.31 del</w:t>
      </w:r>
      <w:r w:rsidR="00263323" w:rsidRPr="0062207D">
        <w:rPr>
          <w:rFonts w:ascii="Segoe UI" w:hAnsi="Segoe UI" w:cs="Segoe UI"/>
          <w:szCs w:val="20"/>
        </w:rPr>
        <w:t>l’IR</w:t>
      </w:r>
      <w:r w:rsidRPr="0062207D">
        <w:rPr>
          <w:rFonts w:ascii="Segoe UI" w:hAnsi="Segoe UI" w:cs="Segoe UI"/>
          <w:szCs w:val="20"/>
        </w:rPr>
        <w:t xml:space="preserve"> </w:t>
      </w:r>
      <w:r w:rsidR="00922E05" w:rsidRPr="00922E05">
        <w:rPr>
          <w:rFonts w:ascii="Segoe UI" w:hAnsi="Segoe UI" w:cs="Segoe UI"/>
          <w:szCs w:val="20"/>
        </w:rPr>
        <w:t>Framework</w:t>
      </w:r>
      <w:r w:rsidR="00263323" w:rsidRPr="0062207D">
        <w:rPr>
          <w:rFonts w:ascii="Segoe UI" w:hAnsi="Segoe UI" w:cs="Segoe UI"/>
          <w:szCs w:val="20"/>
        </w:rPr>
        <w:t>,</w:t>
      </w:r>
      <w:r w:rsidRPr="0062207D">
        <w:rPr>
          <w:rFonts w:ascii="Segoe UI" w:hAnsi="Segoe UI" w:cs="Segoe UI"/>
          <w:szCs w:val="20"/>
        </w:rPr>
        <w:t xml:space="preserve"> nei quali viene stabilito che: “</w:t>
      </w:r>
      <w:r w:rsidRPr="00CA58DA">
        <w:rPr>
          <w:rFonts w:ascii="Segoe UI" w:hAnsi="Segoe UI" w:cs="Segoe UI"/>
          <w:szCs w:val="20"/>
        </w:rPr>
        <w:t xml:space="preserve">un elemento chiave del processo di definizione della materialità </w:t>
      </w:r>
      <w:r w:rsidR="00CA58DA">
        <w:rPr>
          <w:rFonts w:ascii="Segoe UI" w:hAnsi="Segoe UI" w:cs="Segoe UI"/>
          <w:szCs w:val="20"/>
        </w:rPr>
        <w:t>è</w:t>
      </w:r>
      <w:r w:rsidRPr="00CA58DA">
        <w:rPr>
          <w:rFonts w:ascii="Segoe UI" w:hAnsi="Segoe UI" w:cs="Segoe UI"/>
          <w:szCs w:val="20"/>
        </w:rPr>
        <w:t xml:space="preserve"> il concetto di perimetro di rendicontazione</w:t>
      </w:r>
      <w:r w:rsidRPr="0062207D">
        <w:rPr>
          <w:rFonts w:ascii="Segoe UI" w:hAnsi="Segoe UI" w:cs="Segoe UI"/>
          <w:szCs w:val="20"/>
        </w:rPr>
        <w:t xml:space="preserve">”. Al fine di determinare il perimetro di un </w:t>
      </w:r>
      <w:r w:rsidRPr="00C42E4A">
        <w:rPr>
          <w:rFonts w:ascii="Segoe UI" w:hAnsi="Segoe UI" w:cs="Segoe UI"/>
          <w:i/>
          <w:szCs w:val="20"/>
        </w:rPr>
        <w:t>report</w:t>
      </w:r>
      <w:r w:rsidRPr="0062207D">
        <w:rPr>
          <w:rFonts w:ascii="Segoe UI" w:hAnsi="Segoe UI" w:cs="Segoe UI"/>
          <w:szCs w:val="20"/>
        </w:rPr>
        <w:t xml:space="preserve"> integrato è necessario tenere in considerazione:</w:t>
      </w:r>
    </w:p>
    <w:p w14:paraId="5C5CF675" w14:textId="74F22CDA"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l’organizzazione</w:t>
      </w:r>
      <w:r w:rsidR="00EA545F" w:rsidRPr="0062207D">
        <w:rPr>
          <w:rFonts w:ascii="Segoe UI" w:hAnsi="Segoe UI" w:cs="Segoe UI"/>
          <w:szCs w:val="20"/>
        </w:rPr>
        <w:t>,</w:t>
      </w:r>
      <w:r w:rsidRPr="0062207D">
        <w:rPr>
          <w:rFonts w:ascii="Segoe UI" w:hAnsi="Segoe UI" w:cs="Segoe UI"/>
          <w:szCs w:val="20"/>
        </w:rPr>
        <w:t xml:space="preserve"> da un punto di vista del </w:t>
      </w:r>
      <w:r w:rsidRPr="0062207D">
        <w:rPr>
          <w:rFonts w:ascii="Segoe UI" w:hAnsi="Segoe UI" w:cs="Segoe UI"/>
          <w:i/>
          <w:szCs w:val="20"/>
        </w:rPr>
        <w:t>reporting</w:t>
      </w:r>
      <w:r w:rsidRPr="0062207D">
        <w:rPr>
          <w:rFonts w:ascii="Segoe UI" w:hAnsi="Segoe UI" w:cs="Segoe UI"/>
          <w:szCs w:val="20"/>
        </w:rPr>
        <w:t xml:space="preserve"> finanziario (vale a dire il perimetro utilizzato per la rendicontazione finanziaria);</w:t>
      </w:r>
    </w:p>
    <w:p w14:paraId="7567CA4E" w14:textId="7C309CFA"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 xml:space="preserve">i rischi, le opportunità e gli </w:t>
      </w:r>
      <w:r w:rsidRPr="0062207D">
        <w:rPr>
          <w:rFonts w:ascii="Segoe UI" w:hAnsi="Segoe UI" w:cs="Segoe UI"/>
          <w:i/>
          <w:szCs w:val="20"/>
        </w:rPr>
        <w:t>outcome</w:t>
      </w:r>
      <w:r w:rsidRPr="0062207D">
        <w:rPr>
          <w:rFonts w:ascii="Segoe UI" w:hAnsi="Segoe UI" w:cs="Segoe UI"/>
          <w:szCs w:val="20"/>
        </w:rPr>
        <w:t xml:space="preserve"> attribuibili o associati ad altr</w:t>
      </w:r>
      <w:r w:rsidR="00652BF9">
        <w:rPr>
          <w:rFonts w:ascii="Segoe UI" w:hAnsi="Segoe UI" w:cs="Segoe UI"/>
          <w:szCs w:val="20"/>
        </w:rPr>
        <w:t xml:space="preserve">i enti </w:t>
      </w:r>
      <w:r w:rsidRPr="0062207D">
        <w:rPr>
          <w:rFonts w:ascii="Segoe UI" w:hAnsi="Segoe UI" w:cs="Segoe UI"/>
          <w:szCs w:val="20"/>
        </w:rPr>
        <w:t xml:space="preserve">o </w:t>
      </w:r>
      <w:r w:rsidRPr="0062207D">
        <w:rPr>
          <w:rFonts w:ascii="Segoe UI" w:hAnsi="Segoe UI" w:cs="Segoe UI"/>
          <w:i/>
          <w:szCs w:val="20"/>
        </w:rPr>
        <w:t>stakeholder</w:t>
      </w:r>
      <w:r w:rsidRPr="0062207D">
        <w:rPr>
          <w:rFonts w:ascii="Segoe UI" w:hAnsi="Segoe UI" w:cs="Segoe UI"/>
          <w:szCs w:val="20"/>
        </w:rPr>
        <w:t>, oltre all’ent</w:t>
      </w:r>
      <w:r w:rsidR="00652BF9">
        <w:rPr>
          <w:rFonts w:ascii="Segoe UI" w:hAnsi="Segoe UI" w:cs="Segoe UI"/>
          <w:szCs w:val="20"/>
        </w:rPr>
        <w:t xml:space="preserve">e </w:t>
      </w:r>
      <w:r w:rsidRPr="0062207D">
        <w:rPr>
          <w:rFonts w:ascii="Segoe UI" w:hAnsi="Segoe UI" w:cs="Segoe UI"/>
          <w:szCs w:val="20"/>
        </w:rPr>
        <w:t xml:space="preserve">del </w:t>
      </w:r>
      <w:r w:rsidRPr="0062207D">
        <w:rPr>
          <w:rFonts w:ascii="Segoe UI" w:hAnsi="Segoe UI" w:cs="Segoe UI"/>
          <w:i/>
          <w:szCs w:val="20"/>
        </w:rPr>
        <w:t>reporting</w:t>
      </w:r>
      <w:r w:rsidRPr="0062207D">
        <w:rPr>
          <w:rFonts w:ascii="Segoe UI" w:hAnsi="Segoe UI" w:cs="Segoe UI"/>
          <w:szCs w:val="20"/>
        </w:rPr>
        <w:t xml:space="preserve"> finanziario, che influiscono in modo significativo sulla capacità dell’</w:t>
      </w:r>
      <w:r w:rsidR="0098389E">
        <w:rPr>
          <w:rFonts w:ascii="Segoe UI" w:hAnsi="Segoe UI" w:cs="Segoe UI"/>
          <w:szCs w:val="20"/>
        </w:rPr>
        <w:t xml:space="preserve">organizzazione </w:t>
      </w:r>
      <w:r w:rsidRPr="0062207D">
        <w:rPr>
          <w:rFonts w:ascii="Segoe UI" w:hAnsi="Segoe UI" w:cs="Segoe UI"/>
          <w:szCs w:val="20"/>
        </w:rPr>
        <w:t>di creare valore.</w:t>
      </w:r>
    </w:p>
    <w:p w14:paraId="29C91071" w14:textId="74E97C31" w:rsidR="00F270C0" w:rsidRPr="0062207D" w:rsidRDefault="00F270C0" w:rsidP="00C23330">
      <w:pPr>
        <w:keepNext/>
        <w:keepLines/>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L’approccio, quindi, prevede che l’ent</w:t>
      </w:r>
      <w:r w:rsidR="00652BF9">
        <w:rPr>
          <w:rFonts w:ascii="Segoe UI" w:hAnsi="Segoe UI" w:cs="Segoe UI"/>
          <w:szCs w:val="20"/>
        </w:rPr>
        <w:t xml:space="preserve">e </w:t>
      </w:r>
      <w:r w:rsidRPr="0062207D">
        <w:rPr>
          <w:rFonts w:ascii="Segoe UI" w:hAnsi="Segoe UI" w:cs="Segoe UI"/>
          <w:szCs w:val="20"/>
        </w:rPr>
        <w:t xml:space="preserve">del </w:t>
      </w:r>
      <w:r w:rsidRPr="0062207D">
        <w:rPr>
          <w:rFonts w:ascii="Segoe UI" w:hAnsi="Segoe UI" w:cs="Segoe UI"/>
          <w:i/>
          <w:szCs w:val="20"/>
        </w:rPr>
        <w:t>reporting</w:t>
      </w:r>
      <w:r w:rsidRPr="0062207D">
        <w:rPr>
          <w:rFonts w:ascii="Segoe UI" w:hAnsi="Segoe UI" w:cs="Segoe UI"/>
          <w:szCs w:val="20"/>
        </w:rPr>
        <w:t xml:space="preserve"> finanziario costituisca l’elemento cruciale del perimetro di rendicontazione poiché:</w:t>
      </w:r>
    </w:p>
    <w:p w14:paraId="21888D81" w14:textId="77777777"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è quello in cui investono i fornitori di capitale finanziario e in merito al quale desiderano pertanto ottenere informazioni;</w:t>
      </w:r>
    </w:p>
    <w:p w14:paraId="0EA94829" w14:textId="77777777" w:rsidR="00F270C0" w:rsidRPr="0062207D" w:rsidRDefault="00F270C0"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 xml:space="preserve">le informazioni dei rendiconti finanziari possono servire come base o come punto di riferimento a cui poter correlare le altre informazioni contenute in un </w:t>
      </w:r>
      <w:r w:rsidRPr="00C6270D">
        <w:rPr>
          <w:rFonts w:ascii="Segoe UI" w:hAnsi="Segoe UI" w:cs="Segoe UI"/>
          <w:i/>
          <w:szCs w:val="20"/>
        </w:rPr>
        <w:t>report</w:t>
      </w:r>
      <w:r w:rsidRPr="0062207D">
        <w:rPr>
          <w:rFonts w:ascii="Segoe UI" w:hAnsi="Segoe UI" w:cs="Segoe UI"/>
          <w:szCs w:val="20"/>
        </w:rPr>
        <w:t xml:space="preserve"> integrato.</w:t>
      </w:r>
    </w:p>
    <w:p w14:paraId="0F420C83" w14:textId="67C52A59" w:rsidR="00F270C0" w:rsidRPr="0062207D" w:rsidRDefault="00652BF9" w:rsidP="00C23330">
      <w:pPr>
        <w:autoSpaceDE w:val="0"/>
        <w:autoSpaceDN w:val="0"/>
        <w:adjustRightInd w:val="0"/>
        <w:spacing w:before="120" w:after="120" w:line="240" w:lineRule="auto"/>
        <w:jc w:val="both"/>
        <w:rPr>
          <w:rFonts w:ascii="Segoe UI" w:hAnsi="Segoe UI" w:cs="Segoe UI"/>
          <w:szCs w:val="20"/>
        </w:rPr>
      </w:pPr>
      <w:r>
        <w:rPr>
          <w:rFonts w:ascii="Segoe UI" w:hAnsi="Segoe UI" w:cs="Segoe UI"/>
          <w:szCs w:val="20"/>
        </w:rPr>
        <w:t xml:space="preserve">L’IR </w:t>
      </w:r>
      <w:r w:rsidR="00F270C0" w:rsidRPr="0062207D">
        <w:rPr>
          <w:rFonts w:ascii="Segoe UI" w:hAnsi="Segoe UI" w:cs="Segoe UI"/>
          <w:szCs w:val="20"/>
        </w:rPr>
        <w:t>Framework 1.0</w:t>
      </w:r>
      <w:r>
        <w:rPr>
          <w:rFonts w:ascii="Segoe UI" w:hAnsi="Segoe UI" w:cs="Segoe UI"/>
          <w:szCs w:val="20"/>
        </w:rPr>
        <w:t>,</w:t>
      </w:r>
      <w:r w:rsidR="00F270C0" w:rsidRPr="0062207D">
        <w:rPr>
          <w:rFonts w:ascii="Segoe UI" w:hAnsi="Segoe UI" w:cs="Segoe UI"/>
          <w:szCs w:val="20"/>
        </w:rPr>
        <w:t xml:space="preserve"> quindi</w:t>
      </w:r>
      <w:r>
        <w:rPr>
          <w:rFonts w:ascii="Segoe UI" w:hAnsi="Segoe UI" w:cs="Segoe UI"/>
          <w:szCs w:val="20"/>
        </w:rPr>
        <w:t xml:space="preserve">, </w:t>
      </w:r>
      <w:r w:rsidR="00F270C0" w:rsidRPr="0062207D">
        <w:rPr>
          <w:rFonts w:ascii="Segoe UI" w:hAnsi="Segoe UI" w:cs="Segoe UI"/>
          <w:szCs w:val="20"/>
        </w:rPr>
        <w:t xml:space="preserve">suggerisce </w:t>
      </w:r>
      <w:r>
        <w:rPr>
          <w:rFonts w:ascii="Segoe UI" w:hAnsi="Segoe UI" w:cs="Segoe UI"/>
          <w:szCs w:val="20"/>
        </w:rPr>
        <w:t xml:space="preserve">di adottare come </w:t>
      </w:r>
      <w:r w:rsidR="00F270C0" w:rsidRPr="0062207D">
        <w:rPr>
          <w:rFonts w:ascii="Segoe UI" w:hAnsi="Segoe UI" w:cs="Segoe UI"/>
          <w:szCs w:val="20"/>
        </w:rPr>
        <w:t xml:space="preserve">punto di partenza per </w:t>
      </w:r>
      <w:r>
        <w:rPr>
          <w:rFonts w:ascii="Segoe UI" w:hAnsi="Segoe UI" w:cs="Segoe UI"/>
          <w:szCs w:val="20"/>
        </w:rPr>
        <w:t xml:space="preserve">la </w:t>
      </w:r>
      <w:r w:rsidR="00F270C0" w:rsidRPr="0062207D">
        <w:rPr>
          <w:rFonts w:ascii="Segoe UI" w:hAnsi="Segoe UI" w:cs="Segoe UI"/>
          <w:szCs w:val="20"/>
        </w:rPr>
        <w:t>defini</w:t>
      </w:r>
      <w:r>
        <w:rPr>
          <w:rFonts w:ascii="Segoe UI" w:hAnsi="Segoe UI" w:cs="Segoe UI"/>
          <w:szCs w:val="20"/>
        </w:rPr>
        <w:t>zione de</w:t>
      </w:r>
      <w:r w:rsidR="00F270C0" w:rsidRPr="0062207D">
        <w:rPr>
          <w:rFonts w:ascii="Segoe UI" w:hAnsi="Segoe UI" w:cs="Segoe UI"/>
          <w:szCs w:val="20"/>
        </w:rPr>
        <w:t>i</w:t>
      </w:r>
      <w:r>
        <w:rPr>
          <w:rFonts w:ascii="Segoe UI" w:hAnsi="Segoe UI" w:cs="Segoe UI"/>
          <w:szCs w:val="20"/>
        </w:rPr>
        <w:t xml:space="preserve"> </w:t>
      </w:r>
      <w:r w:rsidR="00F270C0" w:rsidRPr="0062207D">
        <w:rPr>
          <w:rFonts w:ascii="Segoe UI" w:hAnsi="Segoe UI" w:cs="Segoe UI"/>
          <w:szCs w:val="20"/>
        </w:rPr>
        <w:t>confini dell</w:t>
      </w:r>
      <w:r w:rsidR="00462858">
        <w:rPr>
          <w:rFonts w:ascii="Segoe UI" w:hAnsi="Segoe UI" w:cs="Segoe UI"/>
          <w:szCs w:val="20"/>
        </w:rPr>
        <w:t xml:space="preserve">a </w:t>
      </w:r>
      <w:r w:rsidR="00462858" w:rsidRPr="000A6C24">
        <w:rPr>
          <w:rFonts w:ascii="Segoe UI" w:hAnsi="Segoe UI" w:cs="Segoe UI"/>
          <w:i/>
          <w:szCs w:val="20"/>
        </w:rPr>
        <w:t>disclosu</w:t>
      </w:r>
      <w:r w:rsidR="000A6C24">
        <w:rPr>
          <w:rFonts w:ascii="Segoe UI" w:hAnsi="Segoe UI" w:cs="Segoe UI"/>
          <w:i/>
          <w:szCs w:val="20"/>
        </w:rPr>
        <w:t>r</w:t>
      </w:r>
      <w:r w:rsidR="00462858" w:rsidRPr="000A6C24">
        <w:rPr>
          <w:rFonts w:ascii="Segoe UI" w:hAnsi="Segoe UI" w:cs="Segoe UI"/>
          <w:i/>
          <w:szCs w:val="20"/>
        </w:rPr>
        <w:t>e</w:t>
      </w:r>
      <w:r>
        <w:rPr>
          <w:rFonts w:ascii="Segoe UI" w:hAnsi="Segoe UI" w:cs="Segoe UI"/>
          <w:szCs w:val="20"/>
        </w:rPr>
        <w:t>,</w:t>
      </w:r>
      <w:r w:rsidR="00F270C0" w:rsidRPr="0062207D">
        <w:rPr>
          <w:rFonts w:ascii="Segoe UI" w:hAnsi="Segoe UI" w:cs="Segoe UI"/>
          <w:szCs w:val="20"/>
        </w:rPr>
        <w:t xml:space="preserve"> appunto</w:t>
      </w:r>
      <w:r w:rsidR="00BD11CE" w:rsidRPr="0062207D">
        <w:rPr>
          <w:rFonts w:ascii="Segoe UI" w:hAnsi="Segoe UI" w:cs="Segoe UI"/>
          <w:szCs w:val="20"/>
        </w:rPr>
        <w:t>,</w:t>
      </w:r>
      <w:r w:rsidR="00F270C0" w:rsidRPr="0062207D">
        <w:rPr>
          <w:rFonts w:ascii="Segoe UI" w:hAnsi="Segoe UI" w:cs="Segoe UI"/>
          <w:szCs w:val="20"/>
        </w:rPr>
        <w:t xml:space="preserve"> </w:t>
      </w:r>
      <w:r>
        <w:rPr>
          <w:rFonts w:ascii="Segoe UI" w:hAnsi="Segoe UI" w:cs="Segoe UI"/>
          <w:szCs w:val="20"/>
        </w:rPr>
        <w:t xml:space="preserve">proprio </w:t>
      </w:r>
      <w:r w:rsidR="00F270C0" w:rsidRPr="0062207D">
        <w:rPr>
          <w:rFonts w:ascii="Segoe UI" w:hAnsi="Segoe UI" w:cs="Segoe UI"/>
          <w:szCs w:val="20"/>
        </w:rPr>
        <w:t>i confini dell’informativa finanziaria dell’organizzazione, includendo</w:t>
      </w:r>
      <w:r>
        <w:rPr>
          <w:rFonts w:ascii="Segoe UI" w:hAnsi="Segoe UI" w:cs="Segoe UI"/>
          <w:szCs w:val="20"/>
        </w:rPr>
        <w:t>vi</w:t>
      </w:r>
      <w:r w:rsidR="00F270C0" w:rsidRPr="0062207D">
        <w:rPr>
          <w:rFonts w:ascii="Segoe UI" w:hAnsi="Segoe UI" w:cs="Segoe UI"/>
          <w:szCs w:val="20"/>
        </w:rPr>
        <w:t xml:space="preserve"> società controllate, </w:t>
      </w:r>
      <w:r w:rsidR="00F270C0" w:rsidRPr="0062207D">
        <w:rPr>
          <w:rFonts w:ascii="Segoe UI" w:hAnsi="Segoe UI" w:cs="Segoe UI"/>
          <w:i/>
          <w:szCs w:val="20"/>
        </w:rPr>
        <w:t>joint venture</w:t>
      </w:r>
      <w:r w:rsidR="00F270C0" w:rsidRPr="0062207D">
        <w:rPr>
          <w:rFonts w:ascii="Segoe UI" w:hAnsi="Segoe UI" w:cs="Segoe UI"/>
          <w:szCs w:val="20"/>
        </w:rPr>
        <w:t xml:space="preserve"> e società per le quali l’organizzazione esercit</w:t>
      </w:r>
      <w:r w:rsidR="00BD11CE" w:rsidRPr="0062207D">
        <w:rPr>
          <w:rFonts w:ascii="Segoe UI" w:hAnsi="Segoe UI" w:cs="Segoe UI"/>
          <w:szCs w:val="20"/>
        </w:rPr>
        <w:t>i</w:t>
      </w:r>
      <w:r w:rsidR="00F270C0" w:rsidRPr="0062207D">
        <w:rPr>
          <w:rFonts w:ascii="Segoe UI" w:hAnsi="Segoe UI" w:cs="Segoe UI"/>
          <w:szCs w:val="20"/>
        </w:rPr>
        <w:t xml:space="preserve"> un controllo o un’influenza notevole.</w:t>
      </w:r>
    </w:p>
    <w:p w14:paraId="73E6B93B" w14:textId="1F066FB9" w:rsidR="00F270C0" w:rsidRPr="0062207D" w:rsidRDefault="003F7983"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Nello specifico dunque</w:t>
      </w:r>
      <w:r w:rsidR="00F270C0" w:rsidRPr="0062207D">
        <w:rPr>
          <w:rFonts w:ascii="Segoe UI" w:hAnsi="Segoe UI" w:cs="Segoe UI"/>
          <w:szCs w:val="20"/>
        </w:rPr>
        <w:t>, l’IIRC</w:t>
      </w:r>
      <w:r w:rsidR="00BD11CE" w:rsidRPr="0062207D">
        <w:rPr>
          <w:rFonts w:ascii="Segoe UI" w:hAnsi="Segoe UI" w:cs="Segoe UI"/>
          <w:szCs w:val="20"/>
        </w:rPr>
        <w:t>,</w:t>
      </w:r>
      <w:r w:rsidR="00F270C0" w:rsidRPr="0062207D">
        <w:rPr>
          <w:rFonts w:ascii="Segoe UI" w:hAnsi="Segoe UI" w:cs="Segoe UI"/>
          <w:szCs w:val="20"/>
        </w:rPr>
        <w:t xml:space="preserve"> richiamando il paragrafo 3.34 del</w:t>
      </w:r>
      <w:r w:rsidR="00BD11CE" w:rsidRPr="0062207D">
        <w:rPr>
          <w:rFonts w:ascii="Segoe UI" w:hAnsi="Segoe UI" w:cs="Segoe UI"/>
          <w:szCs w:val="20"/>
        </w:rPr>
        <w:t>l’IR</w:t>
      </w:r>
      <w:r w:rsidR="00F270C0" w:rsidRPr="0062207D">
        <w:rPr>
          <w:rFonts w:ascii="Segoe UI" w:hAnsi="Segoe UI" w:cs="Segoe UI"/>
          <w:szCs w:val="20"/>
        </w:rPr>
        <w:t xml:space="preserve"> </w:t>
      </w:r>
      <w:r w:rsidR="00922E05" w:rsidRPr="00922E05">
        <w:rPr>
          <w:rFonts w:ascii="Segoe UI" w:hAnsi="Segoe UI" w:cs="Segoe UI"/>
          <w:szCs w:val="20"/>
        </w:rPr>
        <w:t>Framework</w:t>
      </w:r>
      <w:r w:rsidR="00BD11CE" w:rsidRPr="0062207D">
        <w:rPr>
          <w:rFonts w:ascii="Segoe UI" w:hAnsi="Segoe UI" w:cs="Segoe UI"/>
          <w:szCs w:val="20"/>
        </w:rPr>
        <w:t xml:space="preserve">, </w:t>
      </w:r>
      <w:r w:rsidR="00F270C0" w:rsidRPr="0062207D">
        <w:rPr>
          <w:rFonts w:ascii="Segoe UI" w:hAnsi="Segoe UI" w:cs="Segoe UI"/>
          <w:szCs w:val="20"/>
        </w:rPr>
        <w:t>stabilisce che “</w:t>
      </w:r>
      <w:r w:rsidR="00F270C0" w:rsidRPr="009112EB">
        <w:rPr>
          <w:rFonts w:ascii="Segoe UI" w:hAnsi="Segoe UI" w:cs="Segoe UI"/>
          <w:szCs w:val="20"/>
        </w:rPr>
        <w:t xml:space="preserve">il secondo aspetto nella determinazione del perimetro di rendicontazione consiste nell’identificare i rischi, opportunità, e </w:t>
      </w:r>
      <w:r w:rsidR="00F270C0" w:rsidRPr="00C6270D">
        <w:rPr>
          <w:rFonts w:ascii="Segoe UI" w:hAnsi="Segoe UI" w:cs="Segoe UI"/>
          <w:i/>
          <w:szCs w:val="20"/>
        </w:rPr>
        <w:t>outcome</w:t>
      </w:r>
      <w:r w:rsidR="00F270C0" w:rsidRPr="009112EB">
        <w:rPr>
          <w:rFonts w:ascii="Segoe UI" w:hAnsi="Segoe UI" w:cs="Segoe UI"/>
          <w:szCs w:val="20"/>
        </w:rPr>
        <w:t xml:space="preserve"> attribuibili o associati a entità/stakeholder diversi dall’entità del reporting finanziario e che influiscono in modo significativo sulla capacità di creare valore. Questi ulteriori entità/stakeholder possono essere “parti correlate” ai fini del </w:t>
      </w:r>
      <w:r w:rsidR="00F270C0" w:rsidRPr="00C6270D">
        <w:rPr>
          <w:rFonts w:ascii="Segoe UI" w:hAnsi="Segoe UI" w:cs="Segoe UI"/>
          <w:i/>
          <w:szCs w:val="20"/>
        </w:rPr>
        <w:t>reporting</w:t>
      </w:r>
      <w:r w:rsidR="00F270C0" w:rsidRPr="009112EB">
        <w:rPr>
          <w:rFonts w:ascii="Segoe UI" w:hAnsi="Segoe UI" w:cs="Segoe UI"/>
          <w:szCs w:val="20"/>
        </w:rPr>
        <w:t xml:space="preserve"> finanziario, ma in genere si estendono anche ad ulteriori soggetti</w:t>
      </w:r>
      <w:r w:rsidR="00F270C0" w:rsidRPr="0062207D">
        <w:rPr>
          <w:rFonts w:ascii="Segoe UI" w:hAnsi="Segoe UI" w:cs="Segoe UI"/>
          <w:szCs w:val="20"/>
        </w:rPr>
        <w:t>”.</w:t>
      </w:r>
    </w:p>
    <w:p w14:paraId="6C8854CB" w14:textId="77777777" w:rsidR="0054541C" w:rsidRPr="0062207D" w:rsidRDefault="0054541C" w:rsidP="00C23330">
      <w:pPr>
        <w:autoSpaceDE w:val="0"/>
        <w:autoSpaceDN w:val="0"/>
        <w:adjustRightInd w:val="0"/>
        <w:spacing w:before="120" w:after="120" w:line="240" w:lineRule="auto"/>
        <w:jc w:val="both"/>
        <w:rPr>
          <w:rFonts w:ascii="Segoe UI" w:hAnsi="Segoe UI" w:cs="Segoe UI"/>
          <w:szCs w:val="20"/>
        </w:rPr>
      </w:pPr>
    </w:p>
    <w:p w14:paraId="755CFCC0" w14:textId="77777777" w:rsidR="00F270C0" w:rsidRPr="0062207D" w:rsidRDefault="00F270C0" w:rsidP="005938C8">
      <w:pPr>
        <w:pStyle w:val="Paragrafoelenco"/>
        <w:keepNext/>
        <w:keepLines/>
        <w:numPr>
          <w:ilvl w:val="0"/>
          <w:numId w:val="11"/>
        </w:numPr>
        <w:tabs>
          <w:tab w:val="left" w:pos="284"/>
        </w:tabs>
        <w:autoSpaceDE w:val="0"/>
        <w:autoSpaceDN w:val="0"/>
        <w:adjustRightInd w:val="0"/>
        <w:spacing w:before="120" w:after="120" w:line="240" w:lineRule="auto"/>
        <w:ind w:left="0" w:firstLine="0"/>
        <w:contextualSpacing w:val="0"/>
        <w:jc w:val="both"/>
        <w:rPr>
          <w:rFonts w:ascii="Segoe UI" w:hAnsi="Segoe UI" w:cs="Segoe UI"/>
          <w:i/>
          <w:szCs w:val="20"/>
        </w:rPr>
      </w:pPr>
      <w:r w:rsidRPr="0062207D">
        <w:rPr>
          <w:rFonts w:ascii="Segoe UI" w:hAnsi="Segoe UI" w:cs="Segoe UI"/>
          <w:i/>
          <w:szCs w:val="20"/>
        </w:rPr>
        <w:t>Definizione della disclosure</w:t>
      </w:r>
    </w:p>
    <w:p w14:paraId="0B593662" w14:textId="147C090F" w:rsidR="00F270C0" w:rsidRPr="0062207D" w:rsidRDefault="0080783E" w:rsidP="00C23330">
      <w:pPr>
        <w:autoSpaceDE w:val="0"/>
        <w:autoSpaceDN w:val="0"/>
        <w:adjustRightInd w:val="0"/>
        <w:spacing w:before="120" w:after="120" w:line="240" w:lineRule="auto"/>
        <w:jc w:val="both"/>
        <w:rPr>
          <w:rFonts w:ascii="Segoe UI" w:hAnsi="Segoe UI" w:cs="Segoe UI"/>
          <w:szCs w:val="20"/>
        </w:rPr>
      </w:pPr>
      <w:r>
        <w:rPr>
          <w:rFonts w:ascii="Segoe UI" w:hAnsi="Segoe UI" w:cs="Segoe UI"/>
          <w:szCs w:val="20"/>
        </w:rPr>
        <w:t>Nell</w:t>
      </w:r>
      <w:r w:rsidR="00F270C0" w:rsidRPr="0062207D">
        <w:rPr>
          <w:rFonts w:ascii="Segoe UI" w:hAnsi="Segoe UI" w:cs="Segoe UI"/>
          <w:szCs w:val="20"/>
        </w:rPr>
        <w:t xml:space="preserve">’approccio stratificato proposto dall’IR </w:t>
      </w:r>
      <w:r w:rsidR="00922E05" w:rsidRPr="00922E05">
        <w:rPr>
          <w:rFonts w:ascii="Segoe UI" w:hAnsi="Segoe UI" w:cs="Segoe UI"/>
          <w:szCs w:val="20"/>
        </w:rPr>
        <w:t>Framework</w:t>
      </w:r>
      <w:r w:rsidR="00F270C0" w:rsidRPr="0062207D">
        <w:rPr>
          <w:rFonts w:ascii="Segoe UI" w:hAnsi="Segoe UI" w:cs="Segoe UI"/>
          <w:szCs w:val="20"/>
        </w:rPr>
        <w:t xml:space="preserve"> 1.0 viene </w:t>
      </w:r>
      <w:r>
        <w:rPr>
          <w:rFonts w:ascii="Segoe UI" w:hAnsi="Segoe UI" w:cs="Segoe UI"/>
          <w:szCs w:val="20"/>
        </w:rPr>
        <w:t xml:space="preserve">rimarcata </w:t>
      </w:r>
      <w:r w:rsidR="00F270C0" w:rsidRPr="0062207D">
        <w:rPr>
          <w:rFonts w:ascii="Segoe UI" w:hAnsi="Segoe UI" w:cs="Segoe UI"/>
          <w:szCs w:val="20"/>
        </w:rPr>
        <w:t xml:space="preserve">l’importanza di stabilire chiaramente i parametri mediante i quali viene stabilita la </w:t>
      </w:r>
      <w:r>
        <w:rPr>
          <w:rFonts w:ascii="Segoe UI" w:hAnsi="Segoe UI" w:cs="Segoe UI"/>
          <w:szCs w:val="20"/>
        </w:rPr>
        <w:t xml:space="preserve">materialità </w:t>
      </w:r>
      <w:r w:rsidR="00F270C0" w:rsidRPr="0062207D">
        <w:rPr>
          <w:rFonts w:ascii="Segoe UI" w:hAnsi="Segoe UI" w:cs="Segoe UI"/>
          <w:szCs w:val="20"/>
        </w:rPr>
        <w:t xml:space="preserve">degli aspetti. La fase finale consiste nella redazione di un </w:t>
      </w:r>
      <w:r w:rsidR="00F270C0" w:rsidRPr="0062207D">
        <w:rPr>
          <w:rFonts w:ascii="Segoe UI" w:hAnsi="Segoe UI" w:cs="Segoe UI"/>
          <w:i/>
          <w:szCs w:val="20"/>
        </w:rPr>
        <w:t>report</w:t>
      </w:r>
      <w:r w:rsidR="00F270C0" w:rsidRPr="0062207D">
        <w:rPr>
          <w:rFonts w:ascii="Segoe UI" w:hAnsi="Segoe UI" w:cs="Segoe UI"/>
          <w:szCs w:val="20"/>
        </w:rPr>
        <w:t xml:space="preserve"> integrato</w:t>
      </w:r>
      <w:r w:rsidR="003F7983" w:rsidRPr="0062207D">
        <w:rPr>
          <w:rFonts w:ascii="Segoe UI" w:hAnsi="Segoe UI" w:cs="Segoe UI"/>
          <w:szCs w:val="20"/>
        </w:rPr>
        <w:t xml:space="preserve">, idoneo a </w:t>
      </w:r>
      <w:r w:rsidR="00F270C0" w:rsidRPr="0062207D">
        <w:rPr>
          <w:rFonts w:ascii="Segoe UI" w:hAnsi="Segoe UI" w:cs="Segoe UI"/>
          <w:szCs w:val="20"/>
        </w:rPr>
        <w:t xml:space="preserve">comunicare esternamente la rilevanza </w:t>
      </w:r>
      <w:r>
        <w:rPr>
          <w:rFonts w:ascii="Segoe UI" w:hAnsi="Segoe UI" w:cs="Segoe UI"/>
          <w:szCs w:val="20"/>
        </w:rPr>
        <w:t xml:space="preserve">e la materialità </w:t>
      </w:r>
      <w:r w:rsidR="00F270C0" w:rsidRPr="0062207D">
        <w:rPr>
          <w:rFonts w:ascii="Segoe UI" w:hAnsi="Segoe UI" w:cs="Segoe UI"/>
          <w:szCs w:val="20"/>
        </w:rPr>
        <w:t xml:space="preserve">dei temi e la loro connessione con il processo di creazione di valore per l’organizzazione. </w:t>
      </w:r>
      <w:r>
        <w:rPr>
          <w:rFonts w:ascii="Segoe UI" w:hAnsi="Segoe UI" w:cs="Segoe UI"/>
          <w:szCs w:val="20"/>
        </w:rPr>
        <w:t xml:space="preserve">L’IR </w:t>
      </w:r>
      <w:r w:rsidR="00F270C0" w:rsidRPr="0062207D">
        <w:rPr>
          <w:rFonts w:ascii="Segoe UI" w:hAnsi="Segoe UI" w:cs="Segoe UI"/>
          <w:szCs w:val="20"/>
        </w:rPr>
        <w:t>Framework</w:t>
      </w:r>
      <w:r w:rsidR="003F7983" w:rsidRPr="0062207D">
        <w:rPr>
          <w:rFonts w:ascii="Segoe UI" w:hAnsi="Segoe UI" w:cs="Segoe UI"/>
          <w:szCs w:val="20"/>
        </w:rPr>
        <w:t>,</w:t>
      </w:r>
      <w:r w:rsidR="00F270C0" w:rsidRPr="0062207D">
        <w:rPr>
          <w:rFonts w:ascii="Segoe UI" w:hAnsi="Segoe UI" w:cs="Segoe UI"/>
          <w:szCs w:val="20"/>
        </w:rPr>
        <w:t xml:space="preserve"> ai paragrafi 4.40 e 4.42</w:t>
      </w:r>
      <w:r w:rsidR="003F7983" w:rsidRPr="0062207D">
        <w:rPr>
          <w:rFonts w:ascii="Segoe UI" w:hAnsi="Segoe UI" w:cs="Segoe UI"/>
          <w:szCs w:val="20"/>
        </w:rPr>
        <w:t>,</w:t>
      </w:r>
      <w:r w:rsidR="00F270C0" w:rsidRPr="0062207D">
        <w:rPr>
          <w:rFonts w:ascii="Segoe UI" w:hAnsi="Segoe UI" w:cs="Segoe UI"/>
          <w:szCs w:val="20"/>
        </w:rPr>
        <w:t xml:space="preserve"> fornisce gli elementi </w:t>
      </w:r>
      <w:r>
        <w:rPr>
          <w:rFonts w:ascii="Segoe UI" w:hAnsi="Segoe UI" w:cs="Segoe UI"/>
          <w:szCs w:val="20"/>
        </w:rPr>
        <w:t xml:space="preserve">imprescindibili </w:t>
      </w:r>
      <w:r w:rsidR="00F270C0" w:rsidRPr="0062207D">
        <w:rPr>
          <w:rFonts w:ascii="Segoe UI" w:hAnsi="Segoe UI" w:cs="Segoe UI"/>
          <w:szCs w:val="20"/>
        </w:rPr>
        <w:t xml:space="preserve">per la </w:t>
      </w:r>
      <w:r>
        <w:rPr>
          <w:rFonts w:ascii="Segoe UI" w:hAnsi="Segoe UI" w:cs="Segoe UI"/>
          <w:szCs w:val="20"/>
        </w:rPr>
        <w:t xml:space="preserve">predisposizione e la </w:t>
      </w:r>
      <w:r w:rsidR="00F270C0" w:rsidRPr="0062207D">
        <w:rPr>
          <w:rFonts w:ascii="Segoe UI" w:hAnsi="Segoe UI" w:cs="Segoe UI"/>
          <w:szCs w:val="20"/>
        </w:rPr>
        <w:t>presentazione</w:t>
      </w:r>
      <w:r>
        <w:rPr>
          <w:rFonts w:ascii="Segoe UI" w:hAnsi="Segoe UI" w:cs="Segoe UI"/>
          <w:szCs w:val="20"/>
        </w:rPr>
        <w:t xml:space="preserve"> </w:t>
      </w:r>
      <w:r w:rsidR="00F270C0" w:rsidRPr="0062207D">
        <w:rPr>
          <w:rFonts w:ascii="Segoe UI" w:hAnsi="Segoe UI" w:cs="Segoe UI"/>
          <w:szCs w:val="20"/>
        </w:rPr>
        <w:t xml:space="preserve">del </w:t>
      </w:r>
      <w:r w:rsidR="00F270C0" w:rsidRPr="0062207D">
        <w:rPr>
          <w:rFonts w:ascii="Segoe UI" w:hAnsi="Segoe UI" w:cs="Segoe UI"/>
          <w:i/>
          <w:szCs w:val="20"/>
        </w:rPr>
        <w:t>report</w:t>
      </w:r>
      <w:r w:rsidR="00F270C0" w:rsidRPr="0062207D">
        <w:rPr>
          <w:rFonts w:ascii="Segoe UI" w:hAnsi="Segoe UI" w:cs="Segoe UI"/>
          <w:szCs w:val="20"/>
        </w:rPr>
        <w:t xml:space="preserve"> integrato, prevedendo che: “</w:t>
      </w:r>
      <w:r w:rsidR="00F270C0" w:rsidRPr="00A8296E">
        <w:rPr>
          <w:rFonts w:ascii="Segoe UI" w:hAnsi="Segoe UI" w:cs="Segoe UI"/>
          <w:szCs w:val="20"/>
        </w:rPr>
        <w:t xml:space="preserve">un </w:t>
      </w:r>
      <w:r w:rsidR="00F270C0" w:rsidRPr="00C6270D">
        <w:rPr>
          <w:rFonts w:ascii="Segoe UI" w:hAnsi="Segoe UI" w:cs="Segoe UI"/>
          <w:szCs w:val="20"/>
        </w:rPr>
        <w:t>report</w:t>
      </w:r>
      <w:r w:rsidR="00F270C0" w:rsidRPr="00A8296E">
        <w:rPr>
          <w:rFonts w:ascii="Segoe UI" w:hAnsi="Segoe UI" w:cs="Segoe UI"/>
          <w:szCs w:val="20"/>
        </w:rPr>
        <w:t xml:space="preserve"> integrato deve rispondere alla seguente domanda: in che modo l’organizzazione determina gli aspetti da includere nel report integrato e come vengono quantificati e valutati tali aspetti?</w:t>
      </w:r>
      <w:r w:rsidR="00F270C0" w:rsidRPr="0062207D">
        <w:rPr>
          <w:rFonts w:ascii="Segoe UI" w:hAnsi="Segoe UI" w:cs="Segoe UI"/>
          <w:szCs w:val="20"/>
        </w:rPr>
        <w:t>”</w:t>
      </w:r>
      <w:r w:rsidR="00A8296E">
        <w:rPr>
          <w:rFonts w:ascii="Segoe UI" w:hAnsi="Segoe UI" w:cs="Segoe UI"/>
          <w:szCs w:val="20"/>
        </w:rPr>
        <w:t>.</w:t>
      </w:r>
    </w:p>
    <w:p w14:paraId="7887FEFA" w14:textId="6EDB5A08" w:rsidR="00F270C0" w:rsidRPr="007E31DA" w:rsidRDefault="00F270C0" w:rsidP="00C23330">
      <w:pPr>
        <w:keepNext/>
        <w:keepLines/>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 xml:space="preserve">Al paragrafo 4.42, </w:t>
      </w:r>
      <w:r w:rsidR="003F7983" w:rsidRPr="0062207D">
        <w:rPr>
          <w:rFonts w:ascii="Segoe UI" w:hAnsi="Segoe UI" w:cs="Segoe UI"/>
          <w:szCs w:val="20"/>
        </w:rPr>
        <w:t>quindi</w:t>
      </w:r>
      <w:r w:rsidRPr="0062207D">
        <w:rPr>
          <w:rFonts w:ascii="Segoe UI" w:hAnsi="Segoe UI" w:cs="Segoe UI"/>
          <w:szCs w:val="20"/>
        </w:rPr>
        <w:t>, l</w:t>
      </w:r>
      <w:r w:rsidR="003F7983" w:rsidRPr="0062207D">
        <w:rPr>
          <w:rFonts w:ascii="Segoe UI" w:hAnsi="Segoe UI" w:cs="Segoe UI"/>
          <w:szCs w:val="20"/>
        </w:rPr>
        <w:t>’IR</w:t>
      </w:r>
      <w:r w:rsidR="00122BB0" w:rsidRPr="0062207D">
        <w:rPr>
          <w:rFonts w:ascii="Segoe UI" w:hAnsi="Segoe UI" w:cs="Segoe UI"/>
          <w:szCs w:val="20"/>
        </w:rPr>
        <w:t xml:space="preserve"> </w:t>
      </w:r>
      <w:r w:rsidRPr="0062207D">
        <w:rPr>
          <w:rFonts w:ascii="Segoe UI" w:hAnsi="Segoe UI" w:cs="Segoe UI"/>
          <w:szCs w:val="20"/>
        </w:rPr>
        <w:t>Framework suggerisce che “</w:t>
      </w:r>
      <w:r w:rsidRPr="007E31DA">
        <w:rPr>
          <w:rFonts w:ascii="Segoe UI" w:hAnsi="Segoe UI" w:cs="Segoe UI"/>
          <w:szCs w:val="20"/>
        </w:rPr>
        <w:t>un report integrato include una descrizione riassuntiva del processo di definizione della materialità e delle principali attività di valutazione svolte dall’organizzazione, tra cui:</w:t>
      </w:r>
    </w:p>
    <w:p w14:paraId="144DB190" w14:textId="1F359C45" w:rsidR="00F270C0" w:rsidRPr="007E31DA" w:rsidRDefault="00C53BEF"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Pr>
          <w:rFonts w:ascii="Segoe UI" w:hAnsi="Segoe UI" w:cs="Segoe UI"/>
          <w:szCs w:val="20"/>
        </w:rPr>
        <w:t xml:space="preserve">una </w:t>
      </w:r>
      <w:r w:rsidR="00F270C0" w:rsidRPr="007E31DA">
        <w:rPr>
          <w:rFonts w:ascii="Segoe UI" w:hAnsi="Segoe UI" w:cs="Segoe UI"/>
          <w:szCs w:val="20"/>
        </w:rPr>
        <w:t>breve descrizione del processo utilizzato per identificare le questioni rilevanti, valutarne l’importanza e restringere la selezione alle questioni materiali;</w:t>
      </w:r>
    </w:p>
    <w:p w14:paraId="03A194CB" w14:textId="7E6CDC55" w:rsidR="00F270C0" w:rsidRPr="0062207D" w:rsidRDefault="00D02C62" w:rsidP="005938C8">
      <w:pPr>
        <w:pStyle w:val="Paragrafoelenco"/>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Pr>
          <w:rFonts w:ascii="Segoe UI" w:hAnsi="Segoe UI" w:cs="Segoe UI"/>
          <w:szCs w:val="20"/>
        </w:rPr>
        <w:t>l’</w:t>
      </w:r>
      <w:r w:rsidR="00F270C0" w:rsidRPr="007E31DA">
        <w:rPr>
          <w:rFonts w:ascii="Segoe UI" w:hAnsi="Segoe UI" w:cs="Segoe UI"/>
          <w:szCs w:val="20"/>
        </w:rPr>
        <w:t xml:space="preserve">identificazione del ruolo da assegnare ai componenti la </w:t>
      </w:r>
      <w:r w:rsidR="00F270C0" w:rsidRPr="00FD7B6D">
        <w:rPr>
          <w:rFonts w:ascii="Segoe UI" w:hAnsi="Segoe UI" w:cs="Segoe UI"/>
          <w:szCs w:val="20"/>
        </w:rPr>
        <w:t>governance</w:t>
      </w:r>
      <w:r w:rsidR="00F270C0" w:rsidRPr="007E31DA">
        <w:rPr>
          <w:rFonts w:ascii="Segoe UI" w:hAnsi="Segoe UI" w:cs="Segoe UI"/>
          <w:szCs w:val="20"/>
        </w:rPr>
        <w:t xml:space="preserve"> e alle figure chiave coinvolte nell’identificazione delle questioni materiali e nell’assegnazione delle relative priorità</w:t>
      </w:r>
      <w:r w:rsidR="00F270C0" w:rsidRPr="0062207D">
        <w:rPr>
          <w:rFonts w:ascii="Segoe UI" w:hAnsi="Segoe UI" w:cs="Segoe UI"/>
          <w:szCs w:val="20"/>
        </w:rPr>
        <w:t>”.</w:t>
      </w:r>
    </w:p>
    <w:p w14:paraId="68D5DB0D" w14:textId="127F4D60" w:rsidR="00F270C0" w:rsidRPr="0062207D" w:rsidRDefault="00F270C0" w:rsidP="00C23330">
      <w:pPr>
        <w:autoSpaceDE w:val="0"/>
        <w:autoSpaceDN w:val="0"/>
        <w:adjustRightInd w:val="0"/>
        <w:spacing w:before="120" w:after="120" w:line="240" w:lineRule="auto"/>
        <w:jc w:val="both"/>
        <w:rPr>
          <w:rFonts w:ascii="Segoe UI" w:hAnsi="Segoe UI" w:cs="Segoe UI"/>
          <w:szCs w:val="20"/>
        </w:rPr>
      </w:pPr>
      <w:r w:rsidRPr="0062207D">
        <w:rPr>
          <w:rFonts w:ascii="Segoe UI" w:hAnsi="Segoe UI" w:cs="Segoe UI"/>
          <w:szCs w:val="20"/>
        </w:rPr>
        <w:t>Infine, al paragrafo 4.50 del</w:t>
      </w:r>
      <w:r w:rsidR="00B93BD6">
        <w:rPr>
          <w:rFonts w:ascii="Segoe UI" w:hAnsi="Segoe UI" w:cs="Segoe UI"/>
          <w:szCs w:val="20"/>
        </w:rPr>
        <w:t>l’IR</w:t>
      </w:r>
      <w:r w:rsidRPr="0062207D">
        <w:rPr>
          <w:rFonts w:ascii="Segoe UI" w:hAnsi="Segoe UI" w:cs="Segoe UI"/>
          <w:szCs w:val="20"/>
        </w:rPr>
        <w:t xml:space="preserve"> </w:t>
      </w:r>
      <w:r w:rsidR="00922E05" w:rsidRPr="00922E05">
        <w:rPr>
          <w:rFonts w:ascii="Segoe UI" w:hAnsi="Segoe UI" w:cs="Segoe UI"/>
          <w:szCs w:val="20"/>
        </w:rPr>
        <w:t>Framework</w:t>
      </w:r>
      <w:r w:rsidRPr="0062207D">
        <w:rPr>
          <w:rFonts w:ascii="Segoe UI" w:hAnsi="Segoe UI" w:cs="Segoe UI"/>
          <w:szCs w:val="20"/>
        </w:rPr>
        <w:t xml:space="preserve"> </w:t>
      </w:r>
      <w:r w:rsidR="00122BB0" w:rsidRPr="0062207D">
        <w:rPr>
          <w:rFonts w:ascii="Segoe UI" w:hAnsi="Segoe UI" w:cs="Segoe UI"/>
          <w:szCs w:val="20"/>
        </w:rPr>
        <w:t xml:space="preserve">sono </w:t>
      </w:r>
      <w:r w:rsidRPr="0062207D">
        <w:rPr>
          <w:rFonts w:ascii="Segoe UI" w:hAnsi="Segoe UI" w:cs="Segoe UI"/>
          <w:szCs w:val="20"/>
        </w:rPr>
        <w:t>definit</w:t>
      </w:r>
      <w:r w:rsidR="00B93BD6">
        <w:rPr>
          <w:rFonts w:ascii="Segoe UI" w:hAnsi="Segoe UI" w:cs="Segoe UI"/>
          <w:szCs w:val="20"/>
        </w:rPr>
        <w:t>e alcune specifiche d</w:t>
      </w:r>
      <w:r w:rsidR="00AA07B5">
        <w:rPr>
          <w:rFonts w:ascii="Segoe UI" w:hAnsi="Segoe UI" w:cs="Segoe UI"/>
          <w:szCs w:val="20"/>
        </w:rPr>
        <w:t xml:space="preserve">a </w:t>
      </w:r>
      <w:r w:rsidR="00B93BD6">
        <w:rPr>
          <w:rFonts w:ascii="Segoe UI" w:hAnsi="Segoe UI" w:cs="Segoe UI"/>
          <w:szCs w:val="20"/>
        </w:rPr>
        <w:t xml:space="preserve">produrre nella </w:t>
      </w:r>
      <w:r w:rsidR="00B93BD6" w:rsidRPr="00AA07B5">
        <w:rPr>
          <w:rFonts w:ascii="Segoe UI" w:hAnsi="Segoe UI" w:cs="Segoe UI"/>
          <w:i/>
          <w:szCs w:val="20"/>
        </w:rPr>
        <w:t>disclosure</w:t>
      </w:r>
      <w:r w:rsidR="00B93BD6">
        <w:rPr>
          <w:rFonts w:ascii="Segoe UI" w:hAnsi="Segoe UI" w:cs="Segoe UI"/>
          <w:szCs w:val="20"/>
        </w:rPr>
        <w:t xml:space="preserve"> </w:t>
      </w:r>
      <w:r w:rsidR="00AA07B5">
        <w:rPr>
          <w:rFonts w:ascii="Segoe UI" w:hAnsi="Segoe UI" w:cs="Segoe UI"/>
          <w:szCs w:val="20"/>
        </w:rPr>
        <w:t>da</w:t>
      </w:r>
      <w:r w:rsidR="00B93BD6">
        <w:rPr>
          <w:rFonts w:ascii="Segoe UI" w:hAnsi="Segoe UI" w:cs="Segoe UI"/>
          <w:szCs w:val="20"/>
        </w:rPr>
        <w:t xml:space="preserve"> associa</w:t>
      </w:r>
      <w:r w:rsidR="00AA07B5">
        <w:rPr>
          <w:rFonts w:ascii="Segoe UI" w:hAnsi="Segoe UI" w:cs="Segoe UI"/>
          <w:szCs w:val="20"/>
        </w:rPr>
        <w:t xml:space="preserve">re </w:t>
      </w:r>
      <w:r w:rsidR="00B93BD6">
        <w:rPr>
          <w:rFonts w:ascii="Segoe UI" w:hAnsi="Segoe UI" w:cs="Segoe UI"/>
          <w:szCs w:val="20"/>
        </w:rPr>
        <w:t>agli</w:t>
      </w:r>
      <w:r w:rsidRPr="0062207D">
        <w:rPr>
          <w:rFonts w:ascii="Segoe UI" w:hAnsi="Segoe UI" w:cs="Segoe UI"/>
          <w:szCs w:val="20"/>
        </w:rPr>
        <w:t xml:space="preserve"> aspetti </w:t>
      </w:r>
      <w:r w:rsidR="001E72FB">
        <w:rPr>
          <w:rFonts w:ascii="Segoe UI" w:hAnsi="Segoe UI" w:cs="Segoe UI"/>
          <w:szCs w:val="20"/>
        </w:rPr>
        <w:t xml:space="preserve">(“questioni”) </w:t>
      </w:r>
      <w:r w:rsidRPr="0062207D">
        <w:rPr>
          <w:rFonts w:ascii="Segoe UI" w:hAnsi="Segoe UI" w:cs="Segoe UI"/>
          <w:szCs w:val="20"/>
        </w:rPr>
        <w:t xml:space="preserve">materiali. A tal proposito, </w:t>
      </w:r>
      <w:r w:rsidR="00AA07B5">
        <w:rPr>
          <w:rFonts w:ascii="Segoe UI" w:hAnsi="Segoe UI" w:cs="Segoe UI"/>
          <w:szCs w:val="20"/>
        </w:rPr>
        <w:t xml:space="preserve">l’IR </w:t>
      </w:r>
      <w:r w:rsidR="00922E05" w:rsidRPr="00922E05">
        <w:rPr>
          <w:rFonts w:ascii="Segoe UI" w:hAnsi="Segoe UI" w:cs="Segoe UI"/>
          <w:szCs w:val="20"/>
        </w:rPr>
        <w:t>Framework</w:t>
      </w:r>
      <w:r w:rsidRPr="0062207D">
        <w:rPr>
          <w:rFonts w:ascii="Segoe UI" w:hAnsi="Segoe UI" w:cs="Segoe UI"/>
          <w:szCs w:val="20"/>
        </w:rPr>
        <w:t xml:space="preserve"> prevede esplicitamente che “tenendo conto della natura di una determinata questione materiale, l’organizzazione deve valutare la possibilità di fornire:</w:t>
      </w:r>
    </w:p>
    <w:p w14:paraId="6F418179" w14:textId="77777777" w:rsidR="00F270C0" w:rsidRPr="0062207D" w:rsidRDefault="00F270C0" w:rsidP="005938C8">
      <w:pPr>
        <w:pStyle w:val="Paragrafoelenco"/>
        <w:keepNext/>
        <w:keepLines/>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informazioni chiave, quali:</w:t>
      </w:r>
    </w:p>
    <w:p w14:paraId="3F10F38C" w14:textId="77777777" w:rsidR="00F270C0" w:rsidRPr="0062207D" w:rsidRDefault="00F270C0" w:rsidP="005938C8">
      <w:pPr>
        <w:pStyle w:val="Paragrafoelenco"/>
        <w:numPr>
          <w:ilvl w:val="1"/>
          <w:numId w:val="12"/>
        </w:numPr>
        <w:tabs>
          <w:tab w:val="left" w:pos="851"/>
        </w:tabs>
        <w:autoSpaceDE w:val="0"/>
        <w:autoSpaceDN w:val="0"/>
        <w:adjustRightInd w:val="0"/>
        <w:spacing w:before="120" w:after="120" w:line="240" w:lineRule="auto"/>
        <w:ind w:left="851" w:hanging="284"/>
        <w:jc w:val="both"/>
        <w:rPr>
          <w:rFonts w:ascii="Segoe UI" w:hAnsi="Segoe UI" w:cs="Segoe UI"/>
          <w:szCs w:val="20"/>
        </w:rPr>
      </w:pPr>
      <w:r w:rsidRPr="0062207D">
        <w:rPr>
          <w:rFonts w:ascii="Segoe UI" w:hAnsi="Segoe UI" w:cs="Segoe UI"/>
          <w:szCs w:val="20"/>
        </w:rPr>
        <w:t>una descrizione della questione e dei suoi effetti sulla strategia, il modello di business o i capitali dell’organizzazione;</w:t>
      </w:r>
    </w:p>
    <w:p w14:paraId="085C0D9E" w14:textId="77777777" w:rsidR="00F270C0" w:rsidRPr="0062207D" w:rsidRDefault="00F270C0" w:rsidP="005938C8">
      <w:pPr>
        <w:pStyle w:val="Paragrafoelenco"/>
        <w:numPr>
          <w:ilvl w:val="1"/>
          <w:numId w:val="12"/>
        </w:numPr>
        <w:tabs>
          <w:tab w:val="left" w:pos="851"/>
        </w:tabs>
        <w:autoSpaceDE w:val="0"/>
        <w:autoSpaceDN w:val="0"/>
        <w:adjustRightInd w:val="0"/>
        <w:spacing w:before="120" w:after="120" w:line="240" w:lineRule="auto"/>
        <w:ind w:left="851" w:hanging="284"/>
        <w:jc w:val="both"/>
        <w:rPr>
          <w:rFonts w:ascii="Segoe UI" w:hAnsi="Segoe UI" w:cs="Segoe UI"/>
          <w:szCs w:val="20"/>
        </w:rPr>
      </w:pPr>
      <w:r w:rsidRPr="0062207D">
        <w:rPr>
          <w:rFonts w:ascii="Segoe UI" w:hAnsi="Segoe UI" w:cs="Segoe UI"/>
          <w:szCs w:val="20"/>
        </w:rPr>
        <w:t>interazioni e interdipendenze rilevanti che consentono di comprendere cause ed effetti;</w:t>
      </w:r>
    </w:p>
    <w:p w14:paraId="4E830C03" w14:textId="77777777" w:rsidR="00F270C0" w:rsidRPr="0062207D" w:rsidRDefault="00F270C0" w:rsidP="005938C8">
      <w:pPr>
        <w:pStyle w:val="Paragrafoelenco"/>
        <w:numPr>
          <w:ilvl w:val="1"/>
          <w:numId w:val="12"/>
        </w:numPr>
        <w:tabs>
          <w:tab w:val="left" w:pos="851"/>
        </w:tabs>
        <w:autoSpaceDE w:val="0"/>
        <w:autoSpaceDN w:val="0"/>
        <w:adjustRightInd w:val="0"/>
        <w:spacing w:before="120" w:after="120" w:line="240" w:lineRule="auto"/>
        <w:ind w:left="851" w:hanging="284"/>
        <w:jc w:val="both"/>
        <w:rPr>
          <w:rFonts w:ascii="Segoe UI" w:hAnsi="Segoe UI" w:cs="Segoe UI"/>
          <w:szCs w:val="20"/>
        </w:rPr>
      </w:pPr>
      <w:r w:rsidRPr="0062207D">
        <w:rPr>
          <w:rFonts w:ascii="Segoe UI" w:hAnsi="Segoe UI" w:cs="Segoe UI"/>
          <w:szCs w:val="20"/>
        </w:rPr>
        <w:t>il punto di vista dell’organizzazione sulla questione;</w:t>
      </w:r>
    </w:p>
    <w:p w14:paraId="1470AFFA" w14:textId="77777777" w:rsidR="00F270C0" w:rsidRPr="0062207D" w:rsidRDefault="00F270C0" w:rsidP="005938C8">
      <w:pPr>
        <w:pStyle w:val="Paragrafoelenco"/>
        <w:numPr>
          <w:ilvl w:val="1"/>
          <w:numId w:val="12"/>
        </w:numPr>
        <w:tabs>
          <w:tab w:val="left" w:pos="851"/>
        </w:tabs>
        <w:autoSpaceDE w:val="0"/>
        <w:autoSpaceDN w:val="0"/>
        <w:adjustRightInd w:val="0"/>
        <w:spacing w:before="120" w:after="120" w:line="240" w:lineRule="auto"/>
        <w:ind w:left="851" w:hanging="284"/>
        <w:jc w:val="both"/>
        <w:rPr>
          <w:rFonts w:ascii="Segoe UI" w:hAnsi="Segoe UI" w:cs="Segoe UI"/>
          <w:szCs w:val="20"/>
        </w:rPr>
      </w:pPr>
      <w:r w:rsidRPr="0062207D">
        <w:rPr>
          <w:rFonts w:ascii="Segoe UI" w:hAnsi="Segoe UI" w:cs="Segoe UI"/>
          <w:szCs w:val="20"/>
        </w:rPr>
        <w:t>le misure adottate per gestire la questione e il relativo livello di efficacia;</w:t>
      </w:r>
    </w:p>
    <w:p w14:paraId="421BB7FA" w14:textId="77777777" w:rsidR="00F270C0" w:rsidRPr="0062207D" w:rsidRDefault="00F270C0" w:rsidP="005938C8">
      <w:pPr>
        <w:pStyle w:val="Paragrafoelenco"/>
        <w:numPr>
          <w:ilvl w:val="1"/>
          <w:numId w:val="12"/>
        </w:numPr>
        <w:tabs>
          <w:tab w:val="left" w:pos="851"/>
        </w:tabs>
        <w:autoSpaceDE w:val="0"/>
        <w:autoSpaceDN w:val="0"/>
        <w:adjustRightInd w:val="0"/>
        <w:spacing w:before="120" w:after="120" w:line="240" w:lineRule="auto"/>
        <w:ind w:left="851" w:hanging="284"/>
        <w:jc w:val="both"/>
        <w:rPr>
          <w:rFonts w:ascii="Segoe UI" w:hAnsi="Segoe UI" w:cs="Segoe UI"/>
          <w:szCs w:val="20"/>
        </w:rPr>
      </w:pPr>
      <w:r w:rsidRPr="0062207D">
        <w:rPr>
          <w:rFonts w:ascii="Segoe UI" w:hAnsi="Segoe UI" w:cs="Segoe UI"/>
          <w:szCs w:val="20"/>
        </w:rPr>
        <w:t>il livello di controllo dell’organizzazione sulla questione;</w:t>
      </w:r>
    </w:p>
    <w:p w14:paraId="3C6DC777" w14:textId="77777777" w:rsidR="00F270C0" w:rsidRPr="0062207D" w:rsidRDefault="00F270C0" w:rsidP="005938C8">
      <w:pPr>
        <w:pStyle w:val="Paragrafoelenco"/>
        <w:numPr>
          <w:ilvl w:val="1"/>
          <w:numId w:val="12"/>
        </w:numPr>
        <w:tabs>
          <w:tab w:val="left" w:pos="851"/>
        </w:tabs>
        <w:autoSpaceDE w:val="0"/>
        <w:autoSpaceDN w:val="0"/>
        <w:adjustRightInd w:val="0"/>
        <w:spacing w:before="120" w:after="120" w:line="240" w:lineRule="auto"/>
        <w:ind w:left="851" w:hanging="284"/>
        <w:jc w:val="both"/>
        <w:rPr>
          <w:rFonts w:ascii="Segoe UI" w:hAnsi="Segoe UI" w:cs="Segoe UI"/>
          <w:szCs w:val="20"/>
        </w:rPr>
      </w:pPr>
      <w:r w:rsidRPr="0062207D">
        <w:rPr>
          <w:rFonts w:ascii="Segoe UI" w:hAnsi="Segoe UI" w:cs="Segoe UI"/>
          <w:szCs w:val="20"/>
        </w:rPr>
        <w:t>informazioni quantitative e qualitative, inclusi confronti con i periodi precedenti e target per periodi futuri.</w:t>
      </w:r>
    </w:p>
    <w:p w14:paraId="5A89EB4F" w14:textId="77777777" w:rsidR="00F270C0" w:rsidRPr="0062207D" w:rsidRDefault="00F270C0" w:rsidP="005938C8">
      <w:pPr>
        <w:pStyle w:val="Paragrafoelenco"/>
        <w:keepNext/>
        <w:keepLines/>
        <w:numPr>
          <w:ilvl w:val="0"/>
          <w:numId w:val="4"/>
        </w:numPr>
        <w:tabs>
          <w:tab w:val="left" w:pos="567"/>
        </w:tabs>
        <w:autoSpaceDE w:val="0"/>
        <w:autoSpaceDN w:val="0"/>
        <w:adjustRightInd w:val="0"/>
        <w:spacing w:before="120" w:after="120" w:line="240" w:lineRule="auto"/>
        <w:ind w:left="568" w:hanging="284"/>
        <w:jc w:val="both"/>
        <w:rPr>
          <w:rFonts w:ascii="Segoe UI" w:hAnsi="Segoe UI" w:cs="Segoe UI"/>
          <w:szCs w:val="20"/>
        </w:rPr>
      </w:pPr>
      <w:r w:rsidRPr="0062207D">
        <w:rPr>
          <w:rFonts w:ascii="Segoe UI" w:hAnsi="Segoe UI" w:cs="Segoe UI"/>
          <w:szCs w:val="20"/>
        </w:rPr>
        <w:t>Se un determinato aspetto è incerto, è necessario fornire informazioni sull’incertezza, ad esempio:</w:t>
      </w:r>
    </w:p>
    <w:p w14:paraId="78150FAF" w14:textId="77777777" w:rsidR="00F270C0" w:rsidRPr="0062207D" w:rsidRDefault="00F270C0" w:rsidP="005938C8">
      <w:pPr>
        <w:pStyle w:val="Paragrafoelenco"/>
        <w:numPr>
          <w:ilvl w:val="1"/>
          <w:numId w:val="12"/>
        </w:numPr>
        <w:tabs>
          <w:tab w:val="left" w:pos="851"/>
        </w:tabs>
        <w:autoSpaceDE w:val="0"/>
        <w:autoSpaceDN w:val="0"/>
        <w:adjustRightInd w:val="0"/>
        <w:spacing w:before="120" w:after="120" w:line="240" w:lineRule="auto"/>
        <w:ind w:left="851" w:hanging="284"/>
        <w:jc w:val="both"/>
        <w:rPr>
          <w:rFonts w:ascii="Segoe UI" w:hAnsi="Segoe UI" w:cs="Segoe UI"/>
          <w:szCs w:val="20"/>
        </w:rPr>
      </w:pPr>
      <w:r w:rsidRPr="0062207D">
        <w:rPr>
          <w:rFonts w:ascii="Segoe UI" w:hAnsi="Segoe UI" w:cs="Segoe UI"/>
          <w:szCs w:val="20"/>
        </w:rPr>
        <w:t>una descrizione dell’incertezza;</w:t>
      </w:r>
    </w:p>
    <w:p w14:paraId="5B07B28B" w14:textId="77777777" w:rsidR="00F270C0" w:rsidRPr="0062207D" w:rsidRDefault="00F270C0" w:rsidP="005938C8">
      <w:pPr>
        <w:pStyle w:val="Paragrafoelenco"/>
        <w:numPr>
          <w:ilvl w:val="1"/>
          <w:numId w:val="12"/>
        </w:numPr>
        <w:tabs>
          <w:tab w:val="left" w:pos="851"/>
        </w:tabs>
        <w:autoSpaceDE w:val="0"/>
        <w:autoSpaceDN w:val="0"/>
        <w:adjustRightInd w:val="0"/>
        <w:spacing w:before="120" w:after="120" w:line="240" w:lineRule="auto"/>
        <w:ind w:left="851" w:hanging="284"/>
        <w:jc w:val="both"/>
        <w:rPr>
          <w:rFonts w:ascii="Segoe UI" w:hAnsi="Segoe UI" w:cs="Segoe UI"/>
          <w:szCs w:val="20"/>
        </w:rPr>
      </w:pPr>
      <w:r w:rsidRPr="0062207D">
        <w:rPr>
          <w:rFonts w:ascii="Segoe UI" w:hAnsi="Segoe UI" w:cs="Segoe UI"/>
          <w:szCs w:val="20"/>
        </w:rPr>
        <w:t>l’intervallo dei possibili impatti, le principali ipotesi e le possibili conseguenze sulle informazioni in caso di mancata realizzazione delle previsioni;</w:t>
      </w:r>
    </w:p>
    <w:p w14:paraId="51597602" w14:textId="77777777" w:rsidR="00F270C0" w:rsidRPr="0062207D" w:rsidRDefault="00F270C0" w:rsidP="005938C8">
      <w:pPr>
        <w:pStyle w:val="Paragrafoelenco"/>
        <w:numPr>
          <w:ilvl w:val="1"/>
          <w:numId w:val="12"/>
        </w:numPr>
        <w:tabs>
          <w:tab w:val="left" w:pos="851"/>
        </w:tabs>
        <w:autoSpaceDE w:val="0"/>
        <w:autoSpaceDN w:val="0"/>
        <w:adjustRightInd w:val="0"/>
        <w:spacing w:before="120" w:after="120" w:line="240" w:lineRule="auto"/>
        <w:ind w:left="851" w:hanging="284"/>
        <w:jc w:val="both"/>
        <w:rPr>
          <w:rFonts w:ascii="Segoe UI" w:hAnsi="Segoe UI" w:cs="Segoe UI"/>
          <w:szCs w:val="20"/>
        </w:rPr>
      </w:pPr>
      <w:r w:rsidRPr="0062207D">
        <w:rPr>
          <w:rFonts w:ascii="Segoe UI" w:hAnsi="Segoe UI" w:cs="Segoe UI"/>
          <w:szCs w:val="20"/>
        </w:rPr>
        <w:t>la volatilità, il livello di certezza o l’intervallo di fiducia associato alle informazioni fornite.</w:t>
      </w:r>
    </w:p>
    <w:p w14:paraId="7010F9B3" w14:textId="77777777" w:rsidR="00F270C0" w:rsidRPr="0062207D" w:rsidRDefault="00F270C0" w:rsidP="005938C8">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Se è possibile identificare le informazioni chiave per un determinato aspetto, occorre spiegarlo specificando il motivo;</w:t>
      </w:r>
    </w:p>
    <w:p w14:paraId="56483319" w14:textId="03DFD3B0" w:rsidR="00F270C0" w:rsidRPr="0062207D" w:rsidRDefault="00F270C0" w:rsidP="005938C8">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In presenza di una perdita significativa del vantaggio competitivo, è preferibile inserire una descrizione di natura generale della questione, piuttosto che i dettagli specifici.”</w:t>
      </w:r>
      <w:r w:rsidR="00660850">
        <w:rPr>
          <w:rFonts w:ascii="Segoe UI" w:hAnsi="Segoe UI" w:cs="Segoe UI"/>
          <w:szCs w:val="20"/>
        </w:rPr>
        <w:t>.</w:t>
      </w:r>
    </w:p>
    <w:p w14:paraId="2920460D" w14:textId="65CF806D" w:rsidR="0039156F" w:rsidRPr="00623F83" w:rsidRDefault="00623F83" w:rsidP="00623F83">
      <w:pPr>
        <w:keepNext/>
        <w:keepLines/>
        <w:tabs>
          <w:tab w:val="left" w:pos="567"/>
        </w:tabs>
        <w:spacing w:before="1080" w:after="720" w:line="240" w:lineRule="auto"/>
        <w:ind w:left="567" w:hanging="567"/>
        <w:outlineLvl w:val="1"/>
        <w:rPr>
          <w:rFonts w:ascii="Segoe UI" w:eastAsiaTheme="minorHAnsi" w:hAnsi="Segoe UI" w:cs="Segoe UI"/>
          <w:bCs/>
          <w:sz w:val="28"/>
          <w:szCs w:val="28"/>
        </w:rPr>
      </w:pPr>
      <w:bookmarkStart w:id="32" w:name="_Toc507973961"/>
      <w:r>
        <w:rPr>
          <w:rFonts w:ascii="Segoe UI" w:eastAsiaTheme="minorHAnsi" w:hAnsi="Segoe UI" w:cs="Segoe UI"/>
          <w:bCs/>
          <w:sz w:val="28"/>
          <w:szCs w:val="28"/>
        </w:rPr>
        <w:t>6.</w:t>
      </w:r>
      <w:r w:rsidR="00E6633E" w:rsidRPr="00623F83">
        <w:rPr>
          <w:rFonts w:ascii="Segoe UI" w:eastAsiaTheme="minorHAnsi" w:hAnsi="Segoe UI" w:cs="Segoe UI"/>
          <w:bCs/>
          <w:sz w:val="28"/>
          <w:szCs w:val="28"/>
        </w:rPr>
        <w:t>3</w:t>
      </w:r>
      <w:r w:rsidR="00E6633E" w:rsidRPr="00623F83">
        <w:rPr>
          <w:rFonts w:ascii="Segoe UI" w:eastAsiaTheme="minorHAnsi" w:hAnsi="Segoe UI" w:cs="Segoe UI"/>
          <w:bCs/>
          <w:sz w:val="28"/>
          <w:szCs w:val="28"/>
        </w:rPr>
        <w:tab/>
      </w:r>
      <w:r w:rsidR="00D53915" w:rsidRPr="00623F83">
        <w:rPr>
          <w:rFonts w:ascii="Segoe UI" w:eastAsiaTheme="minorHAnsi" w:hAnsi="Segoe UI" w:cs="Segoe UI"/>
          <w:bCs/>
          <w:sz w:val="28"/>
          <w:szCs w:val="28"/>
        </w:rPr>
        <w:t xml:space="preserve">Approccio di </w:t>
      </w:r>
      <w:r w:rsidR="0039156F" w:rsidRPr="00623F83">
        <w:rPr>
          <w:rFonts w:ascii="Segoe UI" w:eastAsiaTheme="minorHAnsi" w:hAnsi="Segoe UI" w:cs="Segoe UI"/>
          <w:bCs/>
          <w:sz w:val="28"/>
          <w:szCs w:val="28"/>
        </w:rPr>
        <w:t>Accountancy Europe</w:t>
      </w:r>
      <w:bookmarkEnd w:id="32"/>
    </w:p>
    <w:p w14:paraId="562C1DDD" w14:textId="0D63D1FF" w:rsidR="0039156F" w:rsidRPr="0062207D" w:rsidRDefault="0039156F" w:rsidP="00174A2A">
      <w:pPr>
        <w:autoSpaceDE w:val="0"/>
        <w:autoSpaceDN w:val="0"/>
        <w:spacing w:before="120" w:after="120" w:line="240" w:lineRule="auto"/>
        <w:jc w:val="both"/>
        <w:rPr>
          <w:rFonts w:ascii="Segoe UI" w:hAnsi="Segoe UI" w:cs="Segoe UI"/>
          <w:szCs w:val="20"/>
        </w:rPr>
      </w:pPr>
      <w:r w:rsidRPr="0062207D">
        <w:rPr>
          <w:rFonts w:ascii="Segoe UI" w:hAnsi="Segoe UI" w:cs="Segoe UI"/>
          <w:szCs w:val="20"/>
        </w:rPr>
        <w:t>Un ult</w:t>
      </w:r>
      <w:r w:rsidR="00A24DDC" w:rsidRPr="0062207D">
        <w:rPr>
          <w:rFonts w:ascii="Segoe UI" w:hAnsi="Segoe UI" w:cs="Segoe UI"/>
          <w:szCs w:val="20"/>
        </w:rPr>
        <w:t>eriore orientamento che riteniamo opportuno richiamare</w:t>
      </w:r>
      <w:r w:rsidRPr="0062207D">
        <w:rPr>
          <w:rFonts w:ascii="Segoe UI" w:hAnsi="Segoe UI" w:cs="Segoe UI"/>
          <w:szCs w:val="20"/>
        </w:rPr>
        <w:t xml:space="preserve"> con riferimento alla definizione e </w:t>
      </w:r>
      <w:r w:rsidR="00781875">
        <w:rPr>
          <w:rFonts w:ascii="Segoe UI" w:hAnsi="Segoe UI" w:cs="Segoe UI"/>
          <w:szCs w:val="20"/>
        </w:rPr>
        <w:t xml:space="preserve">alla </w:t>
      </w:r>
      <w:r w:rsidRPr="0062207D">
        <w:rPr>
          <w:rFonts w:ascii="Segoe UI" w:hAnsi="Segoe UI" w:cs="Segoe UI"/>
          <w:szCs w:val="20"/>
        </w:rPr>
        <w:t>determinazione d</w:t>
      </w:r>
      <w:r w:rsidR="00515257" w:rsidRPr="0062207D">
        <w:rPr>
          <w:rFonts w:ascii="Segoe UI" w:hAnsi="Segoe UI" w:cs="Segoe UI"/>
          <w:szCs w:val="20"/>
        </w:rPr>
        <w:t>e</w:t>
      </w:r>
      <w:r w:rsidRPr="0062207D">
        <w:rPr>
          <w:rFonts w:ascii="Segoe UI" w:hAnsi="Segoe UI" w:cs="Segoe UI"/>
          <w:szCs w:val="20"/>
        </w:rPr>
        <w:t xml:space="preserve">l </w:t>
      </w:r>
      <w:r w:rsidR="00781875">
        <w:rPr>
          <w:rFonts w:ascii="Segoe UI" w:hAnsi="Segoe UI" w:cs="Segoe UI"/>
          <w:szCs w:val="20"/>
        </w:rPr>
        <w:t>concetto di</w:t>
      </w:r>
      <w:r w:rsidRPr="0062207D">
        <w:rPr>
          <w:rFonts w:ascii="Segoe UI" w:hAnsi="Segoe UI" w:cs="Segoe UI"/>
          <w:szCs w:val="20"/>
        </w:rPr>
        <w:t xml:space="preserve"> </w:t>
      </w:r>
      <w:r w:rsidR="00515257" w:rsidRPr="0062207D">
        <w:rPr>
          <w:rFonts w:ascii="Segoe UI" w:hAnsi="Segoe UI" w:cs="Segoe UI"/>
          <w:szCs w:val="20"/>
        </w:rPr>
        <w:t>rilevanza</w:t>
      </w:r>
      <w:r w:rsidRPr="0062207D">
        <w:rPr>
          <w:rFonts w:ascii="Segoe UI" w:hAnsi="Segoe UI" w:cs="Segoe UI"/>
          <w:szCs w:val="20"/>
        </w:rPr>
        <w:t xml:space="preserve"> è quello proposto da Accountancy Europe nel </w:t>
      </w:r>
      <w:r w:rsidR="00781875">
        <w:rPr>
          <w:rFonts w:ascii="Segoe UI" w:hAnsi="Segoe UI" w:cs="Segoe UI"/>
          <w:szCs w:val="20"/>
        </w:rPr>
        <w:t xml:space="preserve">suo </w:t>
      </w:r>
      <w:r w:rsidRPr="0062207D">
        <w:rPr>
          <w:rFonts w:ascii="Segoe UI" w:hAnsi="Segoe UI" w:cs="Segoe UI"/>
          <w:szCs w:val="20"/>
        </w:rPr>
        <w:t xml:space="preserve">contributo </w:t>
      </w:r>
      <w:r w:rsidRPr="00781875">
        <w:rPr>
          <w:rFonts w:ascii="Segoe UI" w:hAnsi="Segoe UI" w:cs="Segoe UI"/>
          <w:szCs w:val="20"/>
        </w:rPr>
        <w:t>“Disclose what truly matters”</w:t>
      </w:r>
      <w:r w:rsidR="004C7259">
        <w:rPr>
          <w:rStyle w:val="Rimandonotaapidipagina"/>
          <w:rFonts w:cs="Segoe UI"/>
          <w:szCs w:val="20"/>
        </w:rPr>
        <w:footnoteReference w:id="40"/>
      </w:r>
      <w:r w:rsidRPr="00781875">
        <w:rPr>
          <w:rFonts w:ascii="Segoe UI" w:hAnsi="Segoe UI" w:cs="Segoe UI"/>
          <w:szCs w:val="20"/>
        </w:rPr>
        <w:t>.</w:t>
      </w:r>
      <w:r w:rsidR="00CF1570">
        <w:rPr>
          <w:rFonts w:ascii="Segoe UI" w:hAnsi="Segoe UI" w:cs="Segoe UI"/>
          <w:szCs w:val="20"/>
        </w:rPr>
        <w:t xml:space="preserve"> </w:t>
      </w:r>
      <w:r w:rsidR="00203FCE" w:rsidRPr="0062207D">
        <w:rPr>
          <w:rFonts w:ascii="Segoe UI" w:hAnsi="Segoe UI" w:cs="Segoe UI"/>
          <w:szCs w:val="20"/>
        </w:rPr>
        <w:t>Secondo Accountancy Europe l</w:t>
      </w:r>
      <w:r w:rsidRPr="0062207D">
        <w:rPr>
          <w:rFonts w:ascii="Segoe UI" w:hAnsi="Segoe UI" w:cs="Segoe UI"/>
          <w:szCs w:val="20"/>
        </w:rPr>
        <w:t xml:space="preserve">a </w:t>
      </w:r>
      <w:r w:rsidRPr="0062207D">
        <w:rPr>
          <w:rFonts w:ascii="Segoe UI" w:hAnsi="Segoe UI" w:cs="Segoe UI"/>
          <w:i/>
          <w:szCs w:val="20"/>
        </w:rPr>
        <w:t>disclosure</w:t>
      </w:r>
      <w:r w:rsidRPr="0062207D">
        <w:rPr>
          <w:rFonts w:ascii="Segoe UI" w:hAnsi="Segoe UI" w:cs="Segoe UI"/>
          <w:szCs w:val="20"/>
        </w:rPr>
        <w:t xml:space="preserve"> non finanziaria dovrebbe essere inclusa</w:t>
      </w:r>
      <w:r w:rsidR="00515257" w:rsidRPr="0062207D">
        <w:rPr>
          <w:rFonts w:ascii="Segoe UI" w:hAnsi="Segoe UI" w:cs="Segoe UI"/>
          <w:szCs w:val="20"/>
        </w:rPr>
        <w:t xml:space="preserve">, preferibilmente, in un </w:t>
      </w:r>
      <w:r w:rsidRPr="0062207D">
        <w:rPr>
          <w:rFonts w:ascii="Segoe UI" w:hAnsi="Segoe UI" w:cs="Segoe UI"/>
          <w:i/>
          <w:szCs w:val="20"/>
        </w:rPr>
        <w:t>report</w:t>
      </w:r>
      <w:r w:rsidRPr="0062207D">
        <w:rPr>
          <w:rFonts w:ascii="Segoe UI" w:hAnsi="Segoe UI" w:cs="Segoe UI"/>
          <w:szCs w:val="20"/>
        </w:rPr>
        <w:t xml:space="preserve"> integrato e non in un </w:t>
      </w:r>
      <w:r w:rsidRPr="0062207D">
        <w:rPr>
          <w:rFonts w:ascii="Segoe UI" w:hAnsi="Segoe UI" w:cs="Segoe UI"/>
          <w:i/>
          <w:szCs w:val="20"/>
        </w:rPr>
        <w:t>report</w:t>
      </w:r>
      <w:r w:rsidRPr="0062207D">
        <w:rPr>
          <w:rFonts w:ascii="Segoe UI" w:hAnsi="Segoe UI" w:cs="Segoe UI"/>
          <w:szCs w:val="20"/>
        </w:rPr>
        <w:t xml:space="preserve"> </w:t>
      </w:r>
      <w:r w:rsidR="00515257" w:rsidRPr="0062207D">
        <w:rPr>
          <w:rFonts w:ascii="Segoe UI" w:hAnsi="Segoe UI" w:cs="Segoe UI"/>
          <w:szCs w:val="20"/>
        </w:rPr>
        <w:t>separato</w:t>
      </w:r>
      <w:r w:rsidRPr="0062207D">
        <w:rPr>
          <w:rFonts w:ascii="Segoe UI" w:hAnsi="Segoe UI" w:cs="Segoe UI"/>
          <w:szCs w:val="20"/>
        </w:rPr>
        <w:t xml:space="preserve">, poiché </w:t>
      </w:r>
      <w:r w:rsidR="00CF1570">
        <w:rPr>
          <w:rFonts w:ascii="Segoe UI" w:hAnsi="Segoe UI" w:cs="Segoe UI"/>
          <w:szCs w:val="20"/>
        </w:rPr>
        <w:t xml:space="preserve">la possibilità di fruire di differenti prospettive rileva nel consentire una maggiore </w:t>
      </w:r>
      <w:r w:rsidRPr="0062207D">
        <w:rPr>
          <w:rFonts w:ascii="Segoe UI" w:hAnsi="Segoe UI" w:cs="Segoe UI"/>
          <w:szCs w:val="20"/>
        </w:rPr>
        <w:t>compren</w:t>
      </w:r>
      <w:r w:rsidR="00CF1570">
        <w:rPr>
          <w:rFonts w:ascii="Segoe UI" w:hAnsi="Segoe UI" w:cs="Segoe UI"/>
          <w:szCs w:val="20"/>
        </w:rPr>
        <w:t xml:space="preserve">sione e </w:t>
      </w:r>
      <w:r w:rsidRPr="0062207D">
        <w:rPr>
          <w:rFonts w:ascii="Segoe UI" w:hAnsi="Segoe UI" w:cs="Segoe UI"/>
          <w:szCs w:val="20"/>
        </w:rPr>
        <w:t>anali</w:t>
      </w:r>
      <w:r w:rsidR="00CF1570">
        <w:rPr>
          <w:rFonts w:ascii="Segoe UI" w:hAnsi="Segoe UI" w:cs="Segoe UI"/>
          <w:szCs w:val="20"/>
        </w:rPr>
        <w:t xml:space="preserve">si degli </w:t>
      </w:r>
      <w:r w:rsidRPr="0062207D">
        <w:rPr>
          <w:rFonts w:ascii="Segoe UI" w:hAnsi="Segoe UI" w:cs="Segoe UI"/>
          <w:szCs w:val="20"/>
        </w:rPr>
        <w:t>sviluppi,</w:t>
      </w:r>
      <w:r w:rsidR="00CF1570">
        <w:rPr>
          <w:rFonts w:ascii="Segoe UI" w:hAnsi="Segoe UI" w:cs="Segoe UI"/>
          <w:szCs w:val="20"/>
        </w:rPr>
        <w:t xml:space="preserve"> delle</w:t>
      </w:r>
      <w:r w:rsidRPr="0062207D">
        <w:rPr>
          <w:rFonts w:ascii="Segoe UI" w:hAnsi="Segoe UI" w:cs="Segoe UI"/>
          <w:szCs w:val="20"/>
        </w:rPr>
        <w:t xml:space="preserve"> </w:t>
      </w:r>
      <w:r w:rsidR="00807B3F" w:rsidRPr="0062207D">
        <w:rPr>
          <w:rFonts w:ascii="Segoe UI" w:hAnsi="Segoe UI" w:cs="Segoe UI"/>
          <w:i/>
          <w:szCs w:val="20"/>
        </w:rPr>
        <w:t>performance</w:t>
      </w:r>
      <w:r w:rsidR="00807B3F" w:rsidRPr="0062207D">
        <w:rPr>
          <w:rFonts w:ascii="Segoe UI" w:hAnsi="Segoe UI" w:cs="Segoe UI"/>
          <w:szCs w:val="20"/>
        </w:rPr>
        <w:t xml:space="preserve">, </w:t>
      </w:r>
      <w:r w:rsidR="00CF1570">
        <w:rPr>
          <w:rFonts w:ascii="Segoe UI" w:hAnsi="Segoe UI" w:cs="Segoe UI"/>
          <w:szCs w:val="20"/>
        </w:rPr>
        <w:t xml:space="preserve">della </w:t>
      </w:r>
      <w:r w:rsidR="00807B3F" w:rsidRPr="0062207D">
        <w:rPr>
          <w:rFonts w:ascii="Segoe UI" w:hAnsi="Segoe UI" w:cs="Segoe UI"/>
          <w:szCs w:val="20"/>
        </w:rPr>
        <w:t>posizione e</w:t>
      </w:r>
      <w:r w:rsidR="00CF1570">
        <w:rPr>
          <w:rFonts w:ascii="Segoe UI" w:hAnsi="Segoe UI" w:cs="Segoe UI"/>
          <w:szCs w:val="20"/>
        </w:rPr>
        <w:t xml:space="preserve"> dell’</w:t>
      </w:r>
      <w:r w:rsidR="00807B3F" w:rsidRPr="0062207D">
        <w:rPr>
          <w:rFonts w:ascii="Segoe UI" w:hAnsi="Segoe UI" w:cs="Segoe UI"/>
          <w:szCs w:val="20"/>
        </w:rPr>
        <w:t xml:space="preserve">impatto </w:t>
      </w:r>
      <w:r w:rsidR="00CF1570">
        <w:rPr>
          <w:rFonts w:ascii="Segoe UI" w:hAnsi="Segoe UI" w:cs="Segoe UI"/>
          <w:szCs w:val="20"/>
        </w:rPr>
        <w:t>de</w:t>
      </w:r>
      <w:r w:rsidR="00807B3F" w:rsidRPr="0062207D">
        <w:rPr>
          <w:rFonts w:ascii="Segoe UI" w:hAnsi="Segoe UI" w:cs="Segoe UI"/>
          <w:szCs w:val="20"/>
        </w:rPr>
        <w:t>lle attività</w:t>
      </w:r>
      <w:r w:rsidR="005263AE" w:rsidRPr="0062207D">
        <w:rPr>
          <w:rFonts w:ascii="Segoe UI" w:hAnsi="Segoe UI" w:cs="Segoe UI"/>
          <w:szCs w:val="20"/>
        </w:rPr>
        <w:t xml:space="preserve"> dell’organizzazione. Di conseguenza, l’informativa non finanziaria dovrebbe includere solo le informazioni rilevanti</w:t>
      </w:r>
      <w:r w:rsidR="007C00FB" w:rsidRPr="0062207D">
        <w:rPr>
          <w:rStyle w:val="Rimandonotaapidipagina"/>
          <w:rFonts w:cs="Segoe UI"/>
          <w:sz w:val="22"/>
          <w:szCs w:val="20"/>
        </w:rPr>
        <w:footnoteReference w:id="41"/>
      </w:r>
      <w:r w:rsidR="005263AE" w:rsidRPr="0062207D">
        <w:rPr>
          <w:rFonts w:ascii="Segoe UI" w:hAnsi="Segoe UI" w:cs="Segoe UI"/>
          <w:szCs w:val="20"/>
        </w:rPr>
        <w:t>.</w:t>
      </w:r>
    </w:p>
    <w:p w14:paraId="237A919D" w14:textId="2CBD7855" w:rsidR="005263AE" w:rsidRPr="0062207D" w:rsidRDefault="005263AE" w:rsidP="00174A2A">
      <w:pPr>
        <w:autoSpaceDE w:val="0"/>
        <w:autoSpaceDN w:val="0"/>
        <w:spacing w:before="120" w:after="120" w:line="240" w:lineRule="auto"/>
        <w:jc w:val="both"/>
        <w:rPr>
          <w:rFonts w:ascii="Segoe UI" w:hAnsi="Segoe UI" w:cs="Segoe UI"/>
          <w:szCs w:val="20"/>
        </w:rPr>
      </w:pPr>
      <w:r w:rsidRPr="0062207D">
        <w:rPr>
          <w:rFonts w:ascii="Segoe UI" w:hAnsi="Segoe UI" w:cs="Segoe UI"/>
          <w:szCs w:val="20"/>
        </w:rPr>
        <w:t>L’orientamento</w:t>
      </w:r>
      <w:r w:rsidR="00C6617D">
        <w:rPr>
          <w:rFonts w:ascii="Segoe UI" w:hAnsi="Segoe UI" w:cs="Segoe UI"/>
          <w:szCs w:val="20"/>
        </w:rPr>
        <w:t xml:space="preserve"> </w:t>
      </w:r>
      <w:r w:rsidRPr="0062207D">
        <w:rPr>
          <w:rFonts w:ascii="Segoe UI" w:hAnsi="Segoe UI" w:cs="Segoe UI"/>
          <w:szCs w:val="20"/>
        </w:rPr>
        <w:t xml:space="preserve">proposto da Accountancy Europe </w:t>
      </w:r>
      <w:r w:rsidR="00640006" w:rsidRPr="0062207D">
        <w:rPr>
          <w:rFonts w:ascii="Segoe UI" w:hAnsi="Segoe UI" w:cs="Segoe UI"/>
          <w:szCs w:val="20"/>
        </w:rPr>
        <w:t xml:space="preserve">è quello di focalizzarsi sulla descrizione degli </w:t>
      </w:r>
      <w:r w:rsidR="00640006" w:rsidRPr="00251F8C">
        <w:rPr>
          <w:rFonts w:ascii="Segoe UI" w:hAnsi="Segoe UI" w:cs="Segoe UI"/>
          <w:i/>
          <w:szCs w:val="20"/>
        </w:rPr>
        <w:t>input</w:t>
      </w:r>
      <w:r w:rsidR="00640006" w:rsidRPr="0062207D">
        <w:rPr>
          <w:rFonts w:ascii="Segoe UI" w:hAnsi="Segoe UI" w:cs="Segoe UI"/>
          <w:szCs w:val="20"/>
        </w:rPr>
        <w:t xml:space="preserve"> e </w:t>
      </w:r>
      <w:r w:rsidR="00515257" w:rsidRPr="0062207D">
        <w:rPr>
          <w:rFonts w:ascii="Segoe UI" w:hAnsi="Segoe UI" w:cs="Segoe UI"/>
          <w:szCs w:val="20"/>
        </w:rPr>
        <w:t xml:space="preserve">degli </w:t>
      </w:r>
      <w:r w:rsidR="00640006" w:rsidRPr="00251F8C">
        <w:rPr>
          <w:rFonts w:ascii="Segoe UI" w:hAnsi="Segoe UI" w:cs="Segoe UI"/>
          <w:i/>
          <w:szCs w:val="20"/>
        </w:rPr>
        <w:t>output</w:t>
      </w:r>
      <w:r w:rsidR="00640006" w:rsidRPr="0062207D">
        <w:rPr>
          <w:rFonts w:ascii="Segoe UI" w:hAnsi="Segoe UI" w:cs="Segoe UI"/>
          <w:szCs w:val="20"/>
        </w:rPr>
        <w:t xml:space="preserve"> rilevanti ai fini del processo d</w:t>
      </w:r>
      <w:r w:rsidR="00C30449">
        <w:rPr>
          <w:rFonts w:ascii="Segoe UI" w:hAnsi="Segoe UI" w:cs="Segoe UI"/>
          <w:szCs w:val="20"/>
        </w:rPr>
        <w:t xml:space="preserve">ella </w:t>
      </w:r>
      <w:r w:rsidR="00640006" w:rsidRPr="0062207D">
        <w:rPr>
          <w:rFonts w:ascii="Segoe UI" w:hAnsi="Segoe UI" w:cs="Segoe UI"/>
          <w:szCs w:val="20"/>
        </w:rPr>
        <w:t>creazione del valore</w:t>
      </w:r>
      <w:r w:rsidR="00C30449">
        <w:rPr>
          <w:rFonts w:ascii="Segoe UI" w:hAnsi="Segoe UI" w:cs="Segoe UI"/>
          <w:szCs w:val="20"/>
        </w:rPr>
        <w:t xml:space="preserve"> (in questo condividendo l’approccio dell’IIRC)</w:t>
      </w:r>
      <w:r w:rsidR="00640006" w:rsidRPr="0062207D">
        <w:rPr>
          <w:rFonts w:ascii="Segoe UI" w:hAnsi="Segoe UI" w:cs="Segoe UI"/>
          <w:szCs w:val="20"/>
        </w:rPr>
        <w:t xml:space="preserve">. Tra gli </w:t>
      </w:r>
      <w:r w:rsidR="00640006" w:rsidRPr="005D3AC0">
        <w:rPr>
          <w:rFonts w:ascii="Segoe UI" w:hAnsi="Segoe UI" w:cs="Segoe UI"/>
          <w:i/>
          <w:szCs w:val="20"/>
        </w:rPr>
        <w:t>output</w:t>
      </w:r>
      <w:r w:rsidR="00640006" w:rsidRPr="0062207D">
        <w:rPr>
          <w:rFonts w:ascii="Segoe UI" w:hAnsi="Segoe UI" w:cs="Segoe UI"/>
          <w:szCs w:val="20"/>
        </w:rPr>
        <w:t xml:space="preserve"> è importante includere aspetti ambientali e sociali. Con particolare riferimento al</w:t>
      </w:r>
      <w:r w:rsidR="00C30449">
        <w:rPr>
          <w:rFonts w:ascii="Segoe UI" w:hAnsi="Segoe UI" w:cs="Segoe UI"/>
          <w:szCs w:val="20"/>
        </w:rPr>
        <w:t xml:space="preserve"> concetto </w:t>
      </w:r>
      <w:r w:rsidR="00640006" w:rsidRPr="0062207D">
        <w:rPr>
          <w:rFonts w:ascii="Segoe UI" w:hAnsi="Segoe UI" w:cs="Segoe UI"/>
          <w:szCs w:val="20"/>
        </w:rPr>
        <w:t xml:space="preserve">della </w:t>
      </w:r>
      <w:r w:rsidR="00515257" w:rsidRPr="0062207D">
        <w:rPr>
          <w:rFonts w:ascii="Segoe UI" w:hAnsi="Segoe UI" w:cs="Segoe UI"/>
          <w:szCs w:val="20"/>
        </w:rPr>
        <w:t>rilevanza</w:t>
      </w:r>
      <w:r w:rsidR="00640006" w:rsidRPr="0062207D">
        <w:rPr>
          <w:rFonts w:ascii="Segoe UI" w:hAnsi="Segoe UI" w:cs="Segoe UI"/>
          <w:szCs w:val="20"/>
        </w:rPr>
        <w:t xml:space="preserve">, la direttiva </w:t>
      </w:r>
      <w:r w:rsidR="00C30449">
        <w:rPr>
          <w:rFonts w:ascii="Segoe UI" w:hAnsi="Segoe UI" w:cs="Segoe UI"/>
          <w:szCs w:val="20"/>
        </w:rPr>
        <w:t xml:space="preserve">di </w:t>
      </w:r>
      <w:r w:rsidR="00C30449" w:rsidRPr="00C30449">
        <w:rPr>
          <w:rFonts w:ascii="Segoe UI" w:hAnsi="Segoe UI" w:cs="Segoe UI"/>
          <w:i/>
          <w:szCs w:val="20"/>
        </w:rPr>
        <w:t>disclosure</w:t>
      </w:r>
      <w:r w:rsidR="00C30449">
        <w:rPr>
          <w:rFonts w:ascii="Segoe UI" w:hAnsi="Segoe UI" w:cs="Segoe UI"/>
          <w:szCs w:val="20"/>
        </w:rPr>
        <w:t xml:space="preserve"> non finanziaria (</w:t>
      </w:r>
      <w:r w:rsidR="00640006" w:rsidRPr="0062207D">
        <w:rPr>
          <w:rFonts w:ascii="Segoe UI" w:hAnsi="Segoe UI" w:cs="Segoe UI"/>
          <w:szCs w:val="20"/>
        </w:rPr>
        <w:t xml:space="preserve">sottolinea </w:t>
      </w:r>
      <w:r w:rsidR="00C30449">
        <w:rPr>
          <w:rFonts w:ascii="Segoe UI" w:hAnsi="Segoe UI" w:cs="Segoe UI"/>
          <w:szCs w:val="20"/>
        </w:rPr>
        <w:t xml:space="preserve">Accountancy Europe) rimarca come debbano </w:t>
      </w:r>
      <w:r w:rsidR="00640006" w:rsidRPr="0062207D">
        <w:rPr>
          <w:rFonts w:ascii="Segoe UI" w:hAnsi="Segoe UI" w:cs="Segoe UI"/>
          <w:szCs w:val="20"/>
        </w:rPr>
        <w:t xml:space="preserve">essere </w:t>
      </w:r>
      <w:r w:rsidR="00A300D7" w:rsidRPr="0062207D">
        <w:rPr>
          <w:rFonts w:ascii="Segoe UI" w:hAnsi="Segoe UI" w:cs="Segoe UI"/>
          <w:szCs w:val="20"/>
        </w:rPr>
        <w:t>fornite le inform</w:t>
      </w:r>
      <w:r w:rsidR="005337B5" w:rsidRPr="0062207D">
        <w:rPr>
          <w:rFonts w:ascii="Segoe UI" w:hAnsi="Segoe UI" w:cs="Segoe UI"/>
          <w:szCs w:val="20"/>
        </w:rPr>
        <w:t xml:space="preserve">azioni adeguate in relazione agli aspetti che hanno maggiore rischio di un forte impatto sull’organizzazione. La </w:t>
      </w:r>
      <w:r w:rsidR="00D828C6">
        <w:rPr>
          <w:rFonts w:ascii="Segoe UI" w:hAnsi="Segoe UI" w:cs="Segoe UI"/>
          <w:szCs w:val="20"/>
        </w:rPr>
        <w:t xml:space="preserve">portata </w:t>
      </w:r>
      <w:r w:rsidR="005337B5" w:rsidRPr="0062207D">
        <w:rPr>
          <w:rFonts w:ascii="Segoe UI" w:hAnsi="Segoe UI" w:cs="Segoe UI"/>
          <w:szCs w:val="20"/>
        </w:rPr>
        <w:t>(</w:t>
      </w:r>
      <w:r w:rsidR="005337B5" w:rsidRPr="0062207D">
        <w:rPr>
          <w:rFonts w:ascii="Segoe UI" w:hAnsi="Segoe UI" w:cs="Segoe UI"/>
          <w:i/>
          <w:szCs w:val="20"/>
        </w:rPr>
        <w:t>severity</w:t>
      </w:r>
      <w:r w:rsidR="005337B5" w:rsidRPr="0062207D">
        <w:rPr>
          <w:rFonts w:ascii="Segoe UI" w:hAnsi="Segoe UI" w:cs="Segoe UI"/>
          <w:szCs w:val="20"/>
        </w:rPr>
        <w:t>) del</w:t>
      </w:r>
      <w:r w:rsidR="00A24DDC" w:rsidRPr="0062207D">
        <w:rPr>
          <w:rFonts w:ascii="Segoe UI" w:hAnsi="Segoe UI" w:cs="Segoe UI"/>
          <w:szCs w:val="20"/>
        </w:rPr>
        <w:t>l</w:t>
      </w:r>
      <w:r w:rsidR="005337B5" w:rsidRPr="0062207D">
        <w:rPr>
          <w:rFonts w:ascii="Segoe UI" w:hAnsi="Segoe UI" w:cs="Segoe UI"/>
          <w:szCs w:val="20"/>
        </w:rPr>
        <w:t>’impatto dovrebbe essere giudicat</w:t>
      </w:r>
      <w:r w:rsidR="00D828C6">
        <w:rPr>
          <w:rFonts w:ascii="Segoe UI" w:hAnsi="Segoe UI" w:cs="Segoe UI"/>
          <w:szCs w:val="20"/>
        </w:rPr>
        <w:t xml:space="preserve">a </w:t>
      </w:r>
      <w:r w:rsidR="005337B5" w:rsidRPr="0062207D">
        <w:rPr>
          <w:rFonts w:ascii="Segoe UI" w:hAnsi="Segoe UI" w:cs="Segoe UI"/>
          <w:szCs w:val="20"/>
        </w:rPr>
        <w:t>sulla base di una scala di gravità.</w:t>
      </w:r>
    </w:p>
    <w:p w14:paraId="6DC04075" w14:textId="13DEDEA1" w:rsidR="00D026A7" w:rsidRPr="0062207D" w:rsidRDefault="001D4CD6" w:rsidP="00174A2A">
      <w:pPr>
        <w:autoSpaceDE w:val="0"/>
        <w:autoSpaceDN w:val="0"/>
        <w:spacing w:before="120" w:after="120" w:line="240" w:lineRule="auto"/>
        <w:jc w:val="both"/>
        <w:rPr>
          <w:rFonts w:ascii="Segoe UI" w:hAnsi="Segoe UI" w:cs="Segoe UI"/>
          <w:szCs w:val="20"/>
        </w:rPr>
      </w:pPr>
      <w:r w:rsidRPr="0062207D">
        <w:rPr>
          <w:rFonts w:ascii="Segoe UI" w:hAnsi="Segoe UI" w:cs="Segoe UI"/>
          <w:szCs w:val="20"/>
        </w:rPr>
        <w:t>Per s</w:t>
      </w:r>
      <w:r w:rsidR="005337B5" w:rsidRPr="0062207D">
        <w:rPr>
          <w:rFonts w:ascii="Segoe UI" w:hAnsi="Segoe UI" w:cs="Segoe UI"/>
          <w:szCs w:val="20"/>
        </w:rPr>
        <w:t xml:space="preserve">tabilire </w:t>
      </w:r>
      <w:r w:rsidRPr="0062207D">
        <w:rPr>
          <w:rFonts w:ascii="Segoe UI" w:hAnsi="Segoe UI" w:cs="Segoe UI"/>
          <w:szCs w:val="20"/>
        </w:rPr>
        <w:t xml:space="preserve">con efficacia e coerenza </w:t>
      </w:r>
      <w:r w:rsidR="005337B5" w:rsidRPr="0062207D">
        <w:rPr>
          <w:rFonts w:ascii="Segoe UI" w:hAnsi="Segoe UI" w:cs="Segoe UI"/>
          <w:szCs w:val="20"/>
        </w:rPr>
        <w:t xml:space="preserve">la </w:t>
      </w:r>
      <w:r w:rsidR="00D026A7" w:rsidRPr="0062207D">
        <w:rPr>
          <w:rFonts w:ascii="Segoe UI" w:hAnsi="Segoe UI" w:cs="Segoe UI"/>
          <w:szCs w:val="20"/>
        </w:rPr>
        <w:t xml:space="preserve">rilevanza </w:t>
      </w:r>
      <w:r w:rsidR="005337B5" w:rsidRPr="0062207D">
        <w:rPr>
          <w:rFonts w:ascii="Segoe UI" w:hAnsi="Segoe UI" w:cs="Segoe UI"/>
          <w:szCs w:val="20"/>
        </w:rPr>
        <w:t xml:space="preserve">delle informazioni non finanziarie non </w:t>
      </w:r>
      <w:r w:rsidRPr="0062207D">
        <w:rPr>
          <w:rFonts w:ascii="Segoe UI" w:hAnsi="Segoe UI" w:cs="Segoe UI"/>
          <w:szCs w:val="20"/>
        </w:rPr>
        <w:t xml:space="preserve">è sufficiente ricorrere </w:t>
      </w:r>
      <w:r w:rsidR="005337B5" w:rsidRPr="0062207D">
        <w:rPr>
          <w:rFonts w:ascii="Segoe UI" w:hAnsi="Segoe UI" w:cs="Segoe UI"/>
          <w:szCs w:val="20"/>
        </w:rPr>
        <w:t xml:space="preserve">alla definizione di una </w:t>
      </w:r>
      <w:r w:rsidR="00D34F05">
        <w:rPr>
          <w:rFonts w:ascii="Segoe UI" w:hAnsi="Segoe UI" w:cs="Segoe UI"/>
          <w:szCs w:val="20"/>
        </w:rPr>
        <w:t>“</w:t>
      </w:r>
      <w:r w:rsidR="005337B5" w:rsidRPr="0062207D">
        <w:rPr>
          <w:rFonts w:ascii="Segoe UI" w:hAnsi="Segoe UI" w:cs="Segoe UI"/>
          <w:szCs w:val="20"/>
        </w:rPr>
        <w:t>matrice</w:t>
      </w:r>
      <w:r w:rsidR="00D026A7" w:rsidRPr="0062207D">
        <w:rPr>
          <w:rFonts w:ascii="Segoe UI" w:hAnsi="Segoe UI" w:cs="Segoe UI"/>
          <w:szCs w:val="20"/>
        </w:rPr>
        <w:t xml:space="preserve"> di</w:t>
      </w:r>
      <w:r w:rsidR="00D34F05">
        <w:rPr>
          <w:rFonts w:ascii="Segoe UI" w:hAnsi="Segoe UI" w:cs="Segoe UI"/>
          <w:szCs w:val="20"/>
        </w:rPr>
        <w:t xml:space="preserve"> </w:t>
      </w:r>
      <w:r w:rsidR="00D026A7" w:rsidRPr="0062207D">
        <w:rPr>
          <w:rFonts w:ascii="Segoe UI" w:hAnsi="Segoe UI" w:cs="Segoe UI"/>
          <w:szCs w:val="20"/>
        </w:rPr>
        <w:t>materialità”</w:t>
      </w:r>
      <w:r w:rsidR="007B7B1F">
        <w:rPr>
          <w:rFonts w:ascii="Segoe UI" w:hAnsi="Segoe UI" w:cs="Segoe UI"/>
          <w:szCs w:val="20"/>
        </w:rPr>
        <w:t xml:space="preserve">; occorre invece </w:t>
      </w:r>
      <w:r w:rsidR="00D81E2E">
        <w:rPr>
          <w:rFonts w:ascii="Segoe UI" w:hAnsi="Segoe UI" w:cs="Segoe UI"/>
          <w:szCs w:val="20"/>
        </w:rPr>
        <w:t xml:space="preserve">definire, </w:t>
      </w:r>
      <w:r w:rsidR="007B7B1F">
        <w:rPr>
          <w:rFonts w:ascii="Segoe UI" w:hAnsi="Segoe UI" w:cs="Segoe UI"/>
          <w:szCs w:val="20"/>
        </w:rPr>
        <w:t xml:space="preserve">strutturare </w:t>
      </w:r>
      <w:r w:rsidR="00D81E2E">
        <w:rPr>
          <w:rFonts w:ascii="Segoe UI" w:hAnsi="Segoe UI" w:cs="Segoe UI"/>
          <w:szCs w:val="20"/>
        </w:rPr>
        <w:t xml:space="preserve">e realizzare </w:t>
      </w:r>
      <w:r w:rsidR="005337B5" w:rsidRPr="0062207D">
        <w:rPr>
          <w:rFonts w:ascii="Segoe UI" w:hAnsi="Segoe UI" w:cs="Segoe UI"/>
          <w:szCs w:val="20"/>
        </w:rPr>
        <w:t xml:space="preserve">un processo </w:t>
      </w:r>
      <w:r w:rsidR="00D026A7" w:rsidRPr="0062207D">
        <w:rPr>
          <w:rFonts w:ascii="Segoe UI" w:hAnsi="Segoe UI" w:cs="Segoe UI"/>
          <w:szCs w:val="20"/>
        </w:rPr>
        <w:t xml:space="preserve">consolidato </w:t>
      </w:r>
      <w:r w:rsidR="005337B5" w:rsidRPr="0062207D">
        <w:rPr>
          <w:rFonts w:ascii="Segoe UI" w:hAnsi="Segoe UI" w:cs="Segoe UI"/>
          <w:szCs w:val="20"/>
        </w:rPr>
        <w:t>all’interno dell’organizzazione</w:t>
      </w:r>
      <w:r w:rsidRPr="0062207D">
        <w:rPr>
          <w:rStyle w:val="Rimandonotaapidipagina"/>
          <w:rFonts w:cs="Segoe UI"/>
          <w:sz w:val="22"/>
          <w:szCs w:val="20"/>
        </w:rPr>
        <w:footnoteReference w:id="42"/>
      </w:r>
      <w:r w:rsidR="005337B5" w:rsidRPr="0062207D">
        <w:rPr>
          <w:rFonts w:ascii="Segoe UI" w:hAnsi="Segoe UI" w:cs="Segoe UI"/>
          <w:szCs w:val="20"/>
        </w:rPr>
        <w:t xml:space="preserve">. L’applicazione del principio della </w:t>
      </w:r>
      <w:r w:rsidR="00D026A7" w:rsidRPr="0062207D">
        <w:rPr>
          <w:rFonts w:ascii="Segoe UI" w:hAnsi="Segoe UI" w:cs="Segoe UI"/>
          <w:szCs w:val="20"/>
        </w:rPr>
        <w:t xml:space="preserve">rilevanza </w:t>
      </w:r>
      <w:r w:rsidR="005337B5" w:rsidRPr="0062207D">
        <w:rPr>
          <w:rFonts w:ascii="Segoe UI" w:hAnsi="Segoe UI" w:cs="Segoe UI"/>
          <w:szCs w:val="20"/>
        </w:rPr>
        <w:t>è molto più compless</w:t>
      </w:r>
      <w:r w:rsidR="00EA0739">
        <w:rPr>
          <w:rFonts w:ascii="Segoe UI" w:hAnsi="Segoe UI" w:cs="Segoe UI"/>
          <w:szCs w:val="20"/>
        </w:rPr>
        <w:t>a</w:t>
      </w:r>
      <w:r w:rsidR="005337B5" w:rsidRPr="0062207D">
        <w:rPr>
          <w:rFonts w:ascii="Segoe UI" w:hAnsi="Segoe UI" w:cs="Segoe UI"/>
          <w:szCs w:val="20"/>
        </w:rPr>
        <w:t xml:space="preserve"> nell’informativa non finanziari</w:t>
      </w:r>
      <w:r w:rsidR="00D026A7" w:rsidRPr="0062207D">
        <w:rPr>
          <w:rFonts w:ascii="Segoe UI" w:hAnsi="Segoe UI" w:cs="Segoe UI"/>
          <w:szCs w:val="20"/>
        </w:rPr>
        <w:t>a</w:t>
      </w:r>
      <w:r w:rsidR="005337B5" w:rsidRPr="0062207D">
        <w:rPr>
          <w:rFonts w:ascii="Segoe UI" w:hAnsi="Segoe UI" w:cs="Segoe UI"/>
          <w:szCs w:val="20"/>
        </w:rPr>
        <w:t xml:space="preserve"> rispetto all’informativa finanziaria poiché</w:t>
      </w:r>
      <w:r w:rsidR="00B171DF">
        <w:rPr>
          <w:rFonts w:ascii="Segoe UI" w:hAnsi="Segoe UI" w:cs="Segoe UI"/>
          <w:szCs w:val="20"/>
        </w:rPr>
        <w:t>,</w:t>
      </w:r>
      <w:r w:rsidR="005337B5" w:rsidRPr="0062207D">
        <w:rPr>
          <w:rFonts w:ascii="Segoe UI" w:hAnsi="Segoe UI" w:cs="Segoe UI"/>
          <w:szCs w:val="20"/>
        </w:rPr>
        <w:t xml:space="preserve"> nella maggior parte dei casi</w:t>
      </w:r>
      <w:r w:rsidR="00B171DF">
        <w:rPr>
          <w:rFonts w:ascii="Segoe UI" w:hAnsi="Segoe UI" w:cs="Segoe UI"/>
          <w:szCs w:val="20"/>
        </w:rPr>
        <w:t>,</w:t>
      </w:r>
      <w:r w:rsidR="005337B5" w:rsidRPr="0062207D">
        <w:rPr>
          <w:rFonts w:ascii="Segoe UI" w:hAnsi="Segoe UI" w:cs="Segoe UI"/>
          <w:szCs w:val="20"/>
        </w:rPr>
        <w:t xml:space="preserve"> è molto </w:t>
      </w:r>
      <w:r w:rsidR="00B171DF">
        <w:rPr>
          <w:rFonts w:ascii="Segoe UI" w:hAnsi="Segoe UI" w:cs="Segoe UI"/>
          <w:szCs w:val="20"/>
        </w:rPr>
        <w:t xml:space="preserve">arduo </w:t>
      </w:r>
      <w:r w:rsidR="005337B5" w:rsidRPr="0062207D">
        <w:rPr>
          <w:rFonts w:ascii="Segoe UI" w:hAnsi="Segoe UI" w:cs="Segoe UI"/>
          <w:szCs w:val="20"/>
        </w:rPr>
        <w:t>applicare criteri quantitativi</w:t>
      </w:r>
      <w:r w:rsidR="00D026A7" w:rsidRPr="0062207D">
        <w:rPr>
          <w:rFonts w:ascii="Segoe UI" w:hAnsi="Segoe UI" w:cs="Segoe UI"/>
          <w:szCs w:val="20"/>
        </w:rPr>
        <w:t xml:space="preserve"> a questa tipologia di informazioni</w:t>
      </w:r>
      <w:r w:rsidR="005337B5" w:rsidRPr="0062207D">
        <w:rPr>
          <w:rFonts w:ascii="Segoe UI" w:hAnsi="Segoe UI" w:cs="Segoe UI"/>
          <w:szCs w:val="20"/>
        </w:rPr>
        <w:t xml:space="preserve">. L’informativa non finanziaria è basata, tipicamente, su criteri qualitativi, più difficili da identificare e </w:t>
      </w:r>
      <w:r w:rsidR="00D026A7" w:rsidRPr="0062207D">
        <w:rPr>
          <w:rFonts w:ascii="Segoe UI" w:hAnsi="Segoe UI" w:cs="Segoe UI"/>
          <w:szCs w:val="20"/>
        </w:rPr>
        <w:t>sviluppare</w:t>
      </w:r>
      <w:r w:rsidR="00F42278">
        <w:rPr>
          <w:rFonts w:ascii="Segoe UI" w:hAnsi="Segoe UI" w:cs="Segoe UI"/>
          <w:szCs w:val="20"/>
        </w:rPr>
        <w:t xml:space="preserve"> nell’ambito del reporting e della </w:t>
      </w:r>
      <w:r w:rsidR="00F42278" w:rsidRPr="00F42278">
        <w:rPr>
          <w:rFonts w:ascii="Segoe UI" w:hAnsi="Segoe UI" w:cs="Segoe UI"/>
          <w:i/>
          <w:szCs w:val="20"/>
        </w:rPr>
        <w:t>disclosure</w:t>
      </w:r>
      <w:r w:rsidR="00F42278">
        <w:rPr>
          <w:rFonts w:ascii="Segoe UI" w:hAnsi="Segoe UI" w:cs="Segoe UI"/>
          <w:szCs w:val="20"/>
        </w:rPr>
        <w:t xml:space="preserve"> rispetto a parametri quantitativi</w:t>
      </w:r>
      <w:r w:rsidR="005337B5" w:rsidRPr="0062207D">
        <w:rPr>
          <w:rFonts w:ascii="Segoe UI" w:hAnsi="Segoe UI" w:cs="Segoe UI"/>
          <w:szCs w:val="20"/>
        </w:rPr>
        <w:t>.</w:t>
      </w:r>
    </w:p>
    <w:p w14:paraId="16B1293A" w14:textId="207B1B1F" w:rsidR="00F93BA7" w:rsidRPr="0062207D" w:rsidRDefault="002674F9" w:rsidP="00174A2A">
      <w:pPr>
        <w:autoSpaceDE w:val="0"/>
        <w:autoSpaceDN w:val="0"/>
        <w:spacing w:before="120" w:after="120" w:line="240" w:lineRule="auto"/>
        <w:jc w:val="both"/>
        <w:rPr>
          <w:rFonts w:ascii="Segoe UI" w:hAnsi="Segoe UI" w:cs="Segoe UI"/>
          <w:szCs w:val="20"/>
        </w:rPr>
      </w:pPr>
      <w:r>
        <w:rPr>
          <w:rFonts w:ascii="Segoe UI" w:hAnsi="Segoe UI" w:cs="Segoe UI"/>
          <w:szCs w:val="20"/>
        </w:rPr>
        <w:t xml:space="preserve">Per identificare </w:t>
      </w:r>
      <w:r w:rsidR="006665C8" w:rsidRPr="0062207D">
        <w:rPr>
          <w:rFonts w:ascii="Segoe UI" w:hAnsi="Segoe UI" w:cs="Segoe UI"/>
          <w:szCs w:val="20"/>
        </w:rPr>
        <w:t xml:space="preserve">le informazioni </w:t>
      </w:r>
      <w:r w:rsidR="00D026A7" w:rsidRPr="0062207D">
        <w:rPr>
          <w:rFonts w:ascii="Segoe UI" w:hAnsi="Segoe UI" w:cs="Segoe UI"/>
          <w:szCs w:val="20"/>
        </w:rPr>
        <w:t xml:space="preserve">rilevanti </w:t>
      </w:r>
      <w:r>
        <w:rPr>
          <w:rFonts w:ascii="Segoe UI" w:hAnsi="Segoe UI" w:cs="Segoe UI"/>
          <w:szCs w:val="20"/>
        </w:rPr>
        <w:t xml:space="preserve">inerenti ad aspetti ESG, Accountancy Europe propone </w:t>
      </w:r>
      <w:r w:rsidR="006665C8" w:rsidRPr="0062207D">
        <w:rPr>
          <w:rFonts w:ascii="Segoe UI" w:hAnsi="Segoe UI" w:cs="Segoe UI"/>
          <w:szCs w:val="20"/>
        </w:rPr>
        <w:t xml:space="preserve">un processo che </w:t>
      </w:r>
      <w:r w:rsidR="00D026A7" w:rsidRPr="0062207D">
        <w:rPr>
          <w:rFonts w:ascii="Segoe UI" w:hAnsi="Segoe UI" w:cs="Segoe UI"/>
          <w:szCs w:val="20"/>
        </w:rPr>
        <w:t xml:space="preserve">può essere articolato in </w:t>
      </w:r>
      <w:r w:rsidR="006665C8" w:rsidRPr="0062207D">
        <w:rPr>
          <w:rFonts w:ascii="Segoe UI" w:hAnsi="Segoe UI" w:cs="Segoe UI"/>
          <w:szCs w:val="20"/>
        </w:rPr>
        <w:t>due fasi.</w:t>
      </w:r>
      <w:r w:rsidR="00A24DDC" w:rsidRPr="0062207D">
        <w:rPr>
          <w:rFonts w:ascii="Segoe UI" w:hAnsi="Segoe UI" w:cs="Segoe UI"/>
          <w:szCs w:val="20"/>
        </w:rPr>
        <w:t xml:space="preserve"> Nella prima fase</w:t>
      </w:r>
      <w:r w:rsidR="004113E8">
        <w:rPr>
          <w:rFonts w:ascii="Segoe UI" w:hAnsi="Segoe UI" w:cs="Segoe UI"/>
          <w:szCs w:val="20"/>
        </w:rPr>
        <w:t>,</w:t>
      </w:r>
      <w:r w:rsidR="006665C8" w:rsidRPr="0062207D">
        <w:rPr>
          <w:rFonts w:ascii="Segoe UI" w:hAnsi="Segoe UI" w:cs="Segoe UI"/>
          <w:szCs w:val="20"/>
        </w:rPr>
        <w:t xml:space="preserve"> </w:t>
      </w:r>
      <w:r w:rsidR="00D026A7" w:rsidRPr="0062207D">
        <w:rPr>
          <w:rFonts w:ascii="Segoe UI" w:hAnsi="Segoe UI" w:cs="Segoe UI"/>
          <w:szCs w:val="20"/>
        </w:rPr>
        <w:t>i</w:t>
      </w:r>
      <w:r w:rsidR="00E65F6B">
        <w:rPr>
          <w:rFonts w:ascii="Segoe UI" w:hAnsi="Segoe UI" w:cs="Segoe UI"/>
          <w:szCs w:val="20"/>
        </w:rPr>
        <w:t>l</w:t>
      </w:r>
      <w:r w:rsidR="00D026A7" w:rsidRPr="0062207D">
        <w:rPr>
          <w:rFonts w:ascii="Segoe UI" w:hAnsi="Segoe UI" w:cs="Segoe UI"/>
          <w:szCs w:val="20"/>
        </w:rPr>
        <w:t xml:space="preserve"> responsabil</w:t>
      </w:r>
      <w:r w:rsidR="00E65F6B">
        <w:rPr>
          <w:rFonts w:ascii="Segoe UI" w:hAnsi="Segoe UI" w:cs="Segoe UI"/>
          <w:szCs w:val="20"/>
        </w:rPr>
        <w:t>e</w:t>
      </w:r>
      <w:r w:rsidR="00D026A7" w:rsidRPr="0062207D">
        <w:rPr>
          <w:rFonts w:ascii="Segoe UI" w:hAnsi="Segoe UI" w:cs="Segoe UI"/>
          <w:szCs w:val="20"/>
        </w:rPr>
        <w:t xml:space="preserve"> del</w:t>
      </w:r>
      <w:r w:rsidR="00A24DDC" w:rsidRPr="0062207D">
        <w:rPr>
          <w:rFonts w:ascii="Segoe UI" w:hAnsi="Segoe UI" w:cs="Segoe UI"/>
          <w:szCs w:val="20"/>
        </w:rPr>
        <w:t>l</w:t>
      </w:r>
      <w:r w:rsidR="00D026A7" w:rsidRPr="0062207D">
        <w:rPr>
          <w:rFonts w:ascii="Segoe UI" w:hAnsi="Segoe UI" w:cs="Segoe UI"/>
          <w:szCs w:val="20"/>
        </w:rPr>
        <w:t xml:space="preserve">a divisione </w:t>
      </w:r>
      <w:r w:rsidR="00D026A7" w:rsidRPr="00660850">
        <w:rPr>
          <w:rFonts w:ascii="Segoe UI" w:hAnsi="Segoe UI" w:cs="Segoe UI"/>
          <w:szCs w:val="20"/>
        </w:rPr>
        <w:t>“</w:t>
      </w:r>
      <w:r w:rsidR="00D026A7" w:rsidRPr="00251F8C">
        <w:rPr>
          <w:rFonts w:ascii="Segoe UI" w:hAnsi="Segoe UI" w:cs="Segoe UI"/>
          <w:i/>
          <w:szCs w:val="20"/>
        </w:rPr>
        <w:t>I</w:t>
      </w:r>
      <w:r w:rsidR="00347F30" w:rsidRPr="00251F8C">
        <w:rPr>
          <w:rFonts w:ascii="Segoe UI" w:hAnsi="Segoe UI" w:cs="Segoe UI"/>
          <w:i/>
          <w:szCs w:val="20"/>
        </w:rPr>
        <w:t>nvestor relations</w:t>
      </w:r>
      <w:r w:rsidR="00D026A7" w:rsidRPr="00660850">
        <w:rPr>
          <w:rFonts w:ascii="Segoe UI" w:hAnsi="Segoe UI" w:cs="Segoe UI"/>
          <w:szCs w:val="20"/>
        </w:rPr>
        <w:t>”</w:t>
      </w:r>
      <w:r w:rsidR="006665C8" w:rsidRPr="0062207D">
        <w:rPr>
          <w:rFonts w:ascii="Segoe UI" w:hAnsi="Segoe UI" w:cs="Segoe UI"/>
          <w:szCs w:val="20"/>
        </w:rPr>
        <w:t xml:space="preserve"> dell’organizzazione, supportat</w:t>
      </w:r>
      <w:r w:rsidR="00E65F6B">
        <w:rPr>
          <w:rFonts w:ascii="Segoe UI" w:hAnsi="Segoe UI" w:cs="Segoe UI"/>
          <w:szCs w:val="20"/>
        </w:rPr>
        <w:t>o</w:t>
      </w:r>
      <w:r w:rsidR="006665C8" w:rsidRPr="0062207D">
        <w:rPr>
          <w:rFonts w:ascii="Segoe UI" w:hAnsi="Segoe UI" w:cs="Segoe UI"/>
          <w:szCs w:val="20"/>
        </w:rPr>
        <w:t xml:space="preserve"> dai </w:t>
      </w:r>
      <w:r w:rsidR="006665C8" w:rsidRPr="0062207D">
        <w:rPr>
          <w:rFonts w:ascii="Segoe UI" w:hAnsi="Segoe UI" w:cs="Segoe UI"/>
          <w:i/>
          <w:szCs w:val="20"/>
        </w:rPr>
        <w:t>manager</w:t>
      </w:r>
      <w:r w:rsidR="006665C8" w:rsidRPr="0062207D">
        <w:rPr>
          <w:rFonts w:ascii="Segoe UI" w:hAnsi="Segoe UI" w:cs="Segoe UI"/>
          <w:szCs w:val="20"/>
        </w:rPr>
        <w:t xml:space="preserve"> divisionali e dal responsabile del bilancio di sostenibilità</w:t>
      </w:r>
      <w:r w:rsidR="00A24DDC" w:rsidRPr="0062207D">
        <w:rPr>
          <w:rFonts w:ascii="Segoe UI" w:hAnsi="Segoe UI" w:cs="Segoe UI"/>
          <w:szCs w:val="20"/>
        </w:rPr>
        <w:t xml:space="preserve">, </w:t>
      </w:r>
      <w:r w:rsidR="00D026A7" w:rsidRPr="0062207D">
        <w:rPr>
          <w:rFonts w:ascii="Segoe UI" w:hAnsi="Segoe UI" w:cs="Segoe UI"/>
          <w:szCs w:val="20"/>
        </w:rPr>
        <w:t xml:space="preserve">effettua </w:t>
      </w:r>
      <w:r w:rsidR="00A24DDC" w:rsidRPr="0062207D">
        <w:rPr>
          <w:rFonts w:ascii="Segoe UI" w:hAnsi="Segoe UI" w:cs="Segoe UI"/>
          <w:szCs w:val="20"/>
        </w:rPr>
        <w:t xml:space="preserve">un </w:t>
      </w:r>
      <w:r w:rsidR="00A24DDC" w:rsidRPr="0062207D">
        <w:rPr>
          <w:rFonts w:ascii="Segoe UI" w:hAnsi="Segoe UI" w:cs="Segoe UI"/>
          <w:i/>
          <w:szCs w:val="20"/>
        </w:rPr>
        <w:t>risk assessme</w:t>
      </w:r>
      <w:r w:rsidR="006665C8" w:rsidRPr="0062207D">
        <w:rPr>
          <w:rFonts w:ascii="Segoe UI" w:hAnsi="Segoe UI" w:cs="Segoe UI"/>
          <w:i/>
          <w:szCs w:val="20"/>
        </w:rPr>
        <w:t>nt</w:t>
      </w:r>
      <w:r w:rsidR="006665C8" w:rsidRPr="0062207D">
        <w:rPr>
          <w:rFonts w:ascii="Segoe UI" w:hAnsi="Segoe UI" w:cs="Segoe UI"/>
          <w:szCs w:val="20"/>
        </w:rPr>
        <w:t xml:space="preserve"> interno e si consulta con gli </w:t>
      </w:r>
      <w:r w:rsidR="006665C8" w:rsidRPr="0062207D">
        <w:rPr>
          <w:rFonts w:ascii="Segoe UI" w:hAnsi="Segoe UI" w:cs="Segoe UI"/>
          <w:i/>
          <w:szCs w:val="20"/>
        </w:rPr>
        <w:t>stakeholder</w:t>
      </w:r>
      <w:r w:rsidR="006665C8" w:rsidRPr="0062207D">
        <w:rPr>
          <w:rFonts w:ascii="Segoe UI" w:hAnsi="Segoe UI" w:cs="Segoe UI"/>
          <w:szCs w:val="20"/>
        </w:rPr>
        <w:t xml:space="preserve"> esterni per identificare gli aspetti rilevanti per l’organizzazione. Quest</w:t>
      </w:r>
      <w:r w:rsidR="00D026A7" w:rsidRPr="0062207D">
        <w:rPr>
          <w:rFonts w:ascii="Segoe UI" w:hAnsi="Segoe UI" w:cs="Segoe UI"/>
          <w:szCs w:val="20"/>
        </w:rPr>
        <w:t xml:space="preserve">i </w:t>
      </w:r>
      <w:r w:rsidR="006665C8" w:rsidRPr="0062207D">
        <w:rPr>
          <w:rFonts w:ascii="Segoe UI" w:hAnsi="Segoe UI" w:cs="Segoe UI"/>
          <w:szCs w:val="20"/>
        </w:rPr>
        <w:t>riferisc</w:t>
      </w:r>
      <w:r w:rsidR="00D026A7" w:rsidRPr="0062207D">
        <w:rPr>
          <w:rFonts w:ascii="Segoe UI" w:hAnsi="Segoe UI" w:cs="Segoe UI"/>
          <w:szCs w:val="20"/>
        </w:rPr>
        <w:t xml:space="preserve">ono </w:t>
      </w:r>
      <w:r w:rsidR="006665C8" w:rsidRPr="0062207D">
        <w:rPr>
          <w:rFonts w:ascii="Segoe UI" w:hAnsi="Segoe UI" w:cs="Segoe UI"/>
          <w:szCs w:val="20"/>
        </w:rPr>
        <w:t xml:space="preserve">i risultati dell’analisi al </w:t>
      </w:r>
      <w:r w:rsidR="006665C8" w:rsidRPr="0062207D">
        <w:rPr>
          <w:rFonts w:ascii="Segoe UI" w:hAnsi="Segoe UI" w:cs="Segoe UI"/>
          <w:i/>
          <w:szCs w:val="20"/>
        </w:rPr>
        <w:t>board</w:t>
      </w:r>
      <w:r w:rsidR="006665C8" w:rsidRPr="0062207D">
        <w:rPr>
          <w:rFonts w:ascii="Segoe UI" w:hAnsi="Segoe UI" w:cs="Segoe UI"/>
          <w:szCs w:val="20"/>
        </w:rPr>
        <w:t xml:space="preserve"> per la convalida degli aspetti e la definizione di quelli rilevanti</w:t>
      </w:r>
      <w:r w:rsidR="00D026A7" w:rsidRPr="0062207D">
        <w:rPr>
          <w:rFonts w:ascii="Segoe UI" w:hAnsi="Segoe UI" w:cs="Segoe UI"/>
          <w:szCs w:val="20"/>
        </w:rPr>
        <w:t xml:space="preserve">, </w:t>
      </w:r>
      <w:r w:rsidR="004113E8">
        <w:rPr>
          <w:rFonts w:ascii="Segoe UI" w:hAnsi="Segoe UI" w:cs="Segoe UI"/>
          <w:szCs w:val="20"/>
        </w:rPr>
        <w:t xml:space="preserve">e dunque </w:t>
      </w:r>
      <w:r w:rsidR="00D026A7" w:rsidRPr="0062207D">
        <w:rPr>
          <w:rFonts w:ascii="Segoe UI" w:hAnsi="Segoe UI" w:cs="Segoe UI"/>
          <w:szCs w:val="20"/>
        </w:rPr>
        <w:t xml:space="preserve">meritevoli di </w:t>
      </w:r>
      <w:r w:rsidR="006665C8" w:rsidRPr="0062207D">
        <w:rPr>
          <w:rFonts w:ascii="Segoe UI" w:hAnsi="Segoe UI" w:cs="Segoe UI"/>
          <w:szCs w:val="20"/>
        </w:rPr>
        <w:t xml:space="preserve">essere gestiti e inclusi nell’informativa non finanziaria. </w:t>
      </w:r>
      <w:r w:rsidR="004113E8">
        <w:rPr>
          <w:rFonts w:ascii="Segoe UI" w:hAnsi="Segoe UI" w:cs="Segoe UI"/>
          <w:szCs w:val="20"/>
        </w:rPr>
        <w:t>In questa procedura dovrebbero</w:t>
      </w:r>
      <w:r w:rsidR="004113E8" w:rsidRPr="0062207D">
        <w:rPr>
          <w:rFonts w:ascii="Segoe UI" w:hAnsi="Segoe UI" w:cs="Segoe UI"/>
          <w:szCs w:val="20"/>
        </w:rPr>
        <w:t xml:space="preserve"> essere valutati e ponderati </w:t>
      </w:r>
      <w:r w:rsidR="004113E8">
        <w:rPr>
          <w:rFonts w:ascii="Segoe UI" w:hAnsi="Segoe UI" w:cs="Segoe UI"/>
          <w:szCs w:val="20"/>
        </w:rPr>
        <w:t>t</w:t>
      </w:r>
      <w:r w:rsidR="006665C8" w:rsidRPr="0062207D">
        <w:rPr>
          <w:rFonts w:ascii="Segoe UI" w:hAnsi="Segoe UI" w:cs="Segoe UI"/>
          <w:szCs w:val="20"/>
        </w:rPr>
        <w:t xml:space="preserve">utti </w:t>
      </w:r>
      <w:r w:rsidR="004113E8">
        <w:rPr>
          <w:rFonts w:ascii="Segoe UI" w:hAnsi="Segoe UI" w:cs="Segoe UI"/>
          <w:szCs w:val="20"/>
        </w:rPr>
        <w:t xml:space="preserve">i molteplici </w:t>
      </w:r>
      <w:r w:rsidR="006665C8" w:rsidRPr="0062207D">
        <w:rPr>
          <w:rFonts w:ascii="Segoe UI" w:hAnsi="Segoe UI" w:cs="Segoe UI"/>
          <w:szCs w:val="20"/>
        </w:rPr>
        <w:t xml:space="preserve">aspetti ambientali, sociali </w:t>
      </w:r>
      <w:r w:rsidR="004113E8">
        <w:rPr>
          <w:rFonts w:ascii="Segoe UI" w:hAnsi="Segoe UI" w:cs="Segoe UI"/>
          <w:szCs w:val="20"/>
        </w:rPr>
        <w:t xml:space="preserve">e di </w:t>
      </w:r>
      <w:r w:rsidR="004113E8" w:rsidRPr="0062207D">
        <w:rPr>
          <w:rFonts w:ascii="Segoe UI" w:hAnsi="Segoe UI" w:cs="Segoe UI"/>
          <w:i/>
          <w:szCs w:val="20"/>
        </w:rPr>
        <w:t>governance</w:t>
      </w:r>
      <w:r w:rsidR="00B27865">
        <w:rPr>
          <w:rFonts w:ascii="Segoe UI" w:hAnsi="Segoe UI" w:cs="Segoe UI"/>
          <w:szCs w:val="20"/>
        </w:rPr>
        <w:t>;</w:t>
      </w:r>
      <w:r w:rsidR="004113E8" w:rsidRPr="0062207D">
        <w:rPr>
          <w:rFonts w:ascii="Segoe UI" w:hAnsi="Segoe UI" w:cs="Segoe UI"/>
          <w:szCs w:val="20"/>
        </w:rPr>
        <w:t xml:space="preserve"> </w:t>
      </w:r>
      <w:r w:rsidR="006665C8" w:rsidRPr="0062207D">
        <w:rPr>
          <w:rFonts w:ascii="Segoe UI" w:hAnsi="Segoe UI" w:cs="Segoe UI"/>
          <w:szCs w:val="20"/>
        </w:rPr>
        <w:t xml:space="preserve">i risultati del processo di </w:t>
      </w:r>
      <w:r w:rsidR="00B27865">
        <w:rPr>
          <w:rFonts w:ascii="Segoe UI" w:hAnsi="Segoe UI" w:cs="Segoe UI"/>
          <w:szCs w:val="20"/>
        </w:rPr>
        <w:t xml:space="preserve">valutazione </w:t>
      </w:r>
      <w:r w:rsidR="006665C8" w:rsidRPr="0062207D">
        <w:rPr>
          <w:rFonts w:ascii="Segoe UI" w:hAnsi="Segoe UI" w:cs="Segoe UI"/>
          <w:szCs w:val="20"/>
        </w:rPr>
        <w:t xml:space="preserve">dovrebbero </w:t>
      </w:r>
      <w:r w:rsidR="00B27865">
        <w:rPr>
          <w:rFonts w:ascii="Segoe UI" w:hAnsi="Segoe UI" w:cs="Segoe UI"/>
          <w:szCs w:val="20"/>
        </w:rPr>
        <w:t xml:space="preserve">quindi </w:t>
      </w:r>
      <w:r w:rsidR="006665C8" w:rsidRPr="0062207D">
        <w:rPr>
          <w:rFonts w:ascii="Segoe UI" w:hAnsi="Segoe UI" w:cs="Segoe UI"/>
          <w:szCs w:val="20"/>
        </w:rPr>
        <w:t xml:space="preserve">essere utilizzati per </w:t>
      </w:r>
      <w:r w:rsidR="00D026A7" w:rsidRPr="0062207D">
        <w:rPr>
          <w:rFonts w:ascii="Segoe UI" w:hAnsi="Segoe UI" w:cs="Segoe UI"/>
          <w:szCs w:val="20"/>
        </w:rPr>
        <w:t xml:space="preserve">identificare </w:t>
      </w:r>
      <w:r w:rsidR="006665C8" w:rsidRPr="0062207D">
        <w:rPr>
          <w:rFonts w:ascii="Segoe UI" w:hAnsi="Segoe UI" w:cs="Segoe UI"/>
          <w:szCs w:val="20"/>
        </w:rPr>
        <w:t xml:space="preserve">rischi e opportunità </w:t>
      </w:r>
      <w:r w:rsidR="00946554">
        <w:rPr>
          <w:rFonts w:ascii="Segoe UI" w:hAnsi="Segoe UI" w:cs="Segoe UI"/>
          <w:szCs w:val="20"/>
        </w:rPr>
        <w:t xml:space="preserve">nell’ambito della </w:t>
      </w:r>
      <w:r w:rsidR="006665C8" w:rsidRPr="0062207D">
        <w:rPr>
          <w:rFonts w:ascii="Segoe UI" w:hAnsi="Segoe UI" w:cs="Segoe UI"/>
          <w:szCs w:val="20"/>
        </w:rPr>
        <w:t xml:space="preserve">reputazione, </w:t>
      </w:r>
      <w:r w:rsidR="00946554">
        <w:rPr>
          <w:rFonts w:ascii="Segoe UI" w:hAnsi="Segoe UI" w:cs="Segoe UI"/>
          <w:szCs w:val="20"/>
        </w:rPr>
        <w:t>del</w:t>
      </w:r>
      <w:r w:rsidR="006665C8" w:rsidRPr="0062207D">
        <w:rPr>
          <w:rFonts w:ascii="Segoe UI" w:hAnsi="Segoe UI" w:cs="Segoe UI"/>
          <w:szCs w:val="20"/>
        </w:rPr>
        <w:t xml:space="preserve">l’operatività e </w:t>
      </w:r>
      <w:r w:rsidR="00946554">
        <w:rPr>
          <w:rFonts w:ascii="Segoe UI" w:hAnsi="Segoe UI" w:cs="Segoe UI"/>
          <w:szCs w:val="20"/>
        </w:rPr>
        <w:t xml:space="preserve">della </w:t>
      </w:r>
      <w:r w:rsidR="006665C8" w:rsidRPr="0062207D">
        <w:rPr>
          <w:rFonts w:ascii="Segoe UI" w:hAnsi="Segoe UI" w:cs="Segoe UI"/>
          <w:szCs w:val="20"/>
        </w:rPr>
        <w:t>finanza.</w:t>
      </w:r>
      <w:r w:rsidR="00946554">
        <w:rPr>
          <w:rFonts w:ascii="Segoe UI" w:hAnsi="Segoe UI" w:cs="Segoe UI"/>
          <w:szCs w:val="20"/>
        </w:rPr>
        <w:t xml:space="preserve"> </w:t>
      </w:r>
      <w:r w:rsidR="006665C8" w:rsidRPr="0062207D">
        <w:rPr>
          <w:rFonts w:ascii="Segoe UI" w:hAnsi="Segoe UI" w:cs="Segoe UI"/>
          <w:szCs w:val="20"/>
        </w:rPr>
        <w:t xml:space="preserve">Il risultato complessivo </w:t>
      </w:r>
      <w:r w:rsidR="00D026A7" w:rsidRPr="0062207D">
        <w:rPr>
          <w:rFonts w:ascii="Segoe UI" w:hAnsi="Segoe UI" w:cs="Segoe UI"/>
          <w:szCs w:val="20"/>
        </w:rPr>
        <w:t>dovrebbe poter condurre</w:t>
      </w:r>
      <w:r w:rsidR="005E043C">
        <w:rPr>
          <w:rFonts w:ascii="Segoe UI" w:hAnsi="Segoe UI" w:cs="Segoe UI"/>
          <w:szCs w:val="20"/>
        </w:rPr>
        <w:t>, infine,</w:t>
      </w:r>
      <w:r w:rsidR="00D026A7" w:rsidRPr="0062207D">
        <w:rPr>
          <w:rFonts w:ascii="Segoe UI" w:hAnsi="Segoe UI" w:cs="Segoe UI"/>
          <w:szCs w:val="20"/>
        </w:rPr>
        <w:t xml:space="preserve"> alla costruzione di </w:t>
      </w:r>
      <w:r w:rsidR="006665C8" w:rsidRPr="0062207D">
        <w:rPr>
          <w:rFonts w:ascii="Segoe UI" w:hAnsi="Segoe UI" w:cs="Segoe UI"/>
          <w:szCs w:val="20"/>
        </w:rPr>
        <w:t xml:space="preserve">una </w:t>
      </w:r>
      <w:r w:rsidR="00946554">
        <w:rPr>
          <w:rFonts w:ascii="Segoe UI" w:hAnsi="Segoe UI" w:cs="Segoe UI"/>
          <w:szCs w:val="20"/>
        </w:rPr>
        <w:t>“</w:t>
      </w:r>
      <w:r w:rsidR="006665C8" w:rsidRPr="0062207D">
        <w:rPr>
          <w:rFonts w:ascii="Segoe UI" w:hAnsi="Segoe UI" w:cs="Segoe UI"/>
          <w:szCs w:val="20"/>
        </w:rPr>
        <w:t>matrice</w:t>
      </w:r>
      <w:r w:rsidR="005E043C">
        <w:rPr>
          <w:rFonts w:ascii="Segoe UI" w:hAnsi="Segoe UI" w:cs="Segoe UI"/>
          <w:szCs w:val="20"/>
        </w:rPr>
        <w:t xml:space="preserve"> di materialità</w:t>
      </w:r>
      <w:r w:rsidR="00946554">
        <w:rPr>
          <w:rFonts w:ascii="Segoe UI" w:hAnsi="Segoe UI" w:cs="Segoe UI"/>
          <w:szCs w:val="20"/>
        </w:rPr>
        <w:t>”</w:t>
      </w:r>
      <w:r w:rsidR="006665C8" w:rsidRPr="0062207D">
        <w:rPr>
          <w:rFonts w:ascii="Segoe UI" w:hAnsi="Segoe UI" w:cs="Segoe UI"/>
          <w:szCs w:val="20"/>
        </w:rPr>
        <w:t xml:space="preserve"> </w:t>
      </w:r>
      <w:r w:rsidR="001D6E88" w:rsidRPr="0062207D">
        <w:rPr>
          <w:rFonts w:ascii="Segoe UI" w:hAnsi="Segoe UI" w:cs="Segoe UI"/>
          <w:szCs w:val="20"/>
        </w:rPr>
        <w:t xml:space="preserve">le </w:t>
      </w:r>
      <w:r w:rsidR="001C1542">
        <w:rPr>
          <w:rFonts w:ascii="Segoe UI" w:hAnsi="Segoe UI" w:cs="Segoe UI"/>
          <w:szCs w:val="20"/>
        </w:rPr>
        <w:t xml:space="preserve">cui </w:t>
      </w:r>
      <w:r w:rsidR="006665C8" w:rsidRPr="0062207D">
        <w:rPr>
          <w:rFonts w:ascii="Segoe UI" w:hAnsi="Segoe UI" w:cs="Segoe UI"/>
          <w:szCs w:val="20"/>
        </w:rPr>
        <w:t>variabili</w:t>
      </w:r>
      <w:r w:rsidR="001C1542">
        <w:rPr>
          <w:rFonts w:ascii="Segoe UI" w:hAnsi="Segoe UI" w:cs="Segoe UI"/>
          <w:szCs w:val="20"/>
        </w:rPr>
        <w:t xml:space="preserve"> corrispondano alle seguen</w:t>
      </w:r>
      <w:r w:rsidR="00336F7A">
        <w:rPr>
          <w:rFonts w:ascii="Segoe UI" w:hAnsi="Segoe UI" w:cs="Segoe UI"/>
          <w:szCs w:val="20"/>
        </w:rPr>
        <w:t>ti</w:t>
      </w:r>
      <w:r w:rsidR="006665C8" w:rsidRPr="0062207D">
        <w:rPr>
          <w:rFonts w:ascii="Segoe UI" w:hAnsi="Segoe UI" w:cs="Segoe UI"/>
          <w:szCs w:val="20"/>
        </w:rPr>
        <w:t xml:space="preserve">: </w:t>
      </w:r>
      <w:r w:rsidR="00B37A89">
        <w:rPr>
          <w:rFonts w:ascii="Segoe UI" w:hAnsi="Segoe UI" w:cs="Segoe UI"/>
          <w:szCs w:val="20"/>
        </w:rPr>
        <w:t xml:space="preserve">a) </w:t>
      </w:r>
      <w:r w:rsidR="006665C8" w:rsidRPr="0062207D">
        <w:rPr>
          <w:rFonts w:ascii="Segoe UI" w:hAnsi="Segoe UI" w:cs="Segoe UI"/>
          <w:szCs w:val="20"/>
        </w:rPr>
        <w:t>rilevanza de</w:t>
      </w:r>
      <w:r w:rsidR="001D6E88" w:rsidRPr="0062207D">
        <w:rPr>
          <w:rFonts w:ascii="Segoe UI" w:hAnsi="Segoe UI" w:cs="Segoe UI"/>
          <w:szCs w:val="20"/>
        </w:rPr>
        <w:t>l</w:t>
      </w:r>
      <w:r w:rsidR="00336F7A">
        <w:rPr>
          <w:rFonts w:ascii="Segoe UI" w:hAnsi="Segoe UI" w:cs="Segoe UI"/>
          <w:szCs w:val="20"/>
        </w:rPr>
        <w:t xml:space="preserve"> </w:t>
      </w:r>
      <w:r w:rsidR="001D6E88" w:rsidRPr="0062207D">
        <w:rPr>
          <w:rFonts w:ascii="Segoe UI" w:hAnsi="Segoe UI" w:cs="Segoe UI"/>
          <w:szCs w:val="20"/>
        </w:rPr>
        <w:t>tema/</w:t>
      </w:r>
      <w:r w:rsidR="006665C8" w:rsidRPr="0062207D">
        <w:rPr>
          <w:rFonts w:ascii="Segoe UI" w:hAnsi="Segoe UI" w:cs="Segoe UI"/>
          <w:szCs w:val="20"/>
        </w:rPr>
        <w:t xml:space="preserve">aspetto per gli </w:t>
      </w:r>
      <w:r w:rsidR="006665C8" w:rsidRPr="00347F30">
        <w:rPr>
          <w:rFonts w:ascii="Segoe UI" w:hAnsi="Segoe UI" w:cs="Segoe UI"/>
          <w:i/>
          <w:szCs w:val="20"/>
        </w:rPr>
        <w:t>stakeholder</w:t>
      </w:r>
      <w:r w:rsidR="00B37A89">
        <w:rPr>
          <w:rFonts w:ascii="Segoe UI" w:hAnsi="Segoe UI" w:cs="Segoe UI"/>
          <w:szCs w:val="20"/>
        </w:rPr>
        <w:t>; b)</w:t>
      </w:r>
      <w:r w:rsidR="006665C8" w:rsidRPr="0062207D">
        <w:rPr>
          <w:rFonts w:ascii="Segoe UI" w:hAnsi="Segoe UI" w:cs="Segoe UI"/>
          <w:szCs w:val="20"/>
        </w:rPr>
        <w:t xml:space="preserve"> </w:t>
      </w:r>
      <w:r w:rsidR="00F93BA7" w:rsidRPr="0062207D">
        <w:rPr>
          <w:rFonts w:ascii="Segoe UI" w:hAnsi="Segoe UI" w:cs="Segoe UI"/>
          <w:szCs w:val="20"/>
        </w:rPr>
        <w:t>impatt</w:t>
      </w:r>
      <w:r w:rsidR="001D6E88" w:rsidRPr="0062207D">
        <w:rPr>
          <w:rFonts w:ascii="Segoe UI" w:hAnsi="Segoe UI" w:cs="Segoe UI"/>
          <w:szCs w:val="20"/>
        </w:rPr>
        <w:t>o</w:t>
      </w:r>
      <w:r w:rsidR="00F93BA7" w:rsidRPr="0062207D">
        <w:rPr>
          <w:rFonts w:ascii="Segoe UI" w:hAnsi="Segoe UI" w:cs="Segoe UI"/>
          <w:szCs w:val="20"/>
        </w:rPr>
        <w:t xml:space="preserve"> potenzial</w:t>
      </w:r>
      <w:r w:rsidR="001D6E88" w:rsidRPr="0062207D">
        <w:rPr>
          <w:rFonts w:ascii="Segoe UI" w:hAnsi="Segoe UI" w:cs="Segoe UI"/>
          <w:szCs w:val="20"/>
        </w:rPr>
        <w:t>e</w:t>
      </w:r>
      <w:r w:rsidR="00F93BA7" w:rsidRPr="0062207D">
        <w:rPr>
          <w:rFonts w:ascii="Segoe UI" w:hAnsi="Segoe UI" w:cs="Segoe UI"/>
          <w:szCs w:val="20"/>
        </w:rPr>
        <w:t xml:space="preserve"> </w:t>
      </w:r>
      <w:r w:rsidR="001D6E88" w:rsidRPr="0062207D">
        <w:rPr>
          <w:rFonts w:ascii="Segoe UI" w:hAnsi="Segoe UI" w:cs="Segoe UI"/>
          <w:szCs w:val="20"/>
        </w:rPr>
        <w:t xml:space="preserve">del tema/aspetto </w:t>
      </w:r>
      <w:r w:rsidR="00F93BA7" w:rsidRPr="0062207D">
        <w:rPr>
          <w:rFonts w:ascii="Segoe UI" w:hAnsi="Segoe UI" w:cs="Segoe UI"/>
          <w:szCs w:val="20"/>
        </w:rPr>
        <w:t>sull’organizzazione.</w:t>
      </w:r>
    </w:p>
    <w:p w14:paraId="4B2BE6BB" w14:textId="6C90D73E" w:rsidR="00F93BA7" w:rsidRPr="0062207D" w:rsidRDefault="0016149B" w:rsidP="00174A2A">
      <w:pPr>
        <w:keepNext/>
        <w:keepLines/>
        <w:autoSpaceDE w:val="0"/>
        <w:autoSpaceDN w:val="0"/>
        <w:spacing w:before="120" w:after="120" w:line="240" w:lineRule="auto"/>
        <w:jc w:val="both"/>
        <w:rPr>
          <w:rFonts w:ascii="Segoe UI" w:hAnsi="Segoe UI" w:cs="Segoe UI"/>
          <w:szCs w:val="20"/>
        </w:rPr>
      </w:pPr>
      <w:r>
        <w:rPr>
          <w:rFonts w:ascii="Segoe UI" w:hAnsi="Segoe UI" w:cs="Segoe UI"/>
          <w:szCs w:val="20"/>
        </w:rPr>
        <w:t xml:space="preserve">Nell’ambito del processo di </w:t>
      </w:r>
      <w:r w:rsidRPr="0062207D">
        <w:rPr>
          <w:rFonts w:ascii="Segoe UI" w:hAnsi="Segoe UI" w:cs="Segoe UI"/>
          <w:szCs w:val="20"/>
        </w:rPr>
        <w:t>determinazione della rilevanza</w:t>
      </w:r>
      <w:r>
        <w:rPr>
          <w:rFonts w:ascii="Segoe UI" w:hAnsi="Segoe UI" w:cs="Segoe UI"/>
          <w:szCs w:val="20"/>
        </w:rPr>
        <w:t>,</w:t>
      </w:r>
      <w:r w:rsidRPr="0062207D">
        <w:rPr>
          <w:rFonts w:ascii="Segoe UI" w:hAnsi="Segoe UI" w:cs="Segoe UI"/>
          <w:szCs w:val="20"/>
        </w:rPr>
        <w:t xml:space="preserve"> </w:t>
      </w:r>
      <w:r w:rsidR="00F93BA7" w:rsidRPr="0062207D">
        <w:rPr>
          <w:rFonts w:ascii="Segoe UI" w:hAnsi="Segoe UI" w:cs="Segoe UI"/>
          <w:szCs w:val="20"/>
        </w:rPr>
        <w:t>Accountancy Europe suggerisce di</w:t>
      </w:r>
      <w:r w:rsidR="00A326FE">
        <w:rPr>
          <w:rFonts w:ascii="Segoe UI" w:hAnsi="Segoe UI" w:cs="Segoe UI"/>
          <w:szCs w:val="20"/>
        </w:rPr>
        <w:t xml:space="preserve"> </w:t>
      </w:r>
      <w:r>
        <w:rPr>
          <w:rFonts w:ascii="Segoe UI" w:hAnsi="Segoe UI" w:cs="Segoe UI"/>
          <w:szCs w:val="20"/>
        </w:rPr>
        <w:t>ri</w:t>
      </w:r>
      <w:r w:rsidR="00A326FE">
        <w:rPr>
          <w:rFonts w:ascii="Segoe UI" w:hAnsi="Segoe UI" w:cs="Segoe UI"/>
          <w:szCs w:val="20"/>
        </w:rPr>
        <w:t xml:space="preserve">percorrere </w:t>
      </w:r>
      <w:r w:rsidR="00B850A0">
        <w:rPr>
          <w:rFonts w:ascii="Segoe UI" w:hAnsi="Segoe UI" w:cs="Segoe UI"/>
          <w:szCs w:val="20"/>
        </w:rPr>
        <w:t xml:space="preserve">i </w:t>
      </w:r>
      <w:r w:rsidR="00F93BA7" w:rsidRPr="0062207D">
        <w:rPr>
          <w:rFonts w:ascii="Segoe UI" w:hAnsi="Segoe UI" w:cs="Segoe UI"/>
          <w:szCs w:val="20"/>
        </w:rPr>
        <w:t>seguenti</w:t>
      </w:r>
      <w:r>
        <w:rPr>
          <w:rFonts w:ascii="Segoe UI" w:hAnsi="Segoe UI" w:cs="Segoe UI"/>
          <w:szCs w:val="20"/>
        </w:rPr>
        <w:t xml:space="preserve"> </w:t>
      </w:r>
      <w:r w:rsidR="00B850A0" w:rsidRPr="00B850A0">
        <w:rPr>
          <w:rFonts w:ascii="Segoe UI" w:hAnsi="Segoe UI" w:cs="Segoe UI"/>
          <w:i/>
          <w:szCs w:val="20"/>
        </w:rPr>
        <w:t>step</w:t>
      </w:r>
      <w:r w:rsidR="00F93BA7" w:rsidRPr="0062207D">
        <w:rPr>
          <w:rFonts w:ascii="Segoe UI" w:hAnsi="Segoe UI" w:cs="Segoe UI"/>
          <w:szCs w:val="20"/>
        </w:rPr>
        <w:t>:</w:t>
      </w:r>
    </w:p>
    <w:p w14:paraId="35F68F3F" w14:textId="5896A57C" w:rsidR="00F93BA7" w:rsidRPr="0062207D" w:rsidRDefault="001D6E88" w:rsidP="00251F8C">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 xml:space="preserve">identificazione </w:t>
      </w:r>
      <w:r w:rsidR="00F93BA7" w:rsidRPr="0062207D">
        <w:rPr>
          <w:rFonts w:ascii="Segoe UI" w:hAnsi="Segoe UI" w:cs="Segoe UI"/>
          <w:szCs w:val="20"/>
        </w:rPr>
        <w:t xml:space="preserve">di confini chiari </w:t>
      </w:r>
      <w:r w:rsidR="00A326FE">
        <w:rPr>
          <w:rFonts w:ascii="Segoe UI" w:hAnsi="Segoe UI" w:cs="Segoe UI"/>
          <w:szCs w:val="20"/>
        </w:rPr>
        <w:t>del</w:t>
      </w:r>
      <w:r w:rsidR="00F93BA7" w:rsidRPr="0062207D">
        <w:rPr>
          <w:rFonts w:ascii="Segoe UI" w:hAnsi="Segoe UI" w:cs="Segoe UI"/>
          <w:szCs w:val="20"/>
        </w:rPr>
        <w:t xml:space="preserve"> processo mediante il quale l’organizzazione stabilisce e valuta le informazioni rilevanti;</w:t>
      </w:r>
    </w:p>
    <w:p w14:paraId="59D76D98" w14:textId="50240AA0" w:rsidR="00F93BA7" w:rsidRPr="0062207D" w:rsidRDefault="001D6E88" w:rsidP="00251F8C">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 xml:space="preserve">identificazione di </w:t>
      </w:r>
      <w:r w:rsidR="00F93BA7" w:rsidRPr="0062207D">
        <w:rPr>
          <w:rFonts w:ascii="Segoe UI" w:hAnsi="Segoe UI" w:cs="Segoe UI"/>
          <w:szCs w:val="20"/>
        </w:rPr>
        <w:t>una soglia finanziaria per tale tipologia di informazioni</w:t>
      </w:r>
      <w:r w:rsidR="00B850A0">
        <w:rPr>
          <w:rFonts w:ascii="Segoe UI" w:hAnsi="Segoe UI" w:cs="Segoe UI"/>
          <w:szCs w:val="20"/>
        </w:rPr>
        <w:t xml:space="preserve"> (n.d.r.: similmente al</w:t>
      </w:r>
      <w:r w:rsidR="00BA4E36">
        <w:rPr>
          <w:rFonts w:ascii="Segoe UI" w:hAnsi="Segoe UI" w:cs="Segoe UI"/>
          <w:szCs w:val="20"/>
        </w:rPr>
        <w:t xml:space="preserve"> primo approccio nella </w:t>
      </w:r>
      <w:r w:rsidR="00B850A0">
        <w:rPr>
          <w:rFonts w:ascii="Segoe UI" w:hAnsi="Segoe UI" w:cs="Segoe UI"/>
          <w:szCs w:val="20"/>
        </w:rPr>
        <w:t xml:space="preserve">definizione della </w:t>
      </w:r>
      <w:r w:rsidR="00BA4E36">
        <w:rPr>
          <w:rFonts w:ascii="Segoe UI" w:hAnsi="Segoe UI" w:cs="Segoe UI"/>
          <w:szCs w:val="20"/>
        </w:rPr>
        <w:t>“</w:t>
      </w:r>
      <w:r w:rsidR="00BA4E36" w:rsidRPr="00BA4E36">
        <w:rPr>
          <w:rFonts w:ascii="Segoe UI" w:hAnsi="Segoe UI" w:cs="Segoe UI"/>
          <w:i/>
          <w:szCs w:val="20"/>
        </w:rPr>
        <w:t>materiality</w:t>
      </w:r>
      <w:r w:rsidR="00BA4E36">
        <w:rPr>
          <w:rFonts w:ascii="Segoe UI" w:hAnsi="Segoe UI" w:cs="Segoe UI"/>
          <w:szCs w:val="20"/>
        </w:rPr>
        <w:t xml:space="preserve">” </w:t>
      </w:r>
      <w:r w:rsidR="00B850A0">
        <w:rPr>
          <w:rFonts w:ascii="Segoe UI" w:hAnsi="Segoe UI" w:cs="Segoe UI"/>
          <w:szCs w:val="20"/>
        </w:rPr>
        <w:t xml:space="preserve">in ambito </w:t>
      </w:r>
      <w:r w:rsidR="00B850A0" w:rsidRPr="00BA4E36">
        <w:rPr>
          <w:rFonts w:ascii="Segoe UI" w:hAnsi="Segoe UI" w:cs="Segoe UI"/>
          <w:i/>
          <w:szCs w:val="20"/>
        </w:rPr>
        <w:t>financial</w:t>
      </w:r>
      <w:r w:rsidR="00BA4E36">
        <w:rPr>
          <w:rFonts w:ascii="Segoe UI" w:hAnsi="Segoe UI" w:cs="Segoe UI"/>
          <w:szCs w:val="20"/>
        </w:rPr>
        <w:t>)</w:t>
      </w:r>
      <w:r w:rsidR="00F93BA7" w:rsidRPr="0062207D">
        <w:rPr>
          <w:rFonts w:ascii="Segoe UI" w:hAnsi="Segoe UI" w:cs="Segoe UI"/>
          <w:szCs w:val="20"/>
        </w:rPr>
        <w:t>;</w:t>
      </w:r>
    </w:p>
    <w:p w14:paraId="2AA39631" w14:textId="0456EBA6" w:rsidR="00F93BA7" w:rsidRPr="0062207D" w:rsidRDefault="00F93BA7" w:rsidP="00251F8C">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filtra</w:t>
      </w:r>
      <w:r w:rsidR="001D6E88" w:rsidRPr="0062207D">
        <w:rPr>
          <w:rFonts w:ascii="Segoe UI" w:hAnsi="Segoe UI" w:cs="Segoe UI"/>
          <w:szCs w:val="20"/>
        </w:rPr>
        <w:t>ggio del</w:t>
      </w:r>
      <w:r w:rsidRPr="0062207D">
        <w:rPr>
          <w:rFonts w:ascii="Segoe UI" w:hAnsi="Segoe UI" w:cs="Segoe UI"/>
          <w:szCs w:val="20"/>
        </w:rPr>
        <w:t>le informazioni attraverso la definizione della loro significatività, valutando</w:t>
      </w:r>
      <w:r w:rsidR="00BA4E36">
        <w:rPr>
          <w:rFonts w:ascii="Segoe UI" w:hAnsi="Segoe UI" w:cs="Segoe UI"/>
          <w:szCs w:val="20"/>
        </w:rPr>
        <w:t>ne</w:t>
      </w:r>
      <w:r w:rsidRPr="0062207D">
        <w:rPr>
          <w:rFonts w:ascii="Segoe UI" w:hAnsi="Segoe UI" w:cs="Segoe UI"/>
          <w:szCs w:val="20"/>
        </w:rPr>
        <w:t xml:space="preserve"> l</w:t>
      </w:r>
      <w:r w:rsidR="006C7FFC">
        <w:rPr>
          <w:rFonts w:ascii="Segoe UI" w:hAnsi="Segoe UI" w:cs="Segoe UI"/>
          <w:szCs w:val="20"/>
        </w:rPr>
        <w:t xml:space="preserve">a portata e attribuendo loro </w:t>
      </w:r>
      <w:r w:rsidRPr="0062207D">
        <w:rPr>
          <w:rFonts w:ascii="Segoe UI" w:hAnsi="Segoe UI" w:cs="Segoe UI"/>
          <w:szCs w:val="20"/>
        </w:rPr>
        <w:t xml:space="preserve">la </w:t>
      </w:r>
      <w:r w:rsidR="00BA4E36">
        <w:rPr>
          <w:rFonts w:ascii="Segoe UI" w:hAnsi="Segoe UI" w:cs="Segoe UI"/>
          <w:szCs w:val="20"/>
        </w:rPr>
        <w:t xml:space="preserve">conseguente </w:t>
      </w:r>
      <w:r w:rsidRPr="0062207D">
        <w:rPr>
          <w:rFonts w:ascii="Segoe UI" w:hAnsi="Segoe UI" w:cs="Segoe UI"/>
          <w:szCs w:val="20"/>
        </w:rPr>
        <w:t>priorità;</w:t>
      </w:r>
    </w:p>
    <w:p w14:paraId="169A6A2C" w14:textId="76D69222" w:rsidR="00F93BA7" w:rsidRPr="0062207D" w:rsidRDefault="00F93BA7" w:rsidP="00251F8C">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 xml:space="preserve">identificare gli utilizzatori del </w:t>
      </w:r>
      <w:r w:rsidRPr="00C6270D">
        <w:rPr>
          <w:rFonts w:ascii="Segoe UI" w:hAnsi="Segoe UI" w:cs="Segoe UI"/>
          <w:i/>
          <w:szCs w:val="20"/>
        </w:rPr>
        <w:t>report</w:t>
      </w:r>
      <w:r w:rsidRPr="0062207D">
        <w:rPr>
          <w:rFonts w:ascii="Segoe UI" w:hAnsi="Segoe UI" w:cs="Segoe UI"/>
          <w:szCs w:val="20"/>
        </w:rPr>
        <w:t xml:space="preserve"> e l’</w:t>
      </w:r>
      <w:r w:rsidRPr="00C6270D">
        <w:rPr>
          <w:rFonts w:ascii="Segoe UI" w:hAnsi="Segoe UI" w:cs="Segoe UI"/>
          <w:i/>
          <w:szCs w:val="20"/>
        </w:rPr>
        <w:t>audience</w:t>
      </w:r>
      <w:r w:rsidRPr="0062207D">
        <w:rPr>
          <w:rFonts w:ascii="Segoe UI" w:hAnsi="Segoe UI" w:cs="Segoe UI"/>
          <w:szCs w:val="20"/>
        </w:rPr>
        <w:t xml:space="preserve"> di riferimento;</w:t>
      </w:r>
    </w:p>
    <w:p w14:paraId="18C0B3A5" w14:textId="55E47C87" w:rsidR="00F93BA7" w:rsidRPr="0062207D" w:rsidRDefault="00F93BA7" w:rsidP="00251F8C">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 xml:space="preserve">definire i confini del </w:t>
      </w:r>
      <w:r w:rsidRPr="00251F8C">
        <w:rPr>
          <w:rFonts w:ascii="Segoe UI" w:hAnsi="Segoe UI" w:cs="Segoe UI"/>
          <w:i/>
          <w:szCs w:val="20"/>
        </w:rPr>
        <w:t>report</w:t>
      </w:r>
      <w:r w:rsidRPr="0062207D">
        <w:rPr>
          <w:rFonts w:ascii="Segoe UI" w:hAnsi="Segoe UI" w:cs="Segoe UI"/>
          <w:szCs w:val="20"/>
        </w:rPr>
        <w:t>;</w:t>
      </w:r>
    </w:p>
    <w:p w14:paraId="0B47A07C" w14:textId="324EE915" w:rsidR="00F93BA7" w:rsidRPr="0062207D" w:rsidRDefault="00F93BA7" w:rsidP="00251F8C">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 xml:space="preserve">definire l’obiettivo del </w:t>
      </w:r>
      <w:r w:rsidRPr="00251F8C">
        <w:rPr>
          <w:rFonts w:ascii="Segoe UI" w:hAnsi="Segoe UI" w:cs="Segoe UI"/>
          <w:i/>
          <w:szCs w:val="20"/>
        </w:rPr>
        <w:t>report</w:t>
      </w:r>
      <w:r w:rsidRPr="0062207D">
        <w:rPr>
          <w:rFonts w:ascii="Segoe UI" w:hAnsi="Segoe UI" w:cs="Segoe UI"/>
          <w:szCs w:val="20"/>
        </w:rPr>
        <w:t>;</w:t>
      </w:r>
    </w:p>
    <w:p w14:paraId="735C2D9E" w14:textId="185086A6" w:rsidR="00F93BA7" w:rsidRPr="0062207D" w:rsidRDefault="00F93BA7" w:rsidP="00251F8C">
      <w:pPr>
        <w:pStyle w:val="Paragrafoelenco"/>
        <w:numPr>
          <w:ilvl w:val="0"/>
          <w:numId w:val="12"/>
        </w:numPr>
        <w:tabs>
          <w:tab w:val="left" w:pos="567"/>
        </w:tabs>
        <w:autoSpaceDE w:val="0"/>
        <w:autoSpaceDN w:val="0"/>
        <w:adjustRightInd w:val="0"/>
        <w:spacing w:before="120" w:after="120" w:line="240" w:lineRule="auto"/>
        <w:ind w:left="567" w:hanging="283"/>
        <w:jc w:val="both"/>
        <w:rPr>
          <w:rFonts w:ascii="Segoe UI" w:hAnsi="Segoe UI" w:cs="Segoe UI"/>
          <w:szCs w:val="20"/>
        </w:rPr>
      </w:pPr>
      <w:r w:rsidRPr="0062207D">
        <w:rPr>
          <w:rFonts w:ascii="Segoe UI" w:hAnsi="Segoe UI" w:cs="Segoe UI"/>
          <w:szCs w:val="20"/>
        </w:rPr>
        <w:t xml:space="preserve">stabilire la </w:t>
      </w:r>
      <w:r w:rsidRPr="00251F8C">
        <w:rPr>
          <w:rFonts w:ascii="Segoe UI" w:hAnsi="Segoe UI" w:cs="Segoe UI"/>
          <w:i/>
          <w:szCs w:val="20"/>
        </w:rPr>
        <w:t>disclosure</w:t>
      </w:r>
      <w:r w:rsidRPr="0062207D">
        <w:rPr>
          <w:rFonts w:ascii="Segoe UI" w:hAnsi="Segoe UI" w:cs="Segoe UI"/>
          <w:szCs w:val="20"/>
        </w:rPr>
        <w:t>.</w:t>
      </w:r>
    </w:p>
    <w:p w14:paraId="3A08692F" w14:textId="23B67E60" w:rsidR="006665C8" w:rsidRPr="0062207D" w:rsidRDefault="00605070" w:rsidP="00174A2A">
      <w:pPr>
        <w:autoSpaceDE w:val="0"/>
        <w:autoSpaceDN w:val="0"/>
        <w:spacing w:before="120" w:after="120" w:line="240" w:lineRule="auto"/>
        <w:jc w:val="both"/>
        <w:rPr>
          <w:rFonts w:ascii="Segoe UI" w:hAnsi="Segoe UI" w:cs="Segoe UI"/>
          <w:szCs w:val="20"/>
        </w:rPr>
      </w:pPr>
      <w:r w:rsidRPr="0062207D">
        <w:rPr>
          <w:rFonts w:ascii="Segoe UI" w:hAnsi="Segoe UI" w:cs="Segoe UI"/>
          <w:szCs w:val="20"/>
        </w:rPr>
        <w:t>Secondo Accountancy Europe questo approccio dovrebbe essere applicato a ciascun “</w:t>
      </w:r>
      <w:r w:rsidRPr="0062207D">
        <w:rPr>
          <w:rFonts w:ascii="Segoe UI" w:hAnsi="Segoe UI" w:cs="Segoe UI"/>
          <w:i/>
          <w:szCs w:val="20"/>
        </w:rPr>
        <w:t>sustainability matter</w:t>
      </w:r>
      <w:r w:rsidRPr="001E01D9">
        <w:rPr>
          <w:rFonts w:ascii="Segoe UI" w:hAnsi="Segoe UI" w:cs="Segoe UI"/>
          <w:szCs w:val="20"/>
        </w:rPr>
        <w:t>”</w:t>
      </w:r>
      <w:r w:rsidRPr="0062207D">
        <w:rPr>
          <w:rFonts w:ascii="Segoe UI" w:hAnsi="Segoe UI" w:cs="Segoe UI"/>
          <w:szCs w:val="20"/>
        </w:rPr>
        <w:t xml:space="preserve"> (tema di sostenibilità)</w:t>
      </w:r>
      <w:r w:rsidR="006665C8" w:rsidRPr="0062207D">
        <w:rPr>
          <w:rFonts w:ascii="Segoe UI" w:hAnsi="Segoe UI" w:cs="Segoe UI"/>
          <w:szCs w:val="20"/>
        </w:rPr>
        <w:t>.</w:t>
      </w:r>
    </w:p>
    <w:p w14:paraId="018C7141" w14:textId="52A8BF9F" w:rsidR="006665C8" w:rsidRPr="0062207D" w:rsidRDefault="00605070" w:rsidP="00174A2A">
      <w:pPr>
        <w:autoSpaceDE w:val="0"/>
        <w:autoSpaceDN w:val="0"/>
        <w:spacing w:before="120" w:after="120" w:line="240" w:lineRule="auto"/>
        <w:jc w:val="both"/>
        <w:rPr>
          <w:rFonts w:ascii="Segoe UI" w:hAnsi="Segoe UI" w:cs="Segoe UI"/>
          <w:szCs w:val="20"/>
        </w:rPr>
      </w:pPr>
      <w:r w:rsidRPr="0062207D">
        <w:rPr>
          <w:rFonts w:ascii="Segoe UI" w:hAnsi="Segoe UI" w:cs="Segoe UI"/>
          <w:szCs w:val="20"/>
        </w:rPr>
        <w:t>Si noti che, sotto questo profilo, Accountancy Europe, anche dal punto di vista d</w:t>
      </w:r>
      <w:r w:rsidR="002A16F0">
        <w:rPr>
          <w:rFonts w:ascii="Segoe UI" w:hAnsi="Segoe UI" w:cs="Segoe UI"/>
          <w:szCs w:val="20"/>
        </w:rPr>
        <w:t>ell’</w:t>
      </w:r>
      <w:r w:rsidRPr="0062207D">
        <w:rPr>
          <w:rFonts w:ascii="Segoe UI" w:hAnsi="Segoe UI" w:cs="Segoe UI"/>
          <w:szCs w:val="20"/>
        </w:rPr>
        <w:t xml:space="preserve">applicazione metodologica, ritiene abbia senso la distinzione tra rilevanza del “tema” e rilevanza delle </w:t>
      </w:r>
      <w:r w:rsidR="002A16F0">
        <w:rPr>
          <w:rFonts w:ascii="Segoe UI" w:hAnsi="Segoe UI" w:cs="Segoe UI"/>
          <w:szCs w:val="20"/>
        </w:rPr>
        <w:t>“</w:t>
      </w:r>
      <w:r w:rsidRPr="0062207D">
        <w:rPr>
          <w:rFonts w:ascii="Segoe UI" w:hAnsi="Segoe UI" w:cs="Segoe UI"/>
          <w:szCs w:val="20"/>
        </w:rPr>
        <w:t>informazioni</w:t>
      </w:r>
      <w:r w:rsidR="002A16F0">
        <w:rPr>
          <w:rFonts w:ascii="Segoe UI" w:hAnsi="Segoe UI" w:cs="Segoe UI"/>
          <w:szCs w:val="20"/>
        </w:rPr>
        <w:t>”</w:t>
      </w:r>
      <w:r w:rsidRPr="0062207D">
        <w:rPr>
          <w:rFonts w:ascii="Segoe UI" w:hAnsi="Segoe UI" w:cs="Segoe UI"/>
          <w:szCs w:val="20"/>
        </w:rPr>
        <w:t xml:space="preserve"> inerenti a quel tema, criticità, che si è evidenziata precedentemente con riferimento, a livello interpretativo regolamentare, tra le disposizioni del d.lgs. n. 254/2016 e il Regolamento Consob in pubblica consultazione del 21 luglio 2017.</w:t>
      </w:r>
    </w:p>
    <w:p w14:paraId="0EAF1979" w14:textId="0C594C1B" w:rsidR="006665C8" w:rsidRDefault="00174A2A" w:rsidP="00174A2A">
      <w:pPr>
        <w:autoSpaceDE w:val="0"/>
        <w:autoSpaceDN w:val="0"/>
        <w:spacing w:before="120" w:after="120" w:line="240" w:lineRule="auto"/>
        <w:jc w:val="both"/>
        <w:rPr>
          <w:rFonts w:ascii="Segoe UI" w:hAnsi="Segoe UI" w:cs="Segoe UI"/>
          <w:szCs w:val="20"/>
          <w:lang w:eastAsia="it-IT"/>
        </w:rPr>
      </w:pPr>
      <w:r w:rsidRPr="0062207D">
        <w:rPr>
          <w:rFonts w:ascii="Segoe UI" w:hAnsi="Segoe UI" w:cs="Segoe UI"/>
          <w:szCs w:val="20"/>
        </w:rPr>
        <w:t>Si consideri</w:t>
      </w:r>
      <w:r w:rsidR="002A16F0">
        <w:rPr>
          <w:rFonts w:ascii="Segoe UI" w:hAnsi="Segoe UI" w:cs="Segoe UI"/>
          <w:szCs w:val="20"/>
        </w:rPr>
        <w:t>,</w:t>
      </w:r>
      <w:r w:rsidRPr="0062207D">
        <w:rPr>
          <w:rFonts w:ascii="Segoe UI" w:hAnsi="Segoe UI" w:cs="Segoe UI"/>
          <w:szCs w:val="20"/>
        </w:rPr>
        <w:t xml:space="preserve"> inoltre</w:t>
      </w:r>
      <w:r w:rsidR="002A16F0">
        <w:rPr>
          <w:rFonts w:ascii="Segoe UI" w:hAnsi="Segoe UI" w:cs="Segoe UI"/>
          <w:szCs w:val="20"/>
        </w:rPr>
        <w:t>,</w:t>
      </w:r>
      <w:r w:rsidRPr="0062207D">
        <w:rPr>
          <w:rFonts w:ascii="Segoe UI" w:hAnsi="Segoe UI" w:cs="Segoe UI"/>
          <w:szCs w:val="20"/>
        </w:rPr>
        <w:t xml:space="preserve"> che</w:t>
      </w:r>
      <w:r w:rsidR="002A16F0">
        <w:rPr>
          <w:rFonts w:ascii="Segoe UI" w:hAnsi="Segoe UI" w:cs="Segoe UI"/>
          <w:szCs w:val="20"/>
        </w:rPr>
        <w:t>,</w:t>
      </w:r>
      <w:r w:rsidRPr="0062207D">
        <w:rPr>
          <w:rFonts w:ascii="Segoe UI" w:hAnsi="Segoe UI" w:cs="Segoe UI"/>
          <w:szCs w:val="20"/>
        </w:rPr>
        <w:t xml:space="preserve"> nel documento in questione</w:t>
      </w:r>
      <w:r w:rsidR="002A16F0">
        <w:rPr>
          <w:rFonts w:ascii="Segoe UI" w:hAnsi="Segoe UI" w:cs="Segoe UI"/>
          <w:szCs w:val="20"/>
        </w:rPr>
        <w:t>,</w:t>
      </w:r>
      <w:r w:rsidRPr="0062207D">
        <w:rPr>
          <w:rFonts w:ascii="Segoe UI" w:hAnsi="Segoe UI" w:cs="Segoe UI"/>
          <w:szCs w:val="20"/>
        </w:rPr>
        <w:t xml:space="preserve"> Accountancy Europe, con riferimento all’informativa di diversità, distingue specificamente i</w:t>
      </w:r>
      <w:r w:rsidR="002A16F0">
        <w:rPr>
          <w:rFonts w:ascii="Segoe UI" w:hAnsi="Segoe UI" w:cs="Segoe UI"/>
          <w:szCs w:val="20"/>
        </w:rPr>
        <w:t xml:space="preserve"> </w:t>
      </w:r>
      <w:r w:rsidRPr="0062207D">
        <w:rPr>
          <w:rFonts w:ascii="Segoe UI" w:hAnsi="Segoe UI" w:cs="Segoe UI"/>
          <w:szCs w:val="20"/>
        </w:rPr>
        <w:t>concetti di “</w:t>
      </w:r>
      <w:r w:rsidRPr="0062207D">
        <w:rPr>
          <w:rFonts w:ascii="Segoe UI" w:hAnsi="Segoe UI" w:cs="Segoe UI"/>
          <w:i/>
          <w:szCs w:val="20"/>
        </w:rPr>
        <w:t>s</w:t>
      </w:r>
      <w:r w:rsidR="006665C8" w:rsidRPr="0062207D">
        <w:rPr>
          <w:rFonts w:ascii="Segoe UI" w:hAnsi="Segoe UI" w:cs="Segoe UI"/>
          <w:i/>
          <w:szCs w:val="20"/>
          <w:lang w:eastAsia="it-IT"/>
        </w:rPr>
        <w:t>ignificance</w:t>
      </w:r>
      <w:r w:rsidRPr="0062207D">
        <w:rPr>
          <w:rFonts w:ascii="Segoe UI" w:hAnsi="Segoe UI" w:cs="Segoe UI"/>
          <w:szCs w:val="20"/>
          <w:lang w:eastAsia="it-IT"/>
        </w:rPr>
        <w:t>”</w:t>
      </w:r>
      <w:r w:rsidR="006665C8" w:rsidRPr="0062207D">
        <w:rPr>
          <w:rFonts w:ascii="Segoe UI" w:hAnsi="Segoe UI" w:cs="Segoe UI"/>
          <w:szCs w:val="20"/>
          <w:lang w:eastAsia="it-IT"/>
        </w:rPr>
        <w:t xml:space="preserve"> </w:t>
      </w:r>
      <w:r w:rsidRPr="0062207D">
        <w:rPr>
          <w:rFonts w:ascii="Segoe UI" w:hAnsi="Segoe UI" w:cs="Segoe UI"/>
          <w:szCs w:val="20"/>
          <w:lang w:eastAsia="it-IT"/>
        </w:rPr>
        <w:t>e di “</w:t>
      </w:r>
      <w:r w:rsidR="006665C8" w:rsidRPr="0062207D">
        <w:rPr>
          <w:rFonts w:ascii="Segoe UI" w:hAnsi="Segoe UI" w:cs="Segoe UI"/>
          <w:i/>
          <w:szCs w:val="20"/>
          <w:lang w:eastAsia="it-IT"/>
        </w:rPr>
        <w:t>materiality</w:t>
      </w:r>
      <w:r w:rsidRPr="0062207D">
        <w:rPr>
          <w:rFonts w:ascii="Segoe UI" w:hAnsi="Segoe UI" w:cs="Segoe UI"/>
          <w:szCs w:val="20"/>
          <w:lang w:eastAsia="it-IT"/>
        </w:rPr>
        <w:t>”, mostrando di sposare un approccio</w:t>
      </w:r>
      <w:r w:rsidR="00A66F11">
        <w:rPr>
          <w:rFonts w:ascii="Segoe UI" w:hAnsi="Segoe UI" w:cs="Segoe UI"/>
          <w:szCs w:val="20"/>
          <w:lang w:eastAsia="it-IT"/>
        </w:rPr>
        <w:t xml:space="preserve"> secondo il quale</w:t>
      </w:r>
      <w:r w:rsidR="000F4EAA">
        <w:rPr>
          <w:rFonts w:ascii="Segoe UI" w:hAnsi="Segoe UI" w:cs="Segoe UI"/>
          <w:szCs w:val="20"/>
          <w:lang w:eastAsia="it-IT"/>
        </w:rPr>
        <w:t xml:space="preserve"> </w:t>
      </w:r>
      <w:r w:rsidRPr="0062207D">
        <w:rPr>
          <w:rFonts w:ascii="Segoe UI" w:hAnsi="Segoe UI" w:cs="Segoe UI"/>
          <w:szCs w:val="20"/>
          <w:lang w:eastAsia="it-IT"/>
        </w:rPr>
        <w:t xml:space="preserve">tali principi risultino strumenti complementari ma diversi nell’ambito dei processi di </w:t>
      </w:r>
      <w:r w:rsidRPr="0062207D">
        <w:rPr>
          <w:rFonts w:ascii="Segoe UI" w:hAnsi="Segoe UI" w:cs="Segoe UI"/>
          <w:i/>
          <w:szCs w:val="20"/>
          <w:lang w:eastAsia="it-IT"/>
        </w:rPr>
        <w:t>reporting</w:t>
      </w:r>
      <w:r w:rsidRPr="0062207D">
        <w:rPr>
          <w:rFonts w:ascii="Segoe UI" w:hAnsi="Segoe UI" w:cs="Segoe UI"/>
          <w:szCs w:val="20"/>
          <w:lang w:eastAsia="it-IT"/>
        </w:rPr>
        <w:t xml:space="preserve">, caldeggiandone, peraltro, una diffusione anche nei contesti delle aziende sotto soglia rispetto ai parametri dimensionali stabiliti dalla direttiva di </w:t>
      </w:r>
      <w:r w:rsidRPr="006B12FF">
        <w:rPr>
          <w:rFonts w:ascii="Segoe UI" w:hAnsi="Segoe UI" w:cs="Segoe UI"/>
          <w:i/>
          <w:szCs w:val="20"/>
          <w:lang w:eastAsia="it-IT"/>
        </w:rPr>
        <w:t>non-financial</w:t>
      </w:r>
      <w:r w:rsidRPr="0062207D">
        <w:rPr>
          <w:rFonts w:ascii="Segoe UI" w:hAnsi="Segoe UI" w:cs="Segoe UI"/>
          <w:szCs w:val="20"/>
          <w:lang w:eastAsia="it-IT"/>
        </w:rPr>
        <w:t xml:space="preserve"> </w:t>
      </w:r>
      <w:r w:rsidRPr="006B12FF">
        <w:rPr>
          <w:rFonts w:ascii="Segoe UI" w:hAnsi="Segoe UI" w:cs="Segoe UI"/>
          <w:i/>
          <w:szCs w:val="20"/>
          <w:lang w:eastAsia="it-IT"/>
        </w:rPr>
        <w:t>disclosure</w:t>
      </w:r>
      <w:r w:rsidRPr="0062207D">
        <w:rPr>
          <w:rFonts w:ascii="Segoe UI" w:hAnsi="Segoe UI" w:cs="Segoe UI"/>
          <w:szCs w:val="20"/>
          <w:lang w:eastAsia="it-IT"/>
        </w:rPr>
        <w:t xml:space="preserve"> per i soggetti obbligati.</w:t>
      </w:r>
    </w:p>
    <w:p w14:paraId="15A67FD1" w14:textId="5EBCBF49" w:rsidR="006C5FEA" w:rsidRPr="00623F83" w:rsidRDefault="00623F83" w:rsidP="00623F83">
      <w:pPr>
        <w:keepNext/>
        <w:keepLines/>
        <w:tabs>
          <w:tab w:val="left" w:pos="567"/>
        </w:tabs>
        <w:spacing w:before="1080" w:after="720" w:line="240" w:lineRule="auto"/>
        <w:ind w:left="567" w:hanging="567"/>
        <w:outlineLvl w:val="1"/>
        <w:rPr>
          <w:rFonts w:ascii="Segoe UI" w:eastAsiaTheme="minorHAnsi" w:hAnsi="Segoe UI" w:cs="Segoe UI"/>
          <w:bCs/>
          <w:sz w:val="28"/>
          <w:szCs w:val="28"/>
        </w:rPr>
      </w:pPr>
      <w:bookmarkStart w:id="33" w:name="_Toc507973962"/>
      <w:r>
        <w:rPr>
          <w:rFonts w:ascii="Segoe UI" w:eastAsiaTheme="minorHAnsi" w:hAnsi="Segoe UI" w:cs="Segoe UI"/>
          <w:bCs/>
          <w:sz w:val="28"/>
          <w:szCs w:val="28"/>
        </w:rPr>
        <w:t>6</w:t>
      </w:r>
      <w:r w:rsidR="006C5FEA" w:rsidRPr="00623F83">
        <w:rPr>
          <w:rFonts w:ascii="Segoe UI" w:eastAsiaTheme="minorHAnsi" w:hAnsi="Segoe UI" w:cs="Segoe UI"/>
          <w:bCs/>
          <w:sz w:val="28"/>
          <w:szCs w:val="28"/>
        </w:rPr>
        <w:t>.</w:t>
      </w:r>
      <w:r>
        <w:rPr>
          <w:rFonts w:ascii="Segoe UI" w:eastAsiaTheme="minorHAnsi" w:hAnsi="Segoe UI" w:cs="Segoe UI"/>
          <w:bCs/>
          <w:sz w:val="28"/>
          <w:szCs w:val="28"/>
        </w:rPr>
        <w:t>4</w:t>
      </w:r>
      <w:r w:rsidR="006C5FEA" w:rsidRPr="00623F83">
        <w:rPr>
          <w:rFonts w:ascii="Segoe UI" w:eastAsiaTheme="minorHAnsi" w:hAnsi="Segoe UI" w:cs="Segoe UI"/>
          <w:bCs/>
          <w:sz w:val="28"/>
          <w:szCs w:val="28"/>
        </w:rPr>
        <w:tab/>
      </w:r>
      <w:r w:rsidR="00EB4CBE">
        <w:rPr>
          <w:rFonts w:ascii="Segoe UI" w:eastAsiaTheme="minorHAnsi" w:hAnsi="Segoe UI" w:cs="Segoe UI"/>
          <w:bCs/>
          <w:sz w:val="28"/>
          <w:szCs w:val="28"/>
        </w:rPr>
        <w:t xml:space="preserve">Approccio della </w:t>
      </w:r>
      <w:r w:rsidR="00931CF7" w:rsidRPr="00623F83">
        <w:rPr>
          <w:rFonts w:ascii="Segoe UI" w:eastAsiaTheme="minorHAnsi" w:hAnsi="Segoe UI" w:cs="Segoe UI"/>
          <w:bCs/>
          <w:sz w:val="28"/>
          <w:szCs w:val="28"/>
        </w:rPr>
        <w:t>Commissione europea</w:t>
      </w:r>
      <w:bookmarkEnd w:id="33"/>
    </w:p>
    <w:p w14:paraId="15A03FB5" w14:textId="5D524A41" w:rsidR="00044A96" w:rsidRDefault="00044A96" w:rsidP="00044A96">
      <w:pPr>
        <w:spacing w:before="120" w:after="120" w:line="240" w:lineRule="auto"/>
        <w:jc w:val="both"/>
        <w:rPr>
          <w:rFonts w:ascii="Segoe UI" w:hAnsi="Segoe UI" w:cs="Segoe UI"/>
        </w:rPr>
      </w:pPr>
      <w:r>
        <w:rPr>
          <w:rFonts w:ascii="Segoe UI" w:hAnsi="Segoe UI" w:cs="Segoe UI"/>
          <w:lang w:eastAsia="it-IT"/>
        </w:rPr>
        <w:t xml:space="preserve">Nella </w:t>
      </w:r>
      <w:r w:rsidRPr="00DF19A3">
        <w:rPr>
          <w:rFonts w:ascii="Segoe UI" w:hAnsi="Segoe UI" w:cs="Segoe UI"/>
          <w:lang w:eastAsia="it-IT"/>
        </w:rPr>
        <w:t xml:space="preserve">Comunicazione del </w:t>
      </w:r>
      <w:r>
        <w:rPr>
          <w:rFonts w:ascii="Segoe UI" w:hAnsi="Segoe UI" w:cs="Segoe UI"/>
          <w:lang w:eastAsia="it-IT"/>
        </w:rPr>
        <w:t>5</w:t>
      </w:r>
      <w:r w:rsidRPr="00DF19A3">
        <w:rPr>
          <w:rFonts w:ascii="Segoe UI" w:hAnsi="Segoe UI" w:cs="Segoe UI"/>
          <w:lang w:eastAsia="it-IT"/>
        </w:rPr>
        <w:t xml:space="preserve"> luglio 2017</w:t>
      </w:r>
      <w:r>
        <w:rPr>
          <w:rFonts w:ascii="Segoe UI" w:hAnsi="Segoe UI" w:cs="Segoe UI"/>
          <w:lang w:eastAsia="it-IT"/>
        </w:rPr>
        <w:t xml:space="preserve">, </w:t>
      </w:r>
      <w:r w:rsidRPr="00DF19A3">
        <w:rPr>
          <w:rFonts w:ascii="Segoe UI" w:hAnsi="Segoe UI" w:cs="Segoe UI"/>
          <w:lang w:eastAsia="it-IT"/>
        </w:rPr>
        <w:t>C 215/01, “</w:t>
      </w:r>
      <w:r w:rsidRPr="003E68D4">
        <w:rPr>
          <w:rFonts w:ascii="Segoe UI" w:hAnsi="Segoe UI" w:cs="Segoe UI"/>
          <w:i/>
          <w:lang w:eastAsia="it-IT"/>
        </w:rPr>
        <w:t>Orientamenti sulla comunicazione di informazioni di carattere non finanziario. Metodologia per la comunicazione di informazioni di carattere non finanziario</w:t>
      </w:r>
      <w:r w:rsidRPr="00DF19A3">
        <w:rPr>
          <w:rFonts w:ascii="Segoe UI" w:hAnsi="Segoe UI" w:cs="Segoe UI"/>
          <w:lang w:eastAsia="it-IT"/>
        </w:rPr>
        <w:t>”, Orientamenti “non vincolanti” formulati ai sensi dell’art. 2 della direttiva 2014/95/UE</w:t>
      </w:r>
      <w:r>
        <w:rPr>
          <w:rFonts w:ascii="Segoe UI" w:hAnsi="Segoe UI" w:cs="Segoe UI"/>
          <w:lang w:eastAsia="it-IT"/>
        </w:rPr>
        <w:t xml:space="preserve">, </w:t>
      </w:r>
      <w:r w:rsidRPr="00DF19A3">
        <w:rPr>
          <w:rFonts w:ascii="Segoe UI" w:hAnsi="Segoe UI" w:cs="Segoe UI"/>
          <w:lang w:eastAsia="it-IT"/>
        </w:rPr>
        <w:t>la Commissione europea</w:t>
      </w:r>
      <w:r>
        <w:rPr>
          <w:rFonts w:ascii="Segoe UI" w:hAnsi="Segoe UI" w:cs="Segoe UI"/>
          <w:lang w:eastAsia="it-IT"/>
        </w:rPr>
        <w:t xml:space="preserve"> fornisce, come si è detto, </w:t>
      </w:r>
      <w:r w:rsidRPr="00DF19A3">
        <w:rPr>
          <w:rFonts w:ascii="Segoe UI" w:hAnsi="Segoe UI" w:cs="Segoe UI"/>
          <w:lang w:eastAsia="it-IT"/>
        </w:rPr>
        <w:t>esplicitazioni concettuali e strumenti di supporto ai fini d</w:t>
      </w:r>
      <w:r>
        <w:rPr>
          <w:rFonts w:ascii="Segoe UI" w:hAnsi="Segoe UI" w:cs="Segoe UI"/>
          <w:lang w:eastAsia="it-IT"/>
        </w:rPr>
        <w:t xml:space="preserve">ella </w:t>
      </w:r>
      <w:r w:rsidRPr="00044A96">
        <w:rPr>
          <w:rFonts w:ascii="Segoe UI" w:hAnsi="Segoe UI" w:cs="Segoe UI"/>
          <w:i/>
          <w:lang w:eastAsia="it-IT"/>
        </w:rPr>
        <w:t>compliance</w:t>
      </w:r>
      <w:r>
        <w:rPr>
          <w:rFonts w:ascii="Segoe UI" w:hAnsi="Segoe UI" w:cs="Segoe UI"/>
          <w:lang w:eastAsia="it-IT"/>
        </w:rPr>
        <w:t xml:space="preserve"> alla </w:t>
      </w:r>
      <w:r w:rsidRPr="00DF19A3">
        <w:rPr>
          <w:rFonts w:ascii="Segoe UI" w:hAnsi="Segoe UI" w:cs="Segoe UI"/>
          <w:lang w:eastAsia="it-IT"/>
        </w:rPr>
        <w:t xml:space="preserve">direttiva sulla </w:t>
      </w:r>
      <w:r w:rsidRPr="00DF19A3">
        <w:rPr>
          <w:rFonts w:ascii="Segoe UI" w:hAnsi="Segoe UI" w:cs="Segoe UI"/>
          <w:i/>
          <w:lang w:eastAsia="it-IT"/>
        </w:rPr>
        <w:t>disclosure</w:t>
      </w:r>
      <w:r w:rsidRPr="00DF19A3">
        <w:rPr>
          <w:rFonts w:ascii="Segoe UI" w:hAnsi="Segoe UI" w:cs="Segoe UI"/>
          <w:lang w:eastAsia="it-IT"/>
        </w:rPr>
        <w:t xml:space="preserve"> non finanziaria.</w:t>
      </w:r>
    </w:p>
    <w:p w14:paraId="1F2874CA" w14:textId="128AA56A" w:rsidR="00931CF7" w:rsidRPr="00616475" w:rsidRDefault="00044A96" w:rsidP="00616475">
      <w:pPr>
        <w:spacing w:before="120" w:after="120" w:line="240" w:lineRule="auto"/>
        <w:jc w:val="both"/>
        <w:rPr>
          <w:rFonts w:ascii="Segoe UI" w:hAnsi="Segoe UI" w:cs="Segoe UI"/>
        </w:rPr>
      </w:pPr>
      <w:r>
        <w:rPr>
          <w:rFonts w:ascii="Segoe UI" w:hAnsi="Segoe UI" w:cs="Segoe UI"/>
        </w:rPr>
        <w:t>Con riguardo all’</w:t>
      </w:r>
      <w:r w:rsidR="00362C47" w:rsidRPr="00616475">
        <w:rPr>
          <w:rFonts w:ascii="Segoe UI" w:hAnsi="Segoe UI" w:cs="Segoe UI"/>
        </w:rPr>
        <w:t xml:space="preserve">approccio metodologico </w:t>
      </w:r>
      <w:r>
        <w:rPr>
          <w:rFonts w:ascii="Segoe UI" w:hAnsi="Segoe UI" w:cs="Segoe UI"/>
        </w:rPr>
        <w:t xml:space="preserve">di determinazione della materialità volto all’applicazione del </w:t>
      </w:r>
      <w:r w:rsidR="00362C47" w:rsidRPr="00616475">
        <w:rPr>
          <w:rFonts w:ascii="Segoe UI" w:hAnsi="Segoe UI" w:cs="Segoe UI"/>
        </w:rPr>
        <w:t xml:space="preserve">principio della rilevanza, nella prospettiva di una sua più approfondita comprensione e coerente interpretazione in rapporto alla </w:t>
      </w:r>
      <w:r w:rsidR="00362C47" w:rsidRPr="00EB4CBE">
        <w:rPr>
          <w:rFonts w:ascii="Segoe UI" w:hAnsi="Segoe UI" w:cs="Segoe UI"/>
          <w:i/>
        </w:rPr>
        <w:t>ratio</w:t>
      </w:r>
      <w:r w:rsidR="00362C47" w:rsidRPr="00616475">
        <w:rPr>
          <w:rFonts w:ascii="Segoe UI" w:hAnsi="Segoe UI" w:cs="Segoe UI"/>
        </w:rPr>
        <w:t xml:space="preserve"> della normativa in materia di </w:t>
      </w:r>
      <w:r w:rsidR="00362C47" w:rsidRPr="00EB4CBE">
        <w:rPr>
          <w:rFonts w:ascii="Segoe UI" w:hAnsi="Segoe UI" w:cs="Segoe UI"/>
          <w:i/>
        </w:rPr>
        <w:t>disclosure</w:t>
      </w:r>
      <w:r w:rsidR="00362C47" w:rsidRPr="00616475">
        <w:rPr>
          <w:rFonts w:ascii="Segoe UI" w:hAnsi="Segoe UI" w:cs="Segoe UI"/>
        </w:rPr>
        <w:t xml:space="preserve"> non finanziaria, </w:t>
      </w:r>
      <w:r w:rsidR="006B55EE">
        <w:rPr>
          <w:rFonts w:ascii="Segoe UI" w:hAnsi="Segoe UI" w:cs="Segoe UI"/>
        </w:rPr>
        <w:t xml:space="preserve">la Commissione </w:t>
      </w:r>
      <w:r w:rsidR="00362C47" w:rsidRPr="00616475">
        <w:rPr>
          <w:rFonts w:ascii="Segoe UI" w:hAnsi="Segoe UI" w:cs="Segoe UI"/>
        </w:rPr>
        <w:t>evidenzia</w:t>
      </w:r>
      <w:r>
        <w:rPr>
          <w:rFonts w:ascii="Segoe UI" w:hAnsi="Segoe UI" w:cs="Segoe UI"/>
        </w:rPr>
        <w:t xml:space="preserve"> specificamente quanto segue</w:t>
      </w:r>
      <w:r w:rsidR="00362C47" w:rsidRPr="00616475">
        <w:rPr>
          <w:rFonts w:ascii="Segoe UI" w:hAnsi="Segoe UI" w:cs="Segoe UI"/>
        </w:rPr>
        <w:t>:</w:t>
      </w:r>
    </w:p>
    <w:p w14:paraId="6E151E5B" w14:textId="5EBD60A7" w:rsidR="00931CF7" w:rsidRPr="00EE7CCF" w:rsidRDefault="00EE7CCF" w:rsidP="00616475">
      <w:pPr>
        <w:spacing w:before="120" w:after="120" w:line="240" w:lineRule="auto"/>
        <w:jc w:val="both"/>
        <w:rPr>
          <w:rFonts w:ascii="Segoe UI" w:hAnsi="Segoe UI" w:cs="Segoe UI"/>
          <w:lang w:val="en-US"/>
        </w:rPr>
      </w:pPr>
      <w:r>
        <w:rPr>
          <w:rFonts w:ascii="Segoe UI" w:hAnsi="Segoe UI" w:cs="Segoe UI"/>
          <w:lang w:val="en-US"/>
        </w:rPr>
        <w:t>“</w:t>
      </w:r>
      <w:r w:rsidR="00931CF7" w:rsidRPr="00EE7CCF">
        <w:rPr>
          <w:rFonts w:ascii="Segoe UI" w:hAnsi="Segoe UI" w:cs="Segoe UI"/>
          <w:lang w:val="en-US"/>
        </w:rPr>
        <w:t>[...]</w:t>
      </w:r>
    </w:p>
    <w:p w14:paraId="3EBEB04C" w14:textId="0E4E0CAC" w:rsidR="009D60A3" w:rsidRPr="00AB3F93" w:rsidRDefault="00931CF7" w:rsidP="00616475">
      <w:pPr>
        <w:spacing w:before="120" w:after="120" w:line="240" w:lineRule="auto"/>
        <w:jc w:val="both"/>
        <w:rPr>
          <w:rFonts w:ascii="Segoe UI" w:hAnsi="Segoe UI" w:cs="Segoe UI"/>
          <w:i/>
          <w:lang w:val="en-US"/>
        </w:rPr>
      </w:pPr>
      <w:r w:rsidRPr="00616475">
        <w:rPr>
          <w:rFonts w:ascii="Segoe UI" w:hAnsi="Segoe UI" w:cs="Segoe UI"/>
          <w:i/>
          <w:lang w:val="en-US"/>
        </w:rPr>
        <w:t xml:space="preserve">Materiality is a concept already commonly used by preparers, auditors and users of financial information. A company's thorough understanding of the key components of its value chain helps identify key issues, and assess what makes information material </w:t>
      </w:r>
      <w:r w:rsidRPr="00EE7CCF">
        <w:rPr>
          <w:rFonts w:ascii="Segoe UI" w:hAnsi="Segoe UI" w:cs="Segoe UI"/>
          <w:lang w:val="en-US"/>
        </w:rPr>
        <w:t>[...]”.</w:t>
      </w:r>
    </w:p>
    <w:p w14:paraId="6F1C3684" w14:textId="3C3883D7" w:rsidR="009D60A3" w:rsidRPr="00616475" w:rsidRDefault="009D60A3" w:rsidP="00616475">
      <w:pPr>
        <w:spacing w:before="120" w:after="120" w:line="240" w:lineRule="auto"/>
        <w:jc w:val="both"/>
        <w:rPr>
          <w:rFonts w:ascii="Segoe UI" w:hAnsi="Segoe UI" w:cs="Segoe UI"/>
        </w:rPr>
      </w:pPr>
      <w:r w:rsidRPr="00616475">
        <w:rPr>
          <w:rFonts w:ascii="Segoe UI" w:hAnsi="Segoe UI" w:cs="Segoe UI"/>
        </w:rPr>
        <w:t>Come si evince dalla definizione sopra riportata, gli Orientamenti della Commessione europea fanno esplicito riferimento a quanto previsto</w:t>
      </w:r>
      <w:r w:rsidR="00A33591">
        <w:rPr>
          <w:rFonts w:ascii="Segoe UI" w:hAnsi="Segoe UI" w:cs="Segoe UI"/>
        </w:rPr>
        <w:t xml:space="preserve"> </w:t>
      </w:r>
      <w:r w:rsidRPr="00616475">
        <w:rPr>
          <w:rFonts w:ascii="Segoe UI" w:hAnsi="Segoe UI" w:cs="Segoe UI"/>
        </w:rPr>
        <w:t>relativamente al principio della rile</w:t>
      </w:r>
      <w:r w:rsidR="00894DC6" w:rsidRPr="00616475">
        <w:rPr>
          <w:rFonts w:ascii="Segoe UI" w:hAnsi="Segoe UI" w:cs="Segoe UI"/>
        </w:rPr>
        <w:t>vanza nell’informativa di carattere finanziario e dai loro utilizzatori. Richiamando, quindi, i concetti relativi all’informativa finanziaria</w:t>
      </w:r>
      <w:r w:rsidR="00A33591">
        <w:rPr>
          <w:rFonts w:ascii="Segoe UI" w:hAnsi="Segoe UI" w:cs="Segoe UI"/>
        </w:rPr>
        <w:t>,</w:t>
      </w:r>
      <w:r w:rsidR="00894DC6" w:rsidRPr="00616475">
        <w:rPr>
          <w:rFonts w:ascii="Segoe UI" w:hAnsi="Segoe UI" w:cs="Segoe UI"/>
        </w:rPr>
        <w:t xml:space="preserve"> la </w:t>
      </w:r>
      <w:r w:rsidR="00DD2775">
        <w:rPr>
          <w:rFonts w:ascii="Segoe UI" w:hAnsi="Segoe UI" w:cs="Segoe UI"/>
        </w:rPr>
        <w:t>C</w:t>
      </w:r>
      <w:r w:rsidR="00894DC6" w:rsidRPr="00616475">
        <w:rPr>
          <w:rFonts w:ascii="Segoe UI" w:hAnsi="Segoe UI" w:cs="Segoe UI"/>
        </w:rPr>
        <w:t xml:space="preserve">ommissione </w:t>
      </w:r>
      <w:r w:rsidR="00351355">
        <w:rPr>
          <w:rFonts w:ascii="Segoe UI" w:hAnsi="Segoe UI" w:cs="Segoe UI"/>
        </w:rPr>
        <w:t xml:space="preserve">ritiene </w:t>
      </w:r>
      <w:r w:rsidR="00894DC6" w:rsidRPr="00616475">
        <w:rPr>
          <w:rFonts w:ascii="Segoe UI" w:hAnsi="Segoe UI" w:cs="Segoe UI"/>
        </w:rPr>
        <w:t xml:space="preserve">che una comprensione approfondita da parte di un’organizzazione dei componenti fondamentali della sua catena del valore </w:t>
      </w:r>
      <w:r w:rsidR="00351355">
        <w:rPr>
          <w:rFonts w:ascii="Segoe UI" w:hAnsi="Segoe UI" w:cs="Segoe UI"/>
        </w:rPr>
        <w:t xml:space="preserve">costituisca il presupposto per </w:t>
      </w:r>
      <w:r w:rsidR="00894DC6" w:rsidRPr="00616475">
        <w:rPr>
          <w:rFonts w:ascii="Segoe UI" w:hAnsi="Segoe UI" w:cs="Segoe UI"/>
        </w:rPr>
        <w:t xml:space="preserve">individuare le </w:t>
      </w:r>
      <w:r w:rsidR="00351355">
        <w:rPr>
          <w:rFonts w:ascii="Segoe UI" w:hAnsi="Segoe UI" w:cs="Segoe UI"/>
        </w:rPr>
        <w:t>criticità dei temi e degli aspetti (“</w:t>
      </w:r>
      <w:r w:rsidR="00894DC6" w:rsidRPr="00616475">
        <w:rPr>
          <w:rFonts w:ascii="Segoe UI" w:hAnsi="Segoe UI" w:cs="Segoe UI"/>
        </w:rPr>
        <w:t>questioni chiave</w:t>
      </w:r>
      <w:r w:rsidR="00351355">
        <w:rPr>
          <w:rFonts w:ascii="Segoe UI" w:hAnsi="Segoe UI" w:cs="Segoe UI"/>
        </w:rPr>
        <w:t>”)</w:t>
      </w:r>
      <w:r w:rsidR="00894DC6" w:rsidRPr="00616475">
        <w:rPr>
          <w:rFonts w:ascii="Segoe UI" w:hAnsi="Segoe UI" w:cs="Segoe UI"/>
        </w:rPr>
        <w:t xml:space="preserve"> e </w:t>
      </w:r>
      <w:r w:rsidR="00351355">
        <w:rPr>
          <w:rFonts w:ascii="Segoe UI" w:hAnsi="Segoe UI" w:cs="Segoe UI"/>
        </w:rPr>
        <w:t xml:space="preserve">per comprendere (e </w:t>
      </w:r>
      <w:r w:rsidR="00894DC6" w:rsidRPr="00616475">
        <w:rPr>
          <w:rFonts w:ascii="Segoe UI" w:hAnsi="Segoe UI" w:cs="Segoe UI"/>
        </w:rPr>
        <w:t>valutare</w:t>
      </w:r>
      <w:r w:rsidR="00351355">
        <w:rPr>
          <w:rFonts w:ascii="Segoe UI" w:hAnsi="Segoe UI" w:cs="Segoe UI"/>
        </w:rPr>
        <w:t>)</w:t>
      </w:r>
      <w:r w:rsidR="00894DC6" w:rsidRPr="00616475">
        <w:rPr>
          <w:rFonts w:ascii="Segoe UI" w:hAnsi="Segoe UI" w:cs="Segoe UI"/>
        </w:rPr>
        <w:t xml:space="preserve"> ciò che rend</w:t>
      </w:r>
      <w:r w:rsidR="00351355">
        <w:rPr>
          <w:rFonts w:ascii="Segoe UI" w:hAnsi="Segoe UI" w:cs="Segoe UI"/>
        </w:rPr>
        <w:t xml:space="preserve">a materiali </w:t>
      </w:r>
      <w:r w:rsidR="00894DC6" w:rsidRPr="00616475">
        <w:rPr>
          <w:rFonts w:ascii="Segoe UI" w:hAnsi="Segoe UI" w:cs="Segoe UI"/>
        </w:rPr>
        <w:t xml:space="preserve">le informazioni </w:t>
      </w:r>
      <w:r w:rsidR="00351355">
        <w:rPr>
          <w:rFonts w:ascii="Segoe UI" w:hAnsi="Segoe UI" w:cs="Segoe UI"/>
        </w:rPr>
        <w:t>a quelli connesse</w:t>
      </w:r>
      <w:r w:rsidR="00894DC6" w:rsidRPr="00616475">
        <w:rPr>
          <w:rFonts w:ascii="Segoe UI" w:hAnsi="Segoe UI" w:cs="Segoe UI"/>
        </w:rPr>
        <w:t>.</w:t>
      </w:r>
    </w:p>
    <w:p w14:paraId="4CBBB0D0" w14:textId="2AF05A74" w:rsidR="00894DC6" w:rsidRPr="00616475" w:rsidRDefault="00894DC6" w:rsidP="00616475">
      <w:pPr>
        <w:autoSpaceDE w:val="0"/>
        <w:autoSpaceDN w:val="0"/>
        <w:adjustRightInd w:val="0"/>
        <w:spacing w:before="120" w:after="120" w:line="240" w:lineRule="auto"/>
        <w:jc w:val="both"/>
        <w:rPr>
          <w:rFonts w:ascii="Segoe UI" w:hAnsi="Segoe UI" w:cs="Segoe UI"/>
        </w:rPr>
      </w:pPr>
      <w:r w:rsidRPr="00616475">
        <w:rPr>
          <w:rFonts w:ascii="Segoe UI" w:hAnsi="Segoe UI" w:cs="Segoe UI"/>
        </w:rPr>
        <w:t xml:space="preserve">Inoltre, appare opportuno </w:t>
      </w:r>
      <w:r w:rsidR="007E17C5">
        <w:rPr>
          <w:rFonts w:ascii="Segoe UI" w:hAnsi="Segoe UI" w:cs="Segoe UI"/>
        </w:rPr>
        <w:t xml:space="preserve">ricordare </w:t>
      </w:r>
      <w:r w:rsidRPr="00616475">
        <w:rPr>
          <w:rFonts w:ascii="Segoe UI" w:hAnsi="Segoe UI" w:cs="Segoe UI"/>
        </w:rPr>
        <w:t>che l’art</w:t>
      </w:r>
      <w:r w:rsidR="00B05D85">
        <w:rPr>
          <w:rFonts w:ascii="Segoe UI" w:hAnsi="Segoe UI" w:cs="Segoe UI"/>
        </w:rPr>
        <w:t>.</w:t>
      </w:r>
      <w:r w:rsidRPr="00616475">
        <w:rPr>
          <w:rFonts w:ascii="Segoe UI" w:hAnsi="Segoe UI" w:cs="Segoe UI"/>
        </w:rPr>
        <w:t xml:space="preserve"> 2</w:t>
      </w:r>
      <w:r w:rsidR="00B05D85">
        <w:rPr>
          <w:rFonts w:ascii="Segoe UI" w:hAnsi="Segoe UI" w:cs="Segoe UI"/>
        </w:rPr>
        <w:t>, punto 16)</w:t>
      </w:r>
      <w:r w:rsidR="005D3AC0">
        <w:rPr>
          <w:rFonts w:ascii="Segoe UI" w:hAnsi="Segoe UI" w:cs="Segoe UI"/>
        </w:rPr>
        <w:t>,</w:t>
      </w:r>
      <w:r w:rsidR="00B05D85">
        <w:rPr>
          <w:rFonts w:ascii="Segoe UI" w:hAnsi="Segoe UI" w:cs="Segoe UI"/>
        </w:rPr>
        <w:t xml:space="preserve"> </w:t>
      </w:r>
      <w:r w:rsidRPr="00616475">
        <w:rPr>
          <w:rFonts w:ascii="Segoe UI" w:hAnsi="Segoe UI" w:cs="Segoe UI"/>
        </w:rPr>
        <w:t>della direttiva</w:t>
      </w:r>
      <w:r w:rsidR="005D3AC0">
        <w:rPr>
          <w:rFonts w:ascii="Segoe UI" w:hAnsi="Segoe UI" w:cs="Segoe UI"/>
        </w:rPr>
        <w:t xml:space="preserve"> </w:t>
      </w:r>
      <w:r w:rsidR="005D3AC0" w:rsidRPr="00616475">
        <w:rPr>
          <w:rFonts w:ascii="Segoe UI" w:hAnsi="Segoe UI" w:cs="Segoe UI"/>
        </w:rPr>
        <w:t>2013/34/UE</w:t>
      </w:r>
      <w:r w:rsidRPr="00616475">
        <w:rPr>
          <w:rFonts w:ascii="Segoe UI" w:hAnsi="Segoe UI" w:cs="Segoe UI"/>
        </w:rPr>
        <w:t xml:space="preserve"> in materia di contabilità definisce le informazioni </w:t>
      </w:r>
      <w:r w:rsidR="00C31E4B">
        <w:rPr>
          <w:rFonts w:ascii="Segoe UI" w:hAnsi="Segoe UI" w:cs="Segoe UI"/>
        </w:rPr>
        <w:t>“</w:t>
      </w:r>
      <w:r w:rsidR="00C31E4B" w:rsidRPr="00C31E4B">
        <w:rPr>
          <w:rFonts w:ascii="Segoe UI" w:hAnsi="Segoe UI" w:cs="Segoe UI"/>
          <w:i/>
        </w:rPr>
        <w:t>material</w:t>
      </w:r>
      <w:r w:rsidR="00C31E4B">
        <w:rPr>
          <w:rFonts w:ascii="Segoe UI" w:hAnsi="Segoe UI" w:cs="Segoe UI"/>
        </w:rPr>
        <w:t xml:space="preserve">” </w:t>
      </w:r>
      <w:r w:rsidRPr="00616475">
        <w:rPr>
          <w:rFonts w:ascii="Segoe UI" w:hAnsi="Segoe UI" w:cs="Segoe UI"/>
        </w:rPr>
        <w:t xml:space="preserve">come </w:t>
      </w:r>
      <w:r w:rsidRPr="00616475">
        <w:rPr>
          <w:rFonts w:ascii="Segoe UI" w:hAnsi="Segoe UI" w:cs="Segoe UI"/>
          <w:i/>
        </w:rPr>
        <w:t>“lo stato dell’informazione quando la sua omissione o errata indicazione potrebbe ragionevolmente influenzare le decisioni prese dagli utilizzatori sulla base del bilancio dell’impresa. La rilevanza delle singole voci è giudicata nel contesto di altre voci analoghe</w:t>
      </w:r>
      <w:r w:rsidRPr="00616475">
        <w:rPr>
          <w:rFonts w:ascii="Segoe UI" w:hAnsi="Segoe UI" w:cs="Segoe UI"/>
        </w:rPr>
        <w:t xml:space="preserve">”. </w:t>
      </w:r>
    </w:p>
    <w:p w14:paraId="674CC110" w14:textId="735E70BA" w:rsidR="003C1A31" w:rsidRDefault="004C1E0A" w:rsidP="00616475">
      <w:pPr>
        <w:autoSpaceDE w:val="0"/>
        <w:autoSpaceDN w:val="0"/>
        <w:adjustRightInd w:val="0"/>
        <w:spacing w:before="120" w:after="120" w:line="240" w:lineRule="auto"/>
        <w:jc w:val="both"/>
        <w:rPr>
          <w:rFonts w:ascii="Segoe UI" w:hAnsi="Segoe UI" w:cs="Segoe UI"/>
        </w:rPr>
      </w:pPr>
      <w:r>
        <w:rPr>
          <w:rFonts w:ascii="Segoe UI" w:hAnsi="Segoe UI" w:cs="Segoe UI"/>
        </w:rPr>
        <w:t>I</w:t>
      </w:r>
      <w:r w:rsidR="00894DC6" w:rsidRPr="00616475">
        <w:rPr>
          <w:rFonts w:ascii="Segoe UI" w:hAnsi="Segoe UI" w:cs="Segoe UI"/>
        </w:rPr>
        <w:t>n quest</w:t>
      </w:r>
      <w:r>
        <w:rPr>
          <w:rFonts w:ascii="Segoe UI" w:hAnsi="Segoe UI" w:cs="Segoe UI"/>
        </w:rPr>
        <w:t>’</w:t>
      </w:r>
      <w:r w:rsidR="00894DC6" w:rsidRPr="00616475">
        <w:rPr>
          <w:rFonts w:ascii="Segoe UI" w:hAnsi="Segoe UI" w:cs="Segoe UI"/>
        </w:rPr>
        <w:t>ottica</w:t>
      </w:r>
      <w:r>
        <w:rPr>
          <w:rFonts w:ascii="Segoe UI" w:hAnsi="Segoe UI" w:cs="Segoe UI"/>
        </w:rPr>
        <w:t>,</w:t>
      </w:r>
      <w:r w:rsidR="00894DC6" w:rsidRPr="00616475">
        <w:rPr>
          <w:rFonts w:ascii="Segoe UI" w:hAnsi="Segoe UI" w:cs="Segoe UI"/>
        </w:rPr>
        <w:t xml:space="preserve"> e mutuando il concetto di rilevanza dall’informativa di carattere finanziario, la </w:t>
      </w:r>
      <w:r w:rsidR="00653927">
        <w:rPr>
          <w:rFonts w:ascii="Segoe UI" w:hAnsi="Segoe UI" w:cs="Segoe UI"/>
        </w:rPr>
        <w:t>d</w:t>
      </w:r>
      <w:r w:rsidR="00894DC6" w:rsidRPr="00616475">
        <w:rPr>
          <w:rFonts w:ascii="Segoe UI" w:hAnsi="Segoe UI" w:cs="Segoe UI"/>
        </w:rPr>
        <w:t xml:space="preserve">irettiva </w:t>
      </w:r>
      <w:r>
        <w:rPr>
          <w:rFonts w:ascii="Segoe UI" w:hAnsi="Segoe UI" w:cs="Segoe UI"/>
        </w:rPr>
        <w:t xml:space="preserve">(sottolinea la Commissione) </w:t>
      </w:r>
      <w:r w:rsidR="00894DC6" w:rsidRPr="00616475">
        <w:rPr>
          <w:rFonts w:ascii="Segoe UI" w:hAnsi="Segoe UI" w:cs="Segoe UI"/>
        </w:rPr>
        <w:t>introduc</w:t>
      </w:r>
      <w:r w:rsidR="00653927">
        <w:rPr>
          <w:rFonts w:ascii="Segoe UI" w:hAnsi="Segoe UI" w:cs="Segoe UI"/>
        </w:rPr>
        <w:t>e</w:t>
      </w:r>
      <w:r w:rsidR="00894DC6" w:rsidRPr="00616475">
        <w:rPr>
          <w:rFonts w:ascii="Segoe UI" w:hAnsi="Segoe UI" w:cs="Segoe UI"/>
        </w:rPr>
        <w:t xml:space="preserve"> un nuovo elemento da prendere in considerazione nella valutazione della rilevanza delle informazioni anche di carattere non finanziario</w:t>
      </w:r>
      <w:r>
        <w:rPr>
          <w:rFonts w:ascii="Segoe UI" w:hAnsi="Segoe UI" w:cs="Segoe UI"/>
        </w:rPr>
        <w:t xml:space="preserve">, </w:t>
      </w:r>
      <w:r w:rsidR="00894DC6" w:rsidRPr="00616475">
        <w:rPr>
          <w:rFonts w:ascii="Segoe UI" w:hAnsi="Segoe UI" w:cs="Segoe UI"/>
        </w:rPr>
        <w:t>facendo riferimento all</w:t>
      </w:r>
      <w:r>
        <w:rPr>
          <w:rFonts w:ascii="Segoe UI" w:hAnsi="Segoe UI" w:cs="Segoe UI"/>
        </w:rPr>
        <w:t xml:space="preserve">a qualità delle medesime di contribuire all’intellegibilità e alla trasparenza della </w:t>
      </w:r>
      <w:r w:rsidRPr="004D23A7">
        <w:rPr>
          <w:rFonts w:ascii="Segoe UI" w:hAnsi="Segoe UI" w:cs="Segoe UI"/>
          <w:i/>
        </w:rPr>
        <w:t>disclosure</w:t>
      </w:r>
      <w:r>
        <w:rPr>
          <w:rFonts w:ascii="Segoe UI" w:hAnsi="Segoe UI" w:cs="Segoe UI"/>
        </w:rPr>
        <w:t xml:space="preserve">; </w:t>
      </w:r>
      <w:r w:rsidR="004D23A7">
        <w:rPr>
          <w:rFonts w:ascii="Segoe UI" w:hAnsi="Segoe UI" w:cs="Segoe UI"/>
        </w:rPr>
        <w:t xml:space="preserve">nondimeno, si noti come la locuzione </w:t>
      </w:r>
      <w:r w:rsidR="00894DC6" w:rsidRPr="00616475">
        <w:rPr>
          <w:rFonts w:ascii="Segoe UI" w:hAnsi="Segoe UI" w:cs="Segoe UI"/>
        </w:rPr>
        <w:t>“</w:t>
      </w:r>
      <w:r w:rsidR="00894DC6" w:rsidRPr="00284EA9">
        <w:rPr>
          <w:rFonts w:ascii="Segoe UI" w:hAnsi="Segoe UI" w:cs="Segoe UI"/>
          <w:i/>
        </w:rPr>
        <w:t xml:space="preserve">in misura necessaria alla comprensione </w:t>
      </w:r>
      <w:r w:rsidR="00894DC6" w:rsidRPr="00EE7CCF">
        <w:rPr>
          <w:rFonts w:ascii="Segoe UI" w:hAnsi="Segoe UI" w:cs="Segoe UI"/>
        </w:rPr>
        <w:t>[…]</w:t>
      </w:r>
      <w:r w:rsidR="00894DC6" w:rsidRPr="00284EA9">
        <w:rPr>
          <w:rFonts w:ascii="Segoe UI" w:hAnsi="Segoe UI" w:cs="Segoe UI"/>
          <w:i/>
        </w:rPr>
        <w:t xml:space="preserve"> dell’impatto della </w:t>
      </w:r>
      <w:r w:rsidR="00894DC6" w:rsidRPr="00EE7CCF">
        <w:rPr>
          <w:rFonts w:ascii="Segoe UI" w:hAnsi="Segoe UI" w:cs="Segoe UI"/>
        </w:rPr>
        <w:t>[…]</w:t>
      </w:r>
      <w:r w:rsidR="00894DC6" w:rsidRPr="00284EA9">
        <w:rPr>
          <w:rFonts w:ascii="Segoe UI" w:hAnsi="Segoe UI" w:cs="Segoe UI"/>
          <w:i/>
        </w:rPr>
        <w:t xml:space="preserve"> attività [dell’impresa]</w:t>
      </w:r>
      <w:r w:rsidR="00894DC6" w:rsidRPr="00EE7CCF">
        <w:rPr>
          <w:rFonts w:ascii="Segoe UI" w:hAnsi="Segoe UI" w:cs="Segoe UI"/>
        </w:rPr>
        <w:t>”</w:t>
      </w:r>
      <w:r w:rsidR="004D23A7">
        <w:rPr>
          <w:rFonts w:ascii="Segoe UI" w:hAnsi="Segoe UI" w:cs="Segoe UI"/>
        </w:rPr>
        <w:t xml:space="preserve"> si presti a una duplice interpretazione, sia restrittiva sia estensiva: vanno fornite le informazioni necessarie </w:t>
      </w:r>
      <w:r w:rsidR="009130E8">
        <w:rPr>
          <w:rFonts w:ascii="Segoe UI" w:hAnsi="Segoe UI" w:cs="Segoe UI"/>
        </w:rPr>
        <w:t>(</w:t>
      </w:r>
      <w:r w:rsidR="004D23A7">
        <w:rPr>
          <w:rFonts w:ascii="Segoe UI" w:hAnsi="Segoe UI" w:cs="Segoe UI"/>
        </w:rPr>
        <w:t xml:space="preserve">e </w:t>
      </w:r>
      <w:r w:rsidR="004D23A7" w:rsidRPr="009130E8">
        <w:rPr>
          <w:rFonts w:ascii="Segoe UI" w:hAnsi="Segoe UI" w:cs="Segoe UI"/>
          <w:b/>
        </w:rPr>
        <w:t xml:space="preserve">solo </w:t>
      </w:r>
      <w:r w:rsidR="004D23A7">
        <w:rPr>
          <w:rFonts w:ascii="Segoe UI" w:hAnsi="Segoe UI" w:cs="Segoe UI"/>
        </w:rPr>
        <w:t>quelle</w:t>
      </w:r>
      <w:r w:rsidR="00CB05F1">
        <w:rPr>
          <w:rFonts w:ascii="Segoe UI" w:hAnsi="Segoe UI" w:cs="Segoe UI"/>
        </w:rPr>
        <w:t xml:space="preserve"> necessa</w:t>
      </w:r>
      <w:r w:rsidR="009130E8">
        <w:rPr>
          <w:rFonts w:ascii="Segoe UI" w:hAnsi="Segoe UI" w:cs="Segoe UI"/>
        </w:rPr>
        <w:t xml:space="preserve">rie) alla </w:t>
      </w:r>
      <w:r w:rsidR="009130E8" w:rsidRPr="00616475">
        <w:rPr>
          <w:rFonts w:ascii="Segoe UI" w:hAnsi="Segoe UI" w:cs="Segoe UI"/>
        </w:rPr>
        <w:t>“</w:t>
      </w:r>
      <w:r w:rsidR="009130E8">
        <w:rPr>
          <w:rFonts w:ascii="Segoe UI" w:hAnsi="Segoe UI" w:cs="Segoe UI"/>
        </w:rPr>
        <w:t xml:space="preserve">[...] </w:t>
      </w:r>
      <w:r w:rsidR="009130E8" w:rsidRPr="00284EA9">
        <w:rPr>
          <w:rFonts w:ascii="Segoe UI" w:hAnsi="Segoe UI" w:cs="Segoe UI"/>
          <w:i/>
        </w:rPr>
        <w:t xml:space="preserve">comprensione </w:t>
      </w:r>
      <w:r w:rsidR="009130E8" w:rsidRPr="00EE7CCF">
        <w:rPr>
          <w:rFonts w:ascii="Segoe UI" w:hAnsi="Segoe UI" w:cs="Segoe UI"/>
        </w:rPr>
        <w:t>[…]</w:t>
      </w:r>
      <w:r w:rsidR="009130E8" w:rsidRPr="00284EA9">
        <w:rPr>
          <w:rFonts w:ascii="Segoe UI" w:hAnsi="Segoe UI" w:cs="Segoe UI"/>
          <w:i/>
        </w:rPr>
        <w:t xml:space="preserve"> dell’impatto della </w:t>
      </w:r>
      <w:r w:rsidR="009130E8" w:rsidRPr="00EE7CCF">
        <w:rPr>
          <w:rFonts w:ascii="Segoe UI" w:hAnsi="Segoe UI" w:cs="Segoe UI"/>
        </w:rPr>
        <w:t>[…]</w:t>
      </w:r>
      <w:r w:rsidR="009130E8" w:rsidRPr="00284EA9">
        <w:rPr>
          <w:rFonts w:ascii="Segoe UI" w:hAnsi="Segoe UI" w:cs="Segoe UI"/>
          <w:i/>
        </w:rPr>
        <w:t xml:space="preserve"> attività [dell’impresa]</w:t>
      </w:r>
      <w:r w:rsidR="009130E8" w:rsidRPr="00EE7CCF">
        <w:rPr>
          <w:rFonts w:ascii="Segoe UI" w:hAnsi="Segoe UI" w:cs="Segoe UI"/>
        </w:rPr>
        <w:t>”</w:t>
      </w:r>
      <w:r w:rsidR="009130E8">
        <w:rPr>
          <w:rFonts w:ascii="Segoe UI" w:hAnsi="Segoe UI" w:cs="Segoe UI"/>
        </w:rPr>
        <w:t xml:space="preserve"> </w:t>
      </w:r>
      <w:r w:rsidR="004D23A7">
        <w:rPr>
          <w:rFonts w:ascii="Segoe UI" w:hAnsi="Segoe UI" w:cs="Segoe UI"/>
        </w:rPr>
        <w:t xml:space="preserve">o vanno fornite </w:t>
      </w:r>
      <w:r w:rsidR="004D23A7" w:rsidRPr="009130E8">
        <w:rPr>
          <w:rFonts w:ascii="Segoe UI" w:hAnsi="Segoe UI" w:cs="Segoe UI"/>
          <w:b/>
        </w:rPr>
        <w:t>almeno</w:t>
      </w:r>
      <w:r w:rsidR="004D23A7">
        <w:rPr>
          <w:rFonts w:ascii="Segoe UI" w:hAnsi="Segoe UI" w:cs="Segoe UI"/>
        </w:rPr>
        <w:t xml:space="preserve"> le informazioni che consentano di perseguire la </w:t>
      </w:r>
      <w:r w:rsidR="004D23A7" w:rsidRPr="00616475">
        <w:rPr>
          <w:rFonts w:ascii="Segoe UI" w:hAnsi="Segoe UI" w:cs="Segoe UI"/>
        </w:rPr>
        <w:t>“</w:t>
      </w:r>
      <w:r w:rsidR="004D23A7">
        <w:rPr>
          <w:rFonts w:ascii="Segoe UI" w:hAnsi="Segoe UI" w:cs="Segoe UI"/>
        </w:rPr>
        <w:t xml:space="preserve">[...] </w:t>
      </w:r>
      <w:r w:rsidR="004D23A7" w:rsidRPr="00284EA9">
        <w:rPr>
          <w:rFonts w:ascii="Segoe UI" w:hAnsi="Segoe UI" w:cs="Segoe UI"/>
          <w:i/>
        </w:rPr>
        <w:t xml:space="preserve">comprensione </w:t>
      </w:r>
      <w:r w:rsidR="004D23A7" w:rsidRPr="00EE7CCF">
        <w:rPr>
          <w:rFonts w:ascii="Segoe UI" w:hAnsi="Segoe UI" w:cs="Segoe UI"/>
        </w:rPr>
        <w:t>[…]</w:t>
      </w:r>
      <w:r w:rsidR="004D23A7" w:rsidRPr="00284EA9">
        <w:rPr>
          <w:rFonts w:ascii="Segoe UI" w:hAnsi="Segoe UI" w:cs="Segoe UI"/>
          <w:i/>
        </w:rPr>
        <w:t xml:space="preserve"> dell’impatto della </w:t>
      </w:r>
      <w:r w:rsidR="004D23A7" w:rsidRPr="00EE7CCF">
        <w:rPr>
          <w:rFonts w:ascii="Segoe UI" w:hAnsi="Segoe UI" w:cs="Segoe UI"/>
        </w:rPr>
        <w:t>[…]</w:t>
      </w:r>
      <w:r w:rsidR="004D23A7" w:rsidRPr="00284EA9">
        <w:rPr>
          <w:rFonts w:ascii="Segoe UI" w:hAnsi="Segoe UI" w:cs="Segoe UI"/>
          <w:i/>
        </w:rPr>
        <w:t xml:space="preserve"> attività [dell’impresa]</w:t>
      </w:r>
      <w:r w:rsidR="004D23A7" w:rsidRPr="00EE7CCF">
        <w:rPr>
          <w:rFonts w:ascii="Segoe UI" w:hAnsi="Segoe UI" w:cs="Segoe UI"/>
        </w:rPr>
        <w:t>”</w:t>
      </w:r>
      <w:r w:rsidR="009130E8">
        <w:rPr>
          <w:rFonts w:ascii="Segoe UI" w:hAnsi="Segoe UI" w:cs="Segoe UI"/>
        </w:rPr>
        <w:t>?</w:t>
      </w:r>
    </w:p>
    <w:p w14:paraId="1A19940F" w14:textId="60133604" w:rsidR="00931CF7" w:rsidRPr="00616475" w:rsidRDefault="00931CF7" w:rsidP="00616475">
      <w:pPr>
        <w:autoSpaceDE w:val="0"/>
        <w:autoSpaceDN w:val="0"/>
        <w:adjustRightInd w:val="0"/>
        <w:spacing w:before="120" w:after="120" w:line="240" w:lineRule="auto"/>
        <w:jc w:val="both"/>
        <w:rPr>
          <w:rFonts w:ascii="Segoe UI" w:hAnsi="Segoe UI" w:cs="Segoe UI"/>
        </w:rPr>
      </w:pPr>
      <w:r w:rsidRPr="00616475">
        <w:rPr>
          <w:rFonts w:ascii="Segoe UI" w:hAnsi="Segoe UI" w:cs="Segoe UI"/>
        </w:rPr>
        <w:t xml:space="preserve">L’impatto delle attività di un’impresa costituisce </w:t>
      </w:r>
      <w:r w:rsidR="008F70B2">
        <w:rPr>
          <w:rFonts w:ascii="Segoe UI" w:hAnsi="Segoe UI" w:cs="Segoe UI"/>
        </w:rPr>
        <w:t xml:space="preserve">infine </w:t>
      </w:r>
      <w:r w:rsidRPr="00616475">
        <w:rPr>
          <w:rFonts w:ascii="Segoe UI" w:hAnsi="Segoe UI" w:cs="Segoe UI"/>
        </w:rPr>
        <w:t xml:space="preserve">una considerazione </w:t>
      </w:r>
      <w:r w:rsidR="008F70B2">
        <w:rPr>
          <w:rFonts w:ascii="Segoe UI" w:hAnsi="Segoe UI" w:cs="Segoe UI"/>
        </w:rPr>
        <w:t xml:space="preserve">sostanziale laddove </w:t>
      </w:r>
      <w:r w:rsidRPr="00616475">
        <w:rPr>
          <w:rFonts w:ascii="Segoe UI" w:hAnsi="Segoe UI" w:cs="Segoe UI"/>
        </w:rPr>
        <w:t xml:space="preserve">si </w:t>
      </w:r>
      <w:r w:rsidR="008F70B2">
        <w:rPr>
          <w:rFonts w:ascii="Segoe UI" w:hAnsi="Segoe UI" w:cs="Segoe UI"/>
        </w:rPr>
        <w:t xml:space="preserve">realizzino processi finalizzati alla </w:t>
      </w:r>
      <w:r w:rsidR="008F70B2" w:rsidRPr="008F70B2">
        <w:rPr>
          <w:rFonts w:ascii="Segoe UI" w:hAnsi="Segoe UI" w:cs="Segoe UI"/>
          <w:i/>
        </w:rPr>
        <w:t>disclosure</w:t>
      </w:r>
      <w:r w:rsidR="008F70B2">
        <w:rPr>
          <w:rFonts w:ascii="Segoe UI" w:hAnsi="Segoe UI" w:cs="Segoe UI"/>
        </w:rPr>
        <w:t xml:space="preserve"> </w:t>
      </w:r>
      <w:r w:rsidRPr="00616475">
        <w:rPr>
          <w:rFonts w:ascii="Segoe UI" w:hAnsi="Segoe UI" w:cs="Segoe UI"/>
        </w:rPr>
        <w:t xml:space="preserve">di informazioni di carattere non finanziario. Le </w:t>
      </w:r>
      <w:r w:rsidR="00BB4700">
        <w:rPr>
          <w:rFonts w:ascii="Segoe UI" w:hAnsi="Segoe UI" w:cs="Segoe UI"/>
        </w:rPr>
        <w:t xml:space="preserve">conseguenze indirette dell’attività economica </w:t>
      </w:r>
      <w:r w:rsidRPr="00616475">
        <w:rPr>
          <w:rFonts w:ascii="Segoe UI" w:hAnsi="Segoe UI" w:cs="Segoe UI"/>
        </w:rPr>
        <w:t>possono essere positive o negative e l</w:t>
      </w:r>
      <w:r w:rsidR="00BB4700">
        <w:rPr>
          <w:rFonts w:ascii="Segoe UI" w:hAnsi="Segoe UI" w:cs="Segoe UI"/>
        </w:rPr>
        <w:t xml:space="preserve">a </w:t>
      </w:r>
      <w:r w:rsidR="00BB4700" w:rsidRPr="00BB4700">
        <w:rPr>
          <w:rFonts w:ascii="Segoe UI" w:hAnsi="Segoe UI" w:cs="Segoe UI"/>
          <w:i/>
        </w:rPr>
        <w:t>disclosure</w:t>
      </w:r>
      <w:r w:rsidR="00BB4700">
        <w:rPr>
          <w:rFonts w:ascii="Segoe UI" w:hAnsi="Segoe UI" w:cs="Segoe UI"/>
        </w:rPr>
        <w:t xml:space="preserve"> dovrebbe includere informazioni rilevanti relative ad entrambe le tipologie,</w:t>
      </w:r>
      <w:r w:rsidRPr="00616475">
        <w:rPr>
          <w:rFonts w:ascii="Segoe UI" w:hAnsi="Segoe UI" w:cs="Segoe UI"/>
        </w:rPr>
        <w:t xml:space="preserve"> in maniera chiara ed equilibrata. </w:t>
      </w:r>
      <w:r w:rsidR="00BB4700">
        <w:rPr>
          <w:rFonts w:ascii="Segoe UI" w:hAnsi="Segoe UI" w:cs="Segoe UI"/>
        </w:rPr>
        <w:t xml:space="preserve">La </w:t>
      </w:r>
      <w:r w:rsidRPr="00616475">
        <w:rPr>
          <w:rFonts w:ascii="Segoe UI" w:hAnsi="Segoe UI" w:cs="Segoe UI"/>
        </w:rPr>
        <w:t>dichiarazione di carattere non finanziario</w:t>
      </w:r>
      <w:r w:rsidR="00EF4FCC">
        <w:rPr>
          <w:rFonts w:ascii="Segoe UI" w:hAnsi="Segoe UI" w:cs="Segoe UI"/>
        </w:rPr>
        <w:t xml:space="preserve"> (rimarca la Commissione)</w:t>
      </w:r>
      <w:r w:rsidRPr="00616475">
        <w:rPr>
          <w:rFonts w:ascii="Segoe UI" w:hAnsi="Segoe UI" w:cs="Segoe UI"/>
        </w:rPr>
        <w:t xml:space="preserve"> d</w:t>
      </w:r>
      <w:r w:rsidR="00BB4700">
        <w:rPr>
          <w:rFonts w:ascii="Segoe UI" w:hAnsi="Segoe UI" w:cs="Segoe UI"/>
        </w:rPr>
        <w:t xml:space="preserve">eve infatti </w:t>
      </w:r>
      <w:r w:rsidRPr="00616475">
        <w:rPr>
          <w:rFonts w:ascii="Segoe UI" w:hAnsi="Segoe UI" w:cs="Segoe UI"/>
        </w:rPr>
        <w:t>fornire</w:t>
      </w:r>
      <w:r w:rsidR="00BB4700">
        <w:rPr>
          <w:rFonts w:ascii="Segoe UI" w:hAnsi="Segoe UI" w:cs="Segoe UI"/>
        </w:rPr>
        <w:t>,</w:t>
      </w:r>
      <w:r w:rsidRPr="00616475">
        <w:rPr>
          <w:rFonts w:ascii="Segoe UI" w:hAnsi="Segoe UI" w:cs="Segoe UI"/>
        </w:rPr>
        <w:t xml:space="preserve"> </w:t>
      </w:r>
      <w:r w:rsidR="00BB4700">
        <w:rPr>
          <w:rFonts w:ascii="Segoe UI" w:hAnsi="Segoe UI" w:cs="Segoe UI"/>
        </w:rPr>
        <w:t xml:space="preserve">in definitiva, sempre </w:t>
      </w:r>
      <w:r w:rsidRPr="00616475">
        <w:rPr>
          <w:rFonts w:ascii="Segoe UI" w:hAnsi="Segoe UI" w:cs="Segoe UI"/>
        </w:rPr>
        <w:t>una rappresentazione veritiera e corretta</w:t>
      </w:r>
      <w:r w:rsidR="00BB4700">
        <w:rPr>
          <w:rFonts w:ascii="Segoe UI" w:hAnsi="Segoe UI" w:cs="Segoe UI"/>
        </w:rPr>
        <w:t xml:space="preserve"> </w:t>
      </w:r>
      <w:r w:rsidRPr="00616475">
        <w:rPr>
          <w:rFonts w:ascii="Segoe UI" w:hAnsi="Segoe UI" w:cs="Segoe UI"/>
        </w:rPr>
        <w:t xml:space="preserve">dell’impresa </w:t>
      </w:r>
      <w:r w:rsidR="00BB4700">
        <w:rPr>
          <w:rFonts w:ascii="Segoe UI" w:hAnsi="Segoe UI" w:cs="Segoe UI"/>
        </w:rPr>
        <w:t xml:space="preserve">e delle informazioni cui le diverse tipologie di </w:t>
      </w:r>
      <w:r w:rsidR="00BB4700" w:rsidRPr="00BB4700">
        <w:rPr>
          <w:rFonts w:ascii="Segoe UI" w:hAnsi="Segoe UI" w:cs="Segoe UI"/>
          <w:i/>
        </w:rPr>
        <w:t>stakeholder</w:t>
      </w:r>
      <w:r w:rsidR="00BB4700">
        <w:rPr>
          <w:rFonts w:ascii="Segoe UI" w:hAnsi="Segoe UI" w:cs="Segoe UI"/>
        </w:rPr>
        <w:t xml:space="preserve"> hanno interesse e diritto ad accedere</w:t>
      </w:r>
      <w:r w:rsidRPr="00616475">
        <w:rPr>
          <w:rFonts w:ascii="Segoe UI" w:hAnsi="Segoe UI" w:cs="Segoe UI"/>
        </w:rPr>
        <w:t>.</w:t>
      </w:r>
    </w:p>
    <w:p w14:paraId="117EBC6E" w14:textId="77777777" w:rsidR="00793FE3" w:rsidRPr="00616475" w:rsidRDefault="00793FE3" w:rsidP="00616475">
      <w:pPr>
        <w:autoSpaceDE w:val="0"/>
        <w:autoSpaceDN w:val="0"/>
        <w:spacing w:before="120" w:after="120" w:line="240" w:lineRule="auto"/>
        <w:jc w:val="both"/>
        <w:rPr>
          <w:rFonts w:ascii="Segoe UI" w:hAnsi="Segoe UI" w:cs="Segoe UI"/>
        </w:rPr>
      </w:pPr>
    </w:p>
    <w:p w14:paraId="27FE92F2" w14:textId="77777777" w:rsidR="00793FE3" w:rsidRPr="0062207D" w:rsidRDefault="00793FE3" w:rsidP="00174A2A">
      <w:pPr>
        <w:autoSpaceDE w:val="0"/>
        <w:autoSpaceDN w:val="0"/>
        <w:spacing w:before="120" w:after="120" w:line="240" w:lineRule="auto"/>
        <w:jc w:val="both"/>
        <w:rPr>
          <w:rFonts w:ascii="Segoe UI" w:hAnsi="Segoe UI" w:cs="Segoe UI"/>
          <w:szCs w:val="20"/>
        </w:rPr>
        <w:sectPr w:rsidR="00793FE3" w:rsidRPr="0062207D" w:rsidSect="003C1912">
          <w:type w:val="continuous"/>
          <w:pgSz w:w="11906" w:h="16838" w:code="9"/>
          <w:pgMar w:top="1985" w:right="1134" w:bottom="1134" w:left="1134" w:header="709" w:footer="709" w:gutter="0"/>
          <w:cols w:space="708"/>
          <w:docGrid w:linePitch="360"/>
        </w:sectPr>
      </w:pPr>
    </w:p>
    <w:p w14:paraId="263DEC24" w14:textId="560AC9B6" w:rsidR="00B87660" w:rsidRDefault="008425E1" w:rsidP="000C46D3">
      <w:pPr>
        <w:keepNext/>
        <w:keepLines/>
        <w:tabs>
          <w:tab w:val="left" w:pos="567"/>
        </w:tabs>
        <w:spacing w:before="1080" w:after="1080" w:line="240" w:lineRule="auto"/>
        <w:ind w:left="567" w:hanging="567"/>
        <w:outlineLvl w:val="0"/>
        <w:rPr>
          <w:rFonts w:ascii="Segoe UI" w:eastAsiaTheme="minorHAnsi" w:hAnsi="Segoe UI" w:cs="Segoe UI"/>
          <w:sz w:val="32"/>
          <w:szCs w:val="32"/>
        </w:rPr>
      </w:pPr>
      <w:bookmarkStart w:id="34" w:name="_Toc507973963"/>
      <w:r>
        <w:rPr>
          <w:rFonts w:ascii="Segoe UI" w:eastAsiaTheme="minorHAnsi" w:hAnsi="Segoe UI" w:cs="Segoe UI"/>
          <w:sz w:val="32"/>
          <w:szCs w:val="32"/>
        </w:rPr>
        <w:t>7</w:t>
      </w:r>
      <w:r w:rsidR="004C6914">
        <w:rPr>
          <w:rFonts w:ascii="Segoe UI" w:eastAsiaTheme="minorHAnsi" w:hAnsi="Segoe UI" w:cs="Segoe UI"/>
          <w:sz w:val="32"/>
          <w:szCs w:val="32"/>
        </w:rPr>
        <w:tab/>
      </w:r>
      <w:r w:rsidR="00432D32">
        <w:rPr>
          <w:rFonts w:ascii="Segoe UI" w:eastAsiaTheme="minorHAnsi" w:hAnsi="Segoe UI" w:cs="Segoe UI"/>
          <w:sz w:val="32"/>
          <w:szCs w:val="32"/>
        </w:rPr>
        <w:t>Problematiche operative nell’a</w:t>
      </w:r>
      <w:r w:rsidR="007657F0">
        <w:rPr>
          <w:rFonts w:ascii="Segoe UI" w:eastAsiaTheme="minorHAnsi" w:hAnsi="Segoe UI" w:cs="Segoe UI"/>
          <w:sz w:val="32"/>
          <w:szCs w:val="32"/>
        </w:rPr>
        <w:t>pplicazione d</w:t>
      </w:r>
      <w:r w:rsidR="00891365">
        <w:rPr>
          <w:rFonts w:ascii="Segoe UI" w:eastAsiaTheme="minorHAnsi" w:hAnsi="Segoe UI" w:cs="Segoe UI"/>
          <w:sz w:val="32"/>
          <w:szCs w:val="32"/>
        </w:rPr>
        <w:t xml:space="preserve">i rilevanza e materialità </w:t>
      </w:r>
      <w:r w:rsidR="007657F0">
        <w:rPr>
          <w:rFonts w:ascii="Segoe UI" w:eastAsiaTheme="minorHAnsi" w:hAnsi="Segoe UI" w:cs="Segoe UI"/>
          <w:sz w:val="32"/>
          <w:szCs w:val="32"/>
        </w:rPr>
        <w:t xml:space="preserve">nella </w:t>
      </w:r>
      <w:r w:rsidR="006B6DFF" w:rsidRPr="006B6DFF">
        <w:rPr>
          <w:rFonts w:ascii="Segoe UI" w:eastAsiaTheme="minorHAnsi" w:hAnsi="Segoe UI" w:cs="Segoe UI"/>
          <w:i/>
          <w:sz w:val="32"/>
          <w:szCs w:val="32"/>
        </w:rPr>
        <w:t>disclosur</w:t>
      </w:r>
      <w:r w:rsidR="007657F0" w:rsidRPr="006B6DFF">
        <w:rPr>
          <w:rFonts w:ascii="Segoe UI" w:eastAsiaTheme="minorHAnsi" w:hAnsi="Segoe UI" w:cs="Segoe UI"/>
          <w:i/>
          <w:sz w:val="32"/>
          <w:szCs w:val="32"/>
        </w:rPr>
        <w:t>e</w:t>
      </w:r>
      <w:r w:rsidR="007657F0">
        <w:rPr>
          <w:rFonts w:ascii="Segoe UI" w:eastAsiaTheme="minorHAnsi" w:hAnsi="Segoe UI" w:cs="Segoe UI"/>
          <w:sz w:val="32"/>
          <w:szCs w:val="32"/>
        </w:rPr>
        <w:t xml:space="preserve"> non finanziaria</w:t>
      </w:r>
      <w:bookmarkEnd w:id="34"/>
    </w:p>
    <w:p w14:paraId="047FA695" w14:textId="50C8D1F8" w:rsidR="00C55C48" w:rsidRPr="00344DC4" w:rsidRDefault="00C55C48" w:rsidP="00C55C48">
      <w:pPr>
        <w:pStyle w:val="NormaleWeb"/>
        <w:tabs>
          <w:tab w:val="left" w:pos="567"/>
        </w:tabs>
        <w:spacing w:before="120" w:beforeAutospacing="0" w:after="120" w:afterAutospacing="0"/>
        <w:jc w:val="both"/>
        <w:rPr>
          <w:rFonts w:ascii="Segoe UI" w:hAnsi="Segoe UI" w:cs="Segoe UI"/>
          <w:sz w:val="22"/>
          <w:szCs w:val="22"/>
        </w:rPr>
      </w:pPr>
      <w:r w:rsidRPr="00344DC4">
        <w:rPr>
          <w:rFonts w:ascii="Segoe UI" w:hAnsi="Segoe UI" w:cs="Segoe UI"/>
          <w:sz w:val="22"/>
          <w:szCs w:val="22"/>
        </w:rPr>
        <w:t xml:space="preserve">Le argomentazioni </w:t>
      </w:r>
      <w:r>
        <w:rPr>
          <w:rFonts w:ascii="Segoe UI" w:hAnsi="Segoe UI" w:cs="Segoe UI"/>
          <w:sz w:val="22"/>
          <w:szCs w:val="22"/>
        </w:rPr>
        <w:t xml:space="preserve">che seguono, unite a quelle sviluppate nei </w:t>
      </w:r>
      <w:r w:rsidRPr="00344DC4">
        <w:rPr>
          <w:rFonts w:ascii="Segoe UI" w:hAnsi="Segoe UI" w:cs="Segoe UI"/>
          <w:sz w:val="22"/>
          <w:szCs w:val="22"/>
        </w:rPr>
        <w:t>paragrafi precedenti</w:t>
      </w:r>
      <w:r>
        <w:rPr>
          <w:rFonts w:ascii="Segoe UI" w:hAnsi="Segoe UI" w:cs="Segoe UI"/>
          <w:sz w:val="22"/>
          <w:szCs w:val="22"/>
        </w:rPr>
        <w:t>,</w:t>
      </w:r>
      <w:r w:rsidRPr="00344DC4">
        <w:rPr>
          <w:rFonts w:ascii="Segoe UI" w:hAnsi="Segoe UI" w:cs="Segoe UI"/>
          <w:sz w:val="22"/>
          <w:szCs w:val="22"/>
        </w:rPr>
        <w:t xml:space="preserve"> sono </w:t>
      </w:r>
      <w:r>
        <w:rPr>
          <w:rFonts w:ascii="Segoe UI" w:hAnsi="Segoe UI" w:cs="Segoe UI"/>
          <w:sz w:val="22"/>
          <w:szCs w:val="22"/>
        </w:rPr>
        <w:t xml:space="preserve">volte a </w:t>
      </w:r>
      <w:r w:rsidRPr="00344DC4">
        <w:rPr>
          <w:rFonts w:ascii="Segoe UI" w:hAnsi="Segoe UI" w:cs="Segoe UI"/>
          <w:sz w:val="22"/>
          <w:szCs w:val="22"/>
        </w:rPr>
        <w:t xml:space="preserve">evidenziare (se non chiarire) i potenziali rischi, rispetto alla trasparenza e alla comparabilità delle informazioni pubblicate da organizzazioni diverse, sottesi a un’applicazione acritica del </w:t>
      </w:r>
      <w:r w:rsidR="00CE7FBF">
        <w:rPr>
          <w:rFonts w:ascii="Segoe UI" w:hAnsi="Segoe UI" w:cs="Segoe UI"/>
          <w:sz w:val="22"/>
          <w:szCs w:val="22"/>
        </w:rPr>
        <w:t>concetto</w:t>
      </w:r>
      <w:r w:rsidRPr="00344DC4">
        <w:rPr>
          <w:rFonts w:ascii="Segoe UI" w:hAnsi="Segoe UI" w:cs="Segoe UI"/>
          <w:sz w:val="22"/>
          <w:szCs w:val="22"/>
        </w:rPr>
        <w:t xml:space="preserve"> d</w:t>
      </w:r>
      <w:r w:rsidR="00CE7FBF">
        <w:rPr>
          <w:rFonts w:ascii="Segoe UI" w:hAnsi="Segoe UI" w:cs="Segoe UI"/>
          <w:sz w:val="22"/>
          <w:szCs w:val="22"/>
        </w:rPr>
        <w:t>ella</w:t>
      </w:r>
      <w:r w:rsidRPr="00344DC4">
        <w:rPr>
          <w:rFonts w:ascii="Segoe UI" w:hAnsi="Segoe UI" w:cs="Segoe UI"/>
          <w:sz w:val="22"/>
          <w:szCs w:val="22"/>
        </w:rPr>
        <w:t xml:space="preserve"> rilevanza, connessi, da un lato, all’attuale variabilità nell’interpretazione tecnica e, dall’altro, alla flessibilità ammessa nell’adozione degli approcci per la determinazione della materialità delle informazioni</w:t>
      </w:r>
      <w:r>
        <w:rPr>
          <w:rFonts w:ascii="Segoe UI" w:hAnsi="Segoe UI" w:cs="Segoe UI"/>
          <w:sz w:val="22"/>
          <w:szCs w:val="22"/>
        </w:rPr>
        <w:t>.</w:t>
      </w:r>
    </w:p>
    <w:p w14:paraId="31EBBCB4" w14:textId="3BAADAD0" w:rsidR="007657F0" w:rsidRPr="007657F0" w:rsidRDefault="008425E1" w:rsidP="00091DD9">
      <w:pPr>
        <w:keepNext/>
        <w:keepLines/>
        <w:tabs>
          <w:tab w:val="left" w:pos="567"/>
        </w:tabs>
        <w:spacing w:before="1080" w:after="720" w:line="240" w:lineRule="auto"/>
        <w:ind w:left="567" w:hanging="567"/>
        <w:outlineLvl w:val="1"/>
        <w:rPr>
          <w:rFonts w:ascii="Segoe UI" w:eastAsiaTheme="minorHAnsi" w:hAnsi="Segoe UI" w:cs="Segoe UI"/>
          <w:bCs/>
          <w:sz w:val="28"/>
          <w:szCs w:val="28"/>
        </w:rPr>
      </w:pPr>
      <w:bookmarkStart w:id="35" w:name="_Toc507973964"/>
      <w:r>
        <w:rPr>
          <w:rFonts w:ascii="Segoe UI" w:eastAsiaTheme="minorHAnsi" w:hAnsi="Segoe UI" w:cs="Segoe UI"/>
          <w:bCs/>
          <w:sz w:val="28"/>
          <w:szCs w:val="28"/>
        </w:rPr>
        <w:t>7</w:t>
      </w:r>
      <w:r w:rsidR="007657F0">
        <w:rPr>
          <w:rFonts w:ascii="Segoe UI" w:eastAsiaTheme="minorHAnsi" w:hAnsi="Segoe UI" w:cs="Segoe UI"/>
          <w:bCs/>
          <w:sz w:val="28"/>
          <w:szCs w:val="28"/>
        </w:rPr>
        <w:t>.1</w:t>
      </w:r>
      <w:r w:rsidR="007657F0">
        <w:rPr>
          <w:rFonts w:ascii="Segoe UI" w:eastAsiaTheme="minorHAnsi" w:hAnsi="Segoe UI" w:cs="Segoe UI"/>
          <w:bCs/>
          <w:sz w:val="28"/>
          <w:szCs w:val="28"/>
        </w:rPr>
        <w:tab/>
      </w:r>
      <w:r w:rsidR="007657F0" w:rsidRPr="007657F0">
        <w:rPr>
          <w:rFonts w:ascii="Segoe UI" w:eastAsiaTheme="minorHAnsi" w:hAnsi="Segoe UI" w:cs="Segoe UI"/>
          <w:bCs/>
          <w:sz w:val="28"/>
          <w:szCs w:val="28"/>
        </w:rPr>
        <w:t>Problematiche conseguenti a una definizione del principio di rilevanza non condivisa e</w:t>
      </w:r>
      <w:r w:rsidR="005439C5">
        <w:rPr>
          <w:rFonts w:ascii="Segoe UI" w:eastAsiaTheme="minorHAnsi" w:hAnsi="Segoe UI" w:cs="Segoe UI"/>
          <w:bCs/>
          <w:sz w:val="28"/>
          <w:szCs w:val="28"/>
        </w:rPr>
        <w:t>d</w:t>
      </w:r>
      <w:r w:rsidR="007657F0" w:rsidRPr="007657F0">
        <w:rPr>
          <w:rFonts w:ascii="Segoe UI" w:eastAsiaTheme="minorHAnsi" w:hAnsi="Segoe UI" w:cs="Segoe UI"/>
          <w:bCs/>
          <w:sz w:val="28"/>
          <w:szCs w:val="28"/>
        </w:rPr>
        <w:t xml:space="preserve"> univoca</w:t>
      </w:r>
      <w:bookmarkEnd w:id="35"/>
    </w:p>
    <w:p w14:paraId="31E5B98B" w14:textId="76E9AD01" w:rsidR="005E0028" w:rsidRPr="000C46D3" w:rsidRDefault="005E0028" w:rsidP="00B87660">
      <w:pPr>
        <w:pStyle w:val="NormaleWeb"/>
        <w:tabs>
          <w:tab w:val="left" w:pos="567"/>
        </w:tabs>
        <w:spacing w:before="120" w:beforeAutospacing="0" w:after="120" w:afterAutospacing="0"/>
        <w:jc w:val="both"/>
        <w:rPr>
          <w:rFonts w:ascii="Segoe UI" w:hAnsi="Segoe UI" w:cs="Segoe UI"/>
          <w:sz w:val="22"/>
          <w:szCs w:val="22"/>
        </w:rPr>
      </w:pPr>
      <w:r w:rsidRPr="000C46D3">
        <w:rPr>
          <w:rFonts w:ascii="Segoe UI" w:hAnsi="Segoe UI" w:cs="Segoe UI"/>
          <w:sz w:val="22"/>
          <w:szCs w:val="22"/>
        </w:rPr>
        <w:t>Come illustrato dettagliatamente nei precedenti paragrafi, il termine “</w:t>
      </w:r>
      <w:r w:rsidRPr="000C46D3">
        <w:rPr>
          <w:rFonts w:ascii="Segoe UI" w:hAnsi="Segoe UI" w:cs="Segoe UI"/>
          <w:i/>
          <w:sz w:val="22"/>
          <w:szCs w:val="22"/>
        </w:rPr>
        <w:t>material</w:t>
      </w:r>
      <w:r w:rsidRPr="000C46D3">
        <w:rPr>
          <w:rFonts w:ascii="Segoe UI" w:hAnsi="Segoe UI" w:cs="Segoe UI"/>
          <w:sz w:val="22"/>
          <w:szCs w:val="22"/>
        </w:rPr>
        <w:t xml:space="preserve">” è stato utilizzato e tradotto con accezioni differenti sia </w:t>
      </w:r>
      <w:r w:rsidR="0016297B">
        <w:rPr>
          <w:rFonts w:ascii="Segoe UI" w:hAnsi="Segoe UI" w:cs="Segoe UI"/>
          <w:sz w:val="22"/>
          <w:szCs w:val="22"/>
        </w:rPr>
        <w:t>ne</w:t>
      </w:r>
      <w:r w:rsidRPr="000C46D3">
        <w:rPr>
          <w:rFonts w:ascii="Segoe UI" w:hAnsi="Segoe UI" w:cs="Segoe UI"/>
          <w:sz w:val="22"/>
          <w:szCs w:val="22"/>
        </w:rPr>
        <w:t xml:space="preserve">lla normativa e </w:t>
      </w:r>
      <w:r w:rsidR="0016297B">
        <w:rPr>
          <w:rFonts w:ascii="Segoe UI" w:hAnsi="Segoe UI" w:cs="Segoe UI"/>
          <w:sz w:val="22"/>
          <w:szCs w:val="22"/>
        </w:rPr>
        <w:t xml:space="preserve">nella </w:t>
      </w:r>
      <w:r w:rsidRPr="000C46D3">
        <w:rPr>
          <w:rFonts w:ascii="Segoe UI" w:hAnsi="Segoe UI" w:cs="Segoe UI"/>
          <w:sz w:val="22"/>
          <w:szCs w:val="22"/>
        </w:rPr>
        <w:t xml:space="preserve">regolamentazione </w:t>
      </w:r>
      <w:r w:rsidR="0016297B">
        <w:rPr>
          <w:rFonts w:ascii="Segoe UI" w:hAnsi="Segoe UI" w:cs="Segoe UI"/>
          <w:sz w:val="22"/>
          <w:szCs w:val="22"/>
        </w:rPr>
        <w:t xml:space="preserve">sulla </w:t>
      </w:r>
      <w:r w:rsidR="0016297B" w:rsidRPr="004D40C2">
        <w:rPr>
          <w:rFonts w:ascii="Segoe UI" w:hAnsi="Segoe UI" w:cs="Segoe UI"/>
          <w:i/>
          <w:sz w:val="22"/>
          <w:szCs w:val="22"/>
        </w:rPr>
        <w:t>disclosure</w:t>
      </w:r>
      <w:r w:rsidR="0016297B">
        <w:rPr>
          <w:rFonts w:ascii="Segoe UI" w:hAnsi="Segoe UI" w:cs="Segoe UI"/>
          <w:sz w:val="22"/>
          <w:szCs w:val="22"/>
        </w:rPr>
        <w:t xml:space="preserve"> e sulla rendicontazione</w:t>
      </w:r>
      <w:r w:rsidRPr="000C46D3">
        <w:rPr>
          <w:rFonts w:ascii="Segoe UI" w:hAnsi="Segoe UI" w:cs="Segoe UI"/>
          <w:sz w:val="22"/>
          <w:szCs w:val="22"/>
        </w:rPr>
        <w:t xml:space="preserve"> </w:t>
      </w:r>
      <w:r w:rsidR="004D40C2">
        <w:rPr>
          <w:rFonts w:ascii="Segoe UI" w:hAnsi="Segoe UI" w:cs="Segoe UI"/>
          <w:sz w:val="22"/>
          <w:szCs w:val="22"/>
        </w:rPr>
        <w:t xml:space="preserve">aziendale </w:t>
      </w:r>
      <w:r w:rsidRPr="000C46D3">
        <w:rPr>
          <w:rFonts w:ascii="Segoe UI" w:hAnsi="Segoe UI" w:cs="Segoe UI"/>
          <w:sz w:val="22"/>
          <w:szCs w:val="22"/>
        </w:rPr>
        <w:t xml:space="preserve">sia </w:t>
      </w:r>
      <w:r w:rsidR="0016297B">
        <w:rPr>
          <w:rFonts w:ascii="Segoe UI" w:hAnsi="Segoe UI" w:cs="Segoe UI"/>
          <w:sz w:val="22"/>
          <w:szCs w:val="22"/>
        </w:rPr>
        <w:t xml:space="preserve">nei </w:t>
      </w:r>
      <w:r w:rsidRPr="000C46D3">
        <w:rPr>
          <w:rFonts w:ascii="Segoe UI" w:hAnsi="Segoe UI" w:cs="Segoe UI"/>
          <w:sz w:val="22"/>
          <w:szCs w:val="22"/>
        </w:rPr>
        <w:t xml:space="preserve">documenti tecnici e interpretativi nei quali </w:t>
      </w:r>
      <w:r w:rsidR="00E63DF3">
        <w:rPr>
          <w:rFonts w:ascii="Segoe UI" w:hAnsi="Segoe UI" w:cs="Segoe UI"/>
          <w:sz w:val="22"/>
          <w:szCs w:val="22"/>
        </w:rPr>
        <w:t xml:space="preserve">primarie </w:t>
      </w:r>
      <w:r w:rsidRPr="000C46D3">
        <w:rPr>
          <w:rFonts w:ascii="Segoe UI" w:hAnsi="Segoe UI" w:cs="Segoe UI"/>
          <w:sz w:val="22"/>
          <w:szCs w:val="22"/>
        </w:rPr>
        <w:t>organizzazioni internazionali hanno espresso</w:t>
      </w:r>
      <w:r w:rsidR="0016297B">
        <w:rPr>
          <w:rFonts w:ascii="Segoe UI" w:hAnsi="Segoe UI" w:cs="Segoe UI"/>
          <w:sz w:val="22"/>
          <w:szCs w:val="22"/>
        </w:rPr>
        <w:t xml:space="preserve"> </w:t>
      </w:r>
      <w:r w:rsidRPr="000C46D3">
        <w:rPr>
          <w:rFonts w:ascii="Segoe UI" w:hAnsi="Segoe UI" w:cs="Segoe UI"/>
          <w:sz w:val="22"/>
          <w:szCs w:val="22"/>
        </w:rPr>
        <w:t>il loro orientamento</w:t>
      </w:r>
      <w:r w:rsidR="0016297B">
        <w:rPr>
          <w:rFonts w:ascii="Segoe UI" w:hAnsi="Segoe UI" w:cs="Segoe UI"/>
          <w:sz w:val="22"/>
          <w:szCs w:val="22"/>
        </w:rPr>
        <w:t xml:space="preserve"> </w:t>
      </w:r>
      <w:r w:rsidR="00F927F0">
        <w:rPr>
          <w:rFonts w:ascii="Segoe UI" w:hAnsi="Segoe UI" w:cs="Segoe UI"/>
          <w:sz w:val="22"/>
          <w:szCs w:val="22"/>
        </w:rPr>
        <w:t xml:space="preserve">con riguardo alla </w:t>
      </w:r>
      <w:r w:rsidR="0016297B">
        <w:rPr>
          <w:rFonts w:ascii="Segoe UI" w:hAnsi="Segoe UI" w:cs="Segoe UI"/>
          <w:sz w:val="22"/>
          <w:szCs w:val="22"/>
        </w:rPr>
        <w:t xml:space="preserve">rilevanza e </w:t>
      </w:r>
      <w:r w:rsidR="00F927F0">
        <w:rPr>
          <w:rFonts w:ascii="Segoe UI" w:hAnsi="Segoe UI" w:cs="Segoe UI"/>
          <w:sz w:val="22"/>
          <w:szCs w:val="22"/>
        </w:rPr>
        <w:t xml:space="preserve">alla determinazione della </w:t>
      </w:r>
      <w:r w:rsidR="0016297B">
        <w:rPr>
          <w:rFonts w:ascii="Segoe UI" w:hAnsi="Segoe UI" w:cs="Segoe UI"/>
          <w:sz w:val="22"/>
          <w:szCs w:val="22"/>
        </w:rPr>
        <w:t>materialità</w:t>
      </w:r>
      <w:r w:rsidR="00E63DF3">
        <w:rPr>
          <w:rFonts w:ascii="Segoe UI" w:hAnsi="Segoe UI" w:cs="Segoe UI"/>
          <w:sz w:val="22"/>
          <w:szCs w:val="22"/>
        </w:rPr>
        <w:t xml:space="preserve"> </w:t>
      </w:r>
      <w:r w:rsidR="0016297B">
        <w:rPr>
          <w:rFonts w:ascii="Segoe UI" w:hAnsi="Segoe UI" w:cs="Segoe UI"/>
          <w:sz w:val="22"/>
          <w:szCs w:val="22"/>
        </w:rPr>
        <w:t>delle informazioni</w:t>
      </w:r>
      <w:r w:rsidRPr="000C46D3">
        <w:rPr>
          <w:rFonts w:ascii="Segoe UI" w:hAnsi="Segoe UI" w:cs="Segoe UI"/>
          <w:sz w:val="22"/>
          <w:szCs w:val="22"/>
        </w:rPr>
        <w:t>.</w:t>
      </w:r>
    </w:p>
    <w:p w14:paraId="171068AE" w14:textId="2C4D3C06" w:rsidR="00B87660" w:rsidRPr="000C46D3" w:rsidRDefault="00BC2BC0" w:rsidP="00B87660">
      <w:pPr>
        <w:pStyle w:val="NormaleWeb"/>
        <w:tabs>
          <w:tab w:val="left" w:pos="567"/>
        </w:tabs>
        <w:spacing w:before="120" w:beforeAutospacing="0" w:after="120" w:afterAutospacing="0"/>
        <w:jc w:val="both"/>
        <w:rPr>
          <w:rFonts w:ascii="Segoe UI" w:hAnsi="Segoe UI" w:cs="Segoe UI"/>
          <w:sz w:val="22"/>
          <w:szCs w:val="22"/>
        </w:rPr>
      </w:pPr>
      <w:r w:rsidRPr="000C46D3">
        <w:rPr>
          <w:rFonts w:ascii="Segoe UI" w:hAnsi="Segoe UI" w:cs="Segoe UI"/>
          <w:sz w:val="22"/>
          <w:szCs w:val="22"/>
        </w:rPr>
        <w:t xml:space="preserve">Infatti, </w:t>
      </w:r>
      <w:r w:rsidR="00C67B20" w:rsidRPr="000C46D3">
        <w:rPr>
          <w:rFonts w:ascii="Segoe UI" w:hAnsi="Segoe UI" w:cs="Segoe UI"/>
          <w:sz w:val="22"/>
          <w:szCs w:val="22"/>
        </w:rPr>
        <w:t>i termini anglosassoni “</w:t>
      </w:r>
      <w:r w:rsidR="00C67B20" w:rsidRPr="000C46D3">
        <w:rPr>
          <w:rFonts w:ascii="Segoe UI" w:hAnsi="Segoe UI" w:cs="Segoe UI"/>
          <w:i/>
          <w:sz w:val="22"/>
          <w:szCs w:val="22"/>
        </w:rPr>
        <w:t>relevance</w:t>
      </w:r>
      <w:r w:rsidR="00C67B20" w:rsidRPr="000C46D3">
        <w:rPr>
          <w:rFonts w:ascii="Segoe UI" w:hAnsi="Segoe UI" w:cs="Segoe UI"/>
          <w:sz w:val="22"/>
          <w:szCs w:val="22"/>
        </w:rPr>
        <w:t>” e “</w:t>
      </w:r>
      <w:r w:rsidR="00C67B20" w:rsidRPr="000C46D3">
        <w:rPr>
          <w:rFonts w:ascii="Segoe UI" w:hAnsi="Segoe UI" w:cs="Segoe UI"/>
          <w:i/>
          <w:sz w:val="22"/>
          <w:szCs w:val="22"/>
        </w:rPr>
        <w:t>materiality</w:t>
      </w:r>
      <w:r w:rsidR="00C67B20" w:rsidRPr="000C46D3">
        <w:rPr>
          <w:rFonts w:ascii="Segoe UI" w:hAnsi="Segoe UI" w:cs="Segoe UI"/>
          <w:sz w:val="22"/>
          <w:szCs w:val="22"/>
        </w:rPr>
        <w:t>” e i termini italiani “significatività”, “rilevanza” e “materialità”, seppur apparentemente simili, sono</w:t>
      </w:r>
      <w:r w:rsidRPr="000C46D3">
        <w:rPr>
          <w:rFonts w:ascii="Segoe UI" w:hAnsi="Segoe UI" w:cs="Segoe UI"/>
          <w:sz w:val="22"/>
          <w:szCs w:val="22"/>
        </w:rPr>
        <w:t xml:space="preserve"> nella loro sostanza differenti</w:t>
      </w:r>
      <w:r w:rsidR="00C67B20" w:rsidRPr="000C46D3">
        <w:rPr>
          <w:rFonts w:ascii="Segoe UI" w:hAnsi="Segoe UI" w:cs="Segoe UI"/>
          <w:sz w:val="22"/>
          <w:szCs w:val="22"/>
        </w:rPr>
        <w:t xml:space="preserve"> e</w:t>
      </w:r>
      <w:r w:rsidRPr="000C46D3">
        <w:rPr>
          <w:rFonts w:ascii="Segoe UI" w:hAnsi="Segoe UI" w:cs="Segoe UI"/>
          <w:sz w:val="22"/>
          <w:szCs w:val="22"/>
        </w:rPr>
        <w:t>, come descritto in precedenza,</w:t>
      </w:r>
      <w:r w:rsidR="00C67B20" w:rsidRPr="000C46D3">
        <w:rPr>
          <w:rFonts w:ascii="Segoe UI" w:hAnsi="Segoe UI" w:cs="Segoe UI"/>
          <w:sz w:val="22"/>
          <w:szCs w:val="22"/>
        </w:rPr>
        <w:t xml:space="preserve"> incidono sulla </w:t>
      </w:r>
      <w:r w:rsidRPr="000C46D3">
        <w:rPr>
          <w:rFonts w:ascii="Segoe UI" w:hAnsi="Segoe UI" w:cs="Segoe UI"/>
          <w:sz w:val="22"/>
          <w:szCs w:val="22"/>
        </w:rPr>
        <w:t>varietà delle informazioni</w:t>
      </w:r>
      <w:r w:rsidR="00C67B20" w:rsidRPr="000C46D3">
        <w:rPr>
          <w:rFonts w:ascii="Segoe UI" w:hAnsi="Segoe UI" w:cs="Segoe UI"/>
          <w:sz w:val="22"/>
          <w:szCs w:val="22"/>
        </w:rPr>
        <w:t xml:space="preserve"> non finanzia</w:t>
      </w:r>
      <w:r w:rsidRPr="000C46D3">
        <w:rPr>
          <w:rFonts w:ascii="Segoe UI" w:hAnsi="Segoe UI" w:cs="Segoe UI"/>
          <w:sz w:val="22"/>
          <w:szCs w:val="22"/>
        </w:rPr>
        <w:t>ri</w:t>
      </w:r>
      <w:r w:rsidR="001D7269">
        <w:rPr>
          <w:rFonts w:ascii="Segoe UI" w:hAnsi="Segoe UI" w:cs="Segoe UI"/>
          <w:sz w:val="22"/>
          <w:szCs w:val="22"/>
        </w:rPr>
        <w:t>e</w:t>
      </w:r>
      <w:r w:rsidRPr="000C46D3">
        <w:rPr>
          <w:rFonts w:ascii="Segoe UI" w:hAnsi="Segoe UI" w:cs="Segoe UI"/>
          <w:sz w:val="22"/>
          <w:szCs w:val="22"/>
        </w:rPr>
        <w:t xml:space="preserve"> che le organizzazion</w:t>
      </w:r>
      <w:r w:rsidR="00EC079F">
        <w:rPr>
          <w:rFonts w:ascii="Segoe UI" w:hAnsi="Segoe UI" w:cs="Segoe UI"/>
          <w:sz w:val="22"/>
          <w:szCs w:val="22"/>
        </w:rPr>
        <w:t>i</w:t>
      </w:r>
      <w:r w:rsidRPr="000C46D3">
        <w:rPr>
          <w:rFonts w:ascii="Segoe UI" w:hAnsi="Segoe UI" w:cs="Segoe UI"/>
          <w:sz w:val="22"/>
          <w:szCs w:val="22"/>
        </w:rPr>
        <w:t>, in base alla recente normativa (</w:t>
      </w:r>
      <w:r w:rsidR="000C46D3">
        <w:rPr>
          <w:rFonts w:ascii="Segoe UI" w:hAnsi="Segoe UI" w:cs="Segoe UI"/>
          <w:sz w:val="22"/>
          <w:szCs w:val="22"/>
        </w:rPr>
        <w:t>d</w:t>
      </w:r>
      <w:r w:rsidRPr="000C46D3">
        <w:rPr>
          <w:rFonts w:ascii="Segoe UI" w:hAnsi="Segoe UI" w:cs="Segoe UI"/>
          <w:sz w:val="22"/>
          <w:szCs w:val="22"/>
        </w:rPr>
        <w:t>.</w:t>
      </w:r>
      <w:r w:rsidR="000C46D3">
        <w:rPr>
          <w:rFonts w:ascii="Segoe UI" w:hAnsi="Segoe UI" w:cs="Segoe UI"/>
          <w:sz w:val="22"/>
          <w:szCs w:val="22"/>
        </w:rPr>
        <w:t>l</w:t>
      </w:r>
      <w:r w:rsidRPr="000C46D3">
        <w:rPr>
          <w:rFonts w:ascii="Segoe UI" w:hAnsi="Segoe UI" w:cs="Segoe UI"/>
          <w:sz w:val="22"/>
          <w:szCs w:val="22"/>
        </w:rPr>
        <w:t xml:space="preserve">gs. </w:t>
      </w:r>
      <w:r w:rsidR="000C46D3">
        <w:rPr>
          <w:rFonts w:ascii="Segoe UI" w:hAnsi="Segoe UI" w:cs="Segoe UI"/>
          <w:sz w:val="22"/>
          <w:szCs w:val="22"/>
        </w:rPr>
        <w:t xml:space="preserve">n. </w:t>
      </w:r>
      <w:r w:rsidRPr="000C46D3">
        <w:rPr>
          <w:rFonts w:ascii="Segoe UI" w:hAnsi="Segoe UI" w:cs="Segoe UI"/>
          <w:sz w:val="22"/>
          <w:szCs w:val="22"/>
        </w:rPr>
        <w:t>254/2016),</w:t>
      </w:r>
      <w:r w:rsidR="00B231F8">
        <w:rPr>
          <w:rFonts w:ascii="Segoe UI" w:hAnsi="Segoe UI" w:cs="Segoe UI"/>
          <w:sz w:val="22"/>
          <w:szCs w:val="22"/>
        </w:rPr>
        <w:t xml:space="preserve"> </w:t>
      </w:r>
      <w:r w:rsidR="00B231F8" w:rsidRPr="000C46D3">
        <w:rPr>
          <w:rFonts w:ascii="Segoe UI" w:hAnsi="Segoe UI" w:cs="Segoe UI"/>
          <w:sz w:val="22"/>
          <w:szCs w:val="22"/>
        </w:rPr>
        <w:t>devono</w:t>
      </w:r>
      <w:r w:rsidR="00C67B20" w:rsidRPr="000C46D3">
        <w:rPr>
          <w:rFonts w:ascii="Segoe UI" w:hAnsi="Segoe UI" w:cs="Segoe UI"/>
          <w:sz w:val="22"/>
          <w:szCs w:val="22"/>
        </w:rPr>
        <w:t xml:space="preserve"> trasmettere a</w:t>
      </w:r>
      <w:r w:rsidR="00B231F8">
        <w:rPr>
          <w:rFonts w:ascii="Segoe UI" w:hAnsi="Segoe UI" w:cs="Segoe UI"/>
          <w:sz w:val="22"/>
          <w:szCs w:val="22"/>
        </w:rPr>
        <w:t xml:space="preserve">gli </w:t>
      </w:r>
      <w:r w:rsidR="00C67B20" w:rsidRPr="000C46D3">
        <w:rPr>
          <w:rFonts w:ascii="Segoe UI" w:hAnsi="Segoe UI" w:cs="Segoe UI"/>
          <w:i/>
          <w:sz w:val="22"/>
          <w:szCs w:val="22"/>
        </w:rPr>
        <w:t>stakeholder</w:t>
      </w:r>
      <w:r w:rsidRPr="000C46D3">
        <w:rPr>
          <w:rFonts w:ascii="Segoe UI" w:hAnsi="Segoe UI" w:cs="Segoe UI"/>
          <w:sz w:val="22"/>
          <w:szCs w:val="22"/>
        </w:rPr>
        <w:t xml:space="preserve"> esterni</w:t>
      </w:r>
      <w:r w:rsidR="00C67B20" w:rsidRPr="000C46D3">
        <w:rPr>
          <w:rFonts w:ascii="Segoe UI" w:hAnsi="Segoe UI" w:cs="Segoe UI"/>
          <w:sz w:val="22"/>
          <w:szCs w:val="22"/>
        </w:rPr>
        <w:t>. Tal</w:t>
      </w:r>
      <w:r w:rsidR="00EB19DD">
        <w:rPr>
          <w:rFonts w:ascii="Segoe UI" w:hAnsi="Segoe UI" w:cs="Segoe UI"/>
          <w:sz w:val="22"/>
          <w:szCs w:val="22"/>
        </w:rPr>
        <w:t xml:space="preserve">i variegate </w:t>
      </w:r>
      <w:r w:rsidR="00C67B20" w:rsidRPr="000C46D3">
        <w:rPr>
          <w:rFonts w:ascii="Segoe UI" w:hAnsi="Segoe UI" w:cs="Segoe UI"/>
          <w:sz w:val="22"/>
          <w:szCs w:val="22"/>
        </w:rPr>
        <w:t>interpretazion</w:t>
      </w:r>
      <w:r w:rsidR="00EB19DD">
        <w:rPr>
          <w:rFonts w:ascii="Segoe UI" w:hAnsi="Segoe UI" w:cs="Segoe UI"/>
          <w:sz w:val="22"/>
          <w:szCs w:val="22"/>
        </w:rPr>
        <w:t xml:space="preserve">i, </w:t>
      </w:r>
      <w:r w:rsidR="00C67B20" w:rsidRPr="000C46D3">
        <w:rPr>
          <w:rFonts w:ascii="Segoe UI" w:hAnsi="Segoe UI" w:cs="Segoe UI"/>
          <w:sz w:val="22"/>
          <w:szCs w:val="22"/>
        </w:rPr>
        <w:t>tanto nell’utilizzo dei termini quanto nella traduzion</w:t>
      </w:r>
      <w:r w:rsidRPr="000C46D3">
        <w:rPr>
          <w:rFonts w:ascii="Segoe UI" w:hAnsi="Segoe UI" w:cs="Segoe UI"/>
          <w:sz w:val="22"/>
          <w:szCs w:val="22"/>
        </w:rPr>
        <w:t xml:space="preserve">e impiegata nel corpo normativo </w:t>
      </w:r>
      <w:r w:rsidR="00C67B20" w:rsidRPr="000C46D3">
        <w:rPr>
          <w:rFonts w:ascii="Segoe UI" w:hAnsi="Segoe UI" w:cs="Segoe UI"/>
          <w:sz w:val="22"/>
          <w:szCs w:val="22"/>
        </w:rPr>
        <w:t>e nei documenti tecnic</w:t>
      </w:r>
      <w:r w:rsidRPr="000C46D3">
        <w:rPr>
          <w:rFonts w:ascii="Segoe UI" w:hAnsi="Segoe UI" w:cs="Segoe UI"/>
          <w:sz w:val="22"/>
          <w:szCs w:val="22"/>
        </w:rPr>
        <w:t>i (nazionali e internazional</w:t>
      </w:r>
      <w:r w:rsidR="001D7269">
        <w:rPr>
          <w:rFonts w:ascii="Segoe UI" w:hAnsi="Segoe UI" w:cs="Segoe UI"/>
          <w:sz w:val="22"/>
          <w:szCs w:val="22"/>
        </w:rPr>
        <w:t>i</w:t>
      </w:r>
      <w:r w:rsidRPr="000C46D3">
        <w:rPr>
          <w:rFonts w:ascii="Segoe UI" w:hAnsi="Segoe UI" w:cs="Segoe UI"/>
          <w:sz w:val="22"/>
          <w:szCs w:val="22"/>
        </w:rPr>
        <w:t>)</w:t>
      </w:r>
      <w:r w:rsidR="00EB19DD">
        <w:rPr>
          <w:rFonts w:ascii="Segoe UI" w:hAnsi="Segoe UI" w:cs="Segoe UI"/>
          <w:sz w:val="22"/>
          <w:szCs w:val="22"/>
        </w:rPr>
        <w:t>,</w:t>
      </w:r>
      <w:r w:rsidRPr="000C46D3">
        <w:rPr>
          <w:rFonts w:ascii="Segoe UI" w:hAnsi="Segoe UI" w:cs="Segoe UI"/>
          <w:sz w:val="22"/>
          <w:szCs w:val="22"/>
        </w:rPr>
        <w:t xml:space="preserve"> generano non poche</w:t>
      </w:r>
      <w:r w:rsidR="00C67B20" w:rsidRPr="000C46D3">
        <w:rPr>
          <w:rFonts w:ascii="Segoe UI" w:hAnsi="Segoe UI" w:cs="Segoe UI"/>
          <w:sz w:val="22"/>
          <w:szCs w:val="22"/>
        </w:rPr>
        <w:t xml:space="preserve"> problem</w:t>
      </w:r>
      <w:r w:rsidRPr="000C46D3">
        <w:rPr>
          <w:rFonts w:ascii="Segoe UI" w:hAnsi="Segoe UI" w:cs="Segoe UI"/>
          <w:sz w:val="22"/>
          <w:szCs w:val="22"/>
        </w:rPr>
        <w:t>atiche operative ed applicative nella selezione delle informazioni considerate rilevanti ai fini della informativa non finanziaria.</w:t>
      </w:r>
    </w:p>
    <w:p w14:paraId="35BCA422" w14:textId="10AA4EDF" w:rsidR="0019588D" w:rsidRPr="000C46D3" w:rsidRDefault="0019588D" w:rsidP="00B87660">
      <w:pPr>
        <w:pStyle w:val="NormaleWeb"/>
        <w:tabs>
          <w:tab w:val="left" w:pos="567"/>
        </w:tabs>
        <w:spacing w:before="120" w:beforeAutospacing="0" w:after="120" w:afterAutospacing="0"/>
        <w:jc w:val="both"/>
        <w:rPr>
          <w:rFonts w:ascii="Segoe UI" w:hAnsi="Segoe UI" w:cs="Segoe UI"/>
          <w:sz w:val="22"/>
          <w:szCs w:val="22"/>
        </w:rPr>
      </w:pPr>
      <w:r w:rsidRPr="000C46D3">
        <w:rPr>
          <w:rFonts w:ascii="Segoe UI" w:hAnsi="Segoe UI" w:cs="Segoe UI"/>
          <w:sz w:val="22"/>
          <w:szCs w:val="22"/>
        </w:rPr>
        <w:t>I contributi metodologici presi</w:t>
      </w:r>
      <w:r w:rsidR="0071685B">
        <w:rPr>
          <w:rFonts w:ascii="Segoe UI" w:hAnsi="Segoe UI" w:cs="Segoe UI"/>
          <w:sz w:val="22"/>
          <w:szCs w:val="22"/>
        </w:rPr>
        <w:t xml:space="preserve"> </w:t>
      </w:r>
      <w:r w:rsidRPr="000C46D3">
        <w:rPr>
          <w:rFonts w:ascii="Segoe UI" w:hAnsi="Segoe UI" w:cs="Segoe UI"/>
          <w:sz w:val="22"/>
          <w:szCs w:val="22"/>
        </w:rPr>
        <w:t xml:space="preserve">a riferimento per supportare le organizzazioni in tale tipologia di </w:t>
      </w:r>
      <w:r w:rsidRPr="000C46D3">
        <w:rPr>
          <w:rFonts w:ascii="Segoe UI" w:hAnsi="Segoe UI" w:cs="Segoe UI"/>
          <w:i/>
          <w:sz w:val="22"/>
          <w:szCs w:val="22"/>
        </w:rPr>
        <w:t>di</w:t>
      </w:r>
      <w:r w:rsidR="00885B25">
        <w:rPr>
          <w:rFonts w:ascii="Segoe UI" w:hAnsi="Segoe UI" w:cs="Segoe UI"/>
          <w:i/>
          <w:sz w:val="22"/>
          <w:szCs w:val="22"/>
        </w:rPr>
        <w:t>s</w:t>
      </w:r>
      <w:r w:rsidRPr="000C46D3">
        <w:rPr>
          <w:rFonts w:ascii="Segoe UI" w:hAnsi="Segoe UI" w:cs="Segoe UI"/>
          <w:i/>
          <w:sz w:val="22"/>
          <w:szCs w:val="22"/>
        </w:rPr>
        <w:t>closure</w:t>
      </w:r>
      <w:r w:rsidRPr="000C46D3">
        <w:rPr>
          <w:rFonts w:ascii="Segoe UI" w:hAnsi="Segoe UI" w:cs="Segoe UI"/>
          <w:sz w:val="22"/>
          <w:szCs w:val="22"/>
        </w:rPr>
        <w:t xml:space="preserve">, considerati </w:t>
      </w:r>
      <w:r w:rsidRPr="001862E2">
        <w:rPr>
          <w:rFonts w:ascii="Segoe UI" w:hAnsi="Segoe UI" w:cs="Segoe UI"/>
          <w:i/>
          <w:sz w:val="22"/>
          <w:szCs w:val="22"/>
        </w:rPr>
        <w:t>standard</w:t>
      </w:r>
      <w:r w:rsidRPr="000C46D3">
        <w:rPr>
          <w:rFonts w:ascii="Segoe UI" w:hAnsi="Segoe UI" w:cs="Segoe UI"/>
          <w:sz w:val="22"/>
          <w:szCs w:val="22"/>
        </w:rPr>
        <w:t xml:space="preserve"> riconosciuti a livello internazionale </w:t>
      </w:r>
      <w:r w:rsidR="003C25A0">
        <w:rPr>
          <w:rFonts w:ascii="Segoe UI" w:hAnsi="Segoe UI" w:cs="Segoe UI"/>
          <w:sz w:val="22"/>
          <w:szCs w:val="22"/>
        </w:rPr>
        <w:t xml:space="preserve">nell’ambito </w:t>
      </w:r>
      <w:r w:rsidR="00196714">
        <w:rPr>
          <w:rFonts w:ascii="Segoe UI" w:hAnsi="Segoe UI" w:cs="Segoe UI"/>
          <w:sz w:val="22"/>
          <w:szCs w:val="22"/>
        </w:rPr>
        <w:t xml:space="preserve">della </w:t>
      </w:r>
      <w:r w:rsidR="00196714" w:rsidRPr="00196714">
        <w:rPr>
          <w:rFonts w:ascii="Segoe UI" w:hAnsi="Segoe UI" w:cs="Segoe UI"/>
          <w:i/>
          <w:sz w:val="22"/>
          <w:szCs w:val="22"/>
        </w:rPr>
        <w:t>disclosure</w:t>
      </w:r>
      <w:r w:rsidR="00196714">
        <w:rPr>
          <w:rFonts w:ascii="Segoe UI" w:hAnsi="Segoe UI" w:cs="Segoe UI"/>
          <w:sz w:val="22"/>
          <w:szCs w:val="22"/>
        </w:rPr>
        <w:t xml:space="preserve"> </w:t>
      </w:r>
      <w:r w:rsidRPr="000C46D3">
        <w:rPr>
          <w:rFonts w:ascii="Segoe UI" w:hAnsi="Segoe UI" w:cs="Segoe UI"/>
          <w:sz w:val="22"/>
          <w:szCs w:val="22"/>
        </w:rPr>
        <w:t xml:space="preserve">dell’informativa </w:t>
      </w:r>
      <w:r w:rsidRPr="000C46D3">
        <w:rPr>
          <w:rFonts w:ascii="Segoe UI" w:hAnsi="Segoe UI" w:cs="Segoe UI"/>
          <w:i/>
          <w:sz w:val="22"/>
          <w:szCs w:val="22"/>
        </w:rPr>
        <w:t>non-financial</w:t>
      </w:r>
      <w:r w:rsidRPr="000C46D3">
        <w:rPr>
          <w:rFonts w:ascii="Segoe UI" w:hAnsi="Segoe UI" w:cs="Segoe UI"/>
          <w:sz w:val="22"/>
          <w:szCs w:val="22"/>
        </w:rPr>
        <w:t>, sono: l’</w:t>
      </w:r>
      <w:r w:rsidR="00FC4BA5">
        <w:rPr>
          <w:rFonts w:ascii="Segoe UI" w:hAnsi="Segoe UI" w:cs="Segoe UI"/>
          <w:sz w:val="22"/>
          <w:szCs w:val="22"/>
        </w:rPr>
        <w:t>I</w:t>
      </w:r>
      <w:r w:rsidRPr="000C46D3">
        <w:rPr>
          <w:rFonts w:ascii="Segoe UI" w:hAnsi="Segoe UI" w:cs="Segoe UI"/>
          <w:sz w:val="22"/>
          <w:szCs w:val="22"/>
        </w:rPr>
        <w:t xml:space="preserve">nternational Integrated Reporting (IR) Framework 1.0 dell’International Integrated Reporting Council (IIRC) e le Sustainability Reporting (SR) Guidelines della Global Reporting Initiative (GRI). Tali </w:t>
      </w:r>
      <w:r w:rsidRPr="001862E2">
        <w:rPr>
          <w:rFonts w:ascii="Segoe UI" w:hAnsi="Segoe UI" w:cs="Segoe UI"/>
          <w:i/>
          <w:sz w:val="22"/>
          <w:szCs w:val="22"/>
        </w:rPr>
        <w:t>standar</w:t>
      </w:r>
      <w:r w:rsidR="001D7269" w:rsidRPr="001862E2">
        <w:rPr>
          <w:rFonts w:ascii="Segoe UI" w:hAnsi="Segoe UI" w:cs="Segoe UI"/>
          <w:i/>
          <w:sz w:val="22"/>
          <w:szCs w:val="22"/>
        </w:rPr>
        <w:t>d</w:t>
      </w:r>
      <w:r w:rsidRPr="000C46D3">
        <w:rPr>
          <w:rFonts w:ascii="Segoe UI" w:hAnsi="Segoe UI" w:cs="Segoe UI"/>
          <w:sz w:val="22"/>
          <w:szCs w:val="22"/>
        </w:rPr>
        <w:t xml:space="preserve"> (cfr. paragraf</w:t>
      </w:r>
      <w:r w:rsidR="00CE2647">
        <w:rPr>
          <w:rFonts w:ascii="Segoe UI" w:hAnsi="Segoe UI" w:cs="Segoe UI"/>
          <w:sz w:val="22"/>
          <w:szCs w:val="22"/>
        </w:rPr>
        <w:t xml:space="preserve">i </w:t>
      </w:r>
      <w:r w:rsidR="00DF79DD">
        <w:rPr>
          <w:rFonts w:ascii="Segoe UI" w:hAnsi="Segoe UI" w:cs="Segoe UI"/>
          <w:sz w:val="22"/>
          <w:szCs w:val="22"/>
        </w:rPr>
        <w:t>6</w:t>
      </w:r>
      <w:r w:rsidR="00CE2647">
        <w:rPr>
          <w:rFonts w:ascii="Segoe UI" w:hAnsi="Segoe UI" w:cs="Segoe UI"/>
          <w:sz w:val="22"/>
          <w:szCs w:val="22"/>
        </w:rPr>
        <w:t>.1 e 6.2</w:t>
      </w:r>
      <w:r w:rsidRPr="000C46D3">
        <w:rPr>
          <w:rFonts w:ascii="Segoe UI" w:hAnsi="Segoe UI" w:cs="Segoe UI"/>
          <w:sz w:val="22"/>
          <w:szCs w:val="22"/>
        </w:rPr>
        <w:t>) sono</w:t>
      </w:r>
      <w:r w:rsidR="00DF79DD">
        <w:rPr>
          <w:rFonts w:ascii="Segoe UI" w:hAnsi="Segoe UI" w:cs="Segoe UI"/>
          <w:sz w:val="22"/>
          <w:szCs w:val="22"/>
        </w:rPr>
        <w:t xml:space="preserve"> </w:t>
      </w:r>
      <w:r w:rsidRPr="000C46D3">
        <w:rPr>
          <w:rFonts w:ascii="Segoe UI" w:hAnsi="Segoe UI" w:cs="Segoe UI"/>
          <w:sz w:val="22"/>
          <w:szCs w:val="22"/>
        </w:rPr>
        <w:t xml:space="preserve">stati sviluppati con prospettive diverse, fornendo interpretazioni e orientamenti differenti </w:t>
      </w:r>
      <w:r w:rsidR="00C741E2">
        <w:rPr>
          <w:rFonts w:ascii="Segoe UI" w:hAnsi="Segoe UI" w:cs="Segoe UI"/>
          <w:sz w:val="22"/>
          <w:szCs w:val="22"/>
        </w:rPr>
        <w:t xml:space="preserve">con riguardo </w:t>
      </w:r>
      <w:r w:rsidR="00771912" w:rsidRPr="000C46D3">
        <w:rPr>
          <w:rFonts w:ascii="Segoe UI" w:hAnsi="Segoe UI" w:cs="Segoe UI"/>
          <w:sz w:val="22"/>
          <w:szCs w:val="22"/>
        </w:rPr>
        <w:t xml:space="preserve">sia </w:t>
      </w:r>
      <w:r w:rsidR="00B162BE" w:rsidRPr="000C46D3">
        <w:rPr>
          <w:rFonts w:ascii="Segoe UI" w:hAnsi="Segoe UI" w:cs="Segoe UI"/>
          <w:sz w:val="22"/>
          <w:szCs w:val="22"/>
        </w:rPr>
        <w:t>alla definizione</w:t>
      </w:r>
      <w:r w:rsidR="00771912">
        <w:rPr>
          <w:rFonts w:ascii="Segoe UI" w:hAnsi="Segoe UI" w:cs="Segoe UI"/>
          <w:sz w:val="22"/>
          <w:szCs w:val="22"/>
        </w:rPr>
        <w:t xml:space="preserve"> sia </w:t>
      </w:r>
      <w:r w:rsidRPr="000C46D3">
        <w:rPr>
          <w:rFonts w:ascii="Segoe UI" w:hAnsi="Segoe UI" w:cs="Segoe UI"/>
          <w:sz w:val="22"/>
          <w:szCs w:val="22"/>
        </w:rPr>
        <w:t>all’applicazione operativa del principio della ma</w:t>
      </w:r>
      <w:r w:rsidR="001D7269">
        <w:rPr>
          <w:rFonts w:ascii="Segoe UI" w:hAnsi="Segoe UI" w:cs="Segoe UI"/>
          <w:sz w:val="22"/>
          <w:szCs w:val="22"/>
        </w:rPr>
        <w:t>terialità</w:t>
      </w:r>
      <w:r w:rsidRPr="000C46D3">
        <w:rPr>
          <w:rFonts w:ascii="Segoe UI" w:hAnsi="Segoe UI" w:cs="Segoe UI"/>
          <w:sz w:val="22"/>
          <w:szCs w:val="22"/>
        </w:rPr>
        <w:t xml:space="preserve">. </w:t>
      </w:r>
    </w:p>
    <w:p w14:paraId="479E5F1F" w14:textId="7F5DC029" w:rsidR="00DD3C83" w:rsidRDefault="00EA6360" w:rsidP="00B87660">
      <w:pPr>
        <w:pStyle w:val="NormaleWeb"/>
        <w:tabs>
          <w:tab w:val="left" w:pos="567"/>
        </w:tabs>
        <w:spacing w:before="120" w:beforeAutospacing="0" w:after="120" w:afterAutospacing="0"/>
        <w:jc w:val="both"/>
        <w:rPr>
          <w:rFonts w:ascii="Segoe UI" w:hAnsi="Segoe UI" w:cs="Segoe UI"/>
          <w:sz w:val="22"/>
          <w:szCs w:val="22"/>
        </w:rPr>
      </w:pPr>
      <w:r>
        <w:rPr>
          <w:rFonts w:ascii="Segoe UI" w:hAnsi="Segoe UI" w:cs="Segoe UI"/>
          <w:sz w:val="22"/>
          <w:szCs w:val="22"/>
        </w:rPr>
        <w:t xml:space="preserve">Secondo </w:t>
      </w:r>
      <w:r w:rsidR="00DD3C83" w:rsidRPr="000C46D3">
        <w:rPr>
          <w:rFonts w:ascii="Segoe UI" w:hAnsi="Segoe UI" w:cs="Segoe UI"/>
          <w:sz w:val="22"/>
          <w:szCs w:val="22"/>
        </w:rPr>
        <w:t>l’orientamento proposto dal GRI</w:t>
      </w:r>
      <w:r>
        <w:rPr>
          <w:rFonts w:ascii="Segoe UI" w:hAnsi="Segoe UI" w:cs="Segoe UI"/>
          <w:sz w:val="22"/>
          <w:szCs w:val="22"/>
        </w:rPr>
        <w:t>,</w:t>
      </w:r>
      <w:r w:rsidR="00DD3C83" w:rsidRPr="000C46D3">
        <w:rPr>
          <w:rFonts w:ascii="Segoe UI" w:hAnsi="Segoe UI" w:cs="Segoe UI"/>
          <w:sz w:val="22"/>
          <w:szCs w:val="22"/>
        </w:rPr>
        <w:t xml:space="preserve"> le informazioni contenute nei </w:t>
      </w:r>
      <w:r w:rsidR="00DD3C83" w:rsidRPr="005426E0">
        <w:rPr>
          <w:rFonts w:ascii="Segoe UI" w:hAnsi="Segoe UI" w:cs="Segoe UI"/>
          <w:i/>
          <w:sz w:val="22"/>
          <w:szCs w:val="22"/>
        </w:rPr>
        <w:t>report</w:t>
      </w:r>
      <w:r w:rsidR="00DD3C83" w:rsidRPr="000C46D3">
        <w:rPr>
          <w:rFonts w:ascii="Segoe UI" w:hAnsi="Segoe UI" w:cs="Segoe UI"/>
          <w:sz w:val="22"/>
          <w:szCs w:val="22"/>
        </w:rPr>
        <w:t xml:space="preserve"> di sostenibilità dovrebbero riferirsi ai temi e agli indicatori in grado di riflettere gli impatti significativi economici, ambientali e sociali o che potrebbero influenzare in modo sostanziale le valutazioni e le decisioni degli </w:t>
      </w:r>
      <w:r w:rsidR="00DD3C83" w:rsidRPr="000C46D3">
        <w:rPr>
          <w:rFonts w:ascii="Segoe UI" w:hAnsi="Segoe UI" w:cs="Segoe UI"/>
          <w:i/>
          <w:sz w:val="22"/>
          <w:szCs w:val="22"/>
        </w:rPr>
        <w:t>stakeholder</w:t>
      </w:r>
      <w:r w:rsidR="00DD3C83" w:rsidRPr="000C46D3">
        <w:rPr>
          <w:rFonts w:ascii="Segoe UI" w:hAnsi="Segoe UI" w:cs="Segoe UI"/>
          <w:sz w:val="22"/>
          <w:szCs w:val="22"/>
        </w:rPr>
        <w:t xml:space="preserve"> (come dettagliatamente descritto </w:t>
      </w:r>
      <w:r w:rsidR="00DD3C83" w:rsidRPr="00193942">
        <w:rPr>
          <w:rFonts w:ascii="Segoe UI" w:hAnsi="Segoe UI" w:cs="Segoe UI"/>
          <w:sz w:val="22"/>
          <w:szCs w:val="22"/>
        </w:rPr>
        <w:t>nel paragrafo</w:t>
      </w:r>
      <w:r w:rsidR="005421A0">
        <w:rPr>
          <w:rFonts w:ascii="Segoe UI" w:hAnsi="Segoe UI" w:cs="Segoe UI"/>
          <w:sz w:val="22"/>
          <w:szCs w:val="22"/>
        </w:rPr>
        <w:t xml:space="preserve"> </w:t>
      </w:r>
      <w:r w:rsidR="00DF79DD">
        <w:rPr>
          <w:rFonts w:ascii="Segoe UI" w:hAnsi="Segoe UI" w:cs="Segoe UI"/>
          <w:sz w:val="22"/>
          <w:szCs w:val="22"/>
        </w:rPr>
        <w:t>6</w:t>
      </w:r>
      <w:r w:rsidR="00DD3C83" w:rsidRPr="00193942">
        <w:rPr>
          <w:rFonts w:ascii="Segoe UI" w:hAnsi="Segoe UI" w:cs="Segoe UI"/>
          <w:sz w:val="22"/>
          <w:szCs w:val="22"/>
        </w:rPr>
        <w:t>.</w:t>
      </w:r>
      <w:r w:rsidR="00193942" w:rsidRPr="00193942">
        <w:rPr>
          <w:rFonts w:ascii="Segoe UI" w:hAnsi="Segoe UI" w:cs="Segoe UI"/>
          <w:sz w:val="22"/>
          <w:szCs w:val="22"/>
        </w:rPr>
        <w:t>1</w:t>
      </w:r>
      <w:r w:rsidR="00DD3C83" w:rsidRPr="00193942">
        <w:rPr>
          <w:rFonts w:ascii="Segoe UI" w:hAnsi="Segoe UI" w:cs="Segoe UI"/>
          <w:sz w:val="22"/>
          <w:szCs w:val="22"/>
        </w:rPr>
        <w:t>).</w:t>
      </w:r>
      <w:r w:rsidR="00DD3C83" w:rsidRPr="000C46D3">
        <w:rPr>
          <w:rFonts w:ascii="Segoe UI" w:hAnsi="Segoe UI" w:cs="Segoe UI"/>
          <w:sz w:val="22"/>
          <w:szCs w:val="22"/>
        </w:rPr>
        <w:t xml:space="preserve"> Appare evidente, dunque, che l’approccio proposto dal GRI si focalizza sull’impatto dell’</w:t>
      </w:r>
      <w:r w:rsidR="00193942">
        <w:rPr>
          <w:rFonts w:ascii="Segoe UI" w:hAnsi="Segoe UI" w:cs="Segoe UI"/>
          <w:sz w:val="22"/>
          <w:szCs w:val="22"/>
        </w:rPr>
        <w:t>”</w:t>
      </w:r>
      <w:r w:rsidR="00DD3C83" w:rsidRPr="000C46D3">
        <w:rPr>
          <w:rFonts w:ascii="Segoe UI" w:hAnsi="Segoe UI" w:cs="Segoe UI"/>
          <w:sz w:val="22"/>
          <w:szCs w:val="22"/>
        </w:rPr>
        <w:t>aspetto</w:t>
      </w:r>
      <w:r w:rsidR="00193942">
        <w:rPr>
          <w:rFonts w:ascii="Segoe UI" w:hAnsi="Segoe UI" w:cs="Segoe UI"/>
          <w:sz w:val="22"/>
          <w:szCs w:val="22"/>
        </w:rPr>
        <w:t>”</w:t>
      </w:r>
      <w:r w:rsidR="00DD3C83" w:rsidRPr="000C46D3">
        <w:rPr>
          <w:rFonts w:ascii="Segoe UI" w:hAnsi="Segoe UI" w:cs="Segoe UI"/>
          <w:sz w:val="22"/>
          <w:szCs w:val="22"/>
        </w:rPr>
        <w:t xml:space="preserve"> prendendo a riferimento l’orientamento verso gli </w:t>
      </w:r>
      <w:r w:rsidR="00DD3C83" w:rsidRPr="000C46D3">
        <w:rPr>
          <w:rFonts w:ascii="Segoe UI" w:hAnsi="Segoe UI" w:cs="Segoe UI"/>
          <w:i/>
          <w:sz w:val="22"/>
          <w:szCs w:val="22"/>
        </w:rPr>
        <w:t>stakeholder</w:t>
      </w:r>
      <w:r w:rsidR="00DD3C83" w:rsidRPr="000C46D3">
        <w:rPr>
          <w:rFonts w:ascii="Segoe UI" w:hAnsi="Segoe UI" w:cs="Segoe UI"/>
          <w:sz w:val="22"/>
          <w:szCs w:val="22"/>
        </w:rPr>
        <w:t>. Lo stesso approccio</w:t>
      </w:r>
      <w:r w:rsidR="00DF79DD">
        <w:rPr>
          <w:rFonts w:ascii="Segoe UI" w:hAnsi="Segoe UI" w:cs="Segoe UI"/>
          <w:sz w:val="22"/>
          <w:szCs w:val="22"/>
        </w:rPr>
        <w:t xml:space="preserve"> </w:t>
      </w:r>
      <w:r w:rsidR="00DD3C83" w:rsidRPr="000C46D3">
        <w:rPr>
          <w:rFonts w:ascii="Segoe UI" w:hAnsi="Segoe UI" w:cs="Segoe UI"/>
          <w:sz w:val="22"/>
          <w:szCs w:val="22"/>
        </w:rPr>
        <w:t xml:space="preserve">individua un processo composto da </w:t>
      </w:r>
      <w:r w:rsidR="00DF79DD">
        <w:rPr>
          <w:rFonts w:ascii="Segoe UI" w:hAnsi="Segoe UI" w:cs="Segoe UI"/>
          <w:sz w:val="22"/>
          <w:szCs w:val="22"/>
        </w:rPr>
        <w:t xml:space="preserve">quattro </w:t>
      </w:r>
      <w:r w:rsidR="00DD3C83" w:rsidRPr="000C46D3">
        <w:rPr>
          <w:rFonts w:ascii="Segoe UI" w:hAnsi="Segoe UI" w:cs="Segoe UI"/>
          <w:sz w:val="22"/>
          <w:szCs w:val="22"/>
        </w:rPr>
        <w:t xml:space="preserve">fasi che le organizzazioni dovrebbero implementare al fine della determinazione delle informazioni materiali nell’ambito della </w:t>
      </w:r>
      <w:r w:rsidR="00DD3C83" w:rsidRPr="000C46D3">
        <w:rPr>
          <w:rFonts w:ascii="Segoe UI" w:hAnsi="Segoe UI" w:cs="Segoe UI"/>
          <w:i/>
          <w:sz w:val="22"/>
          <w:szCs w:val="22"/>
        </w:rPr>
        <w:t>non-financial di</w:t>
      </w:r>
      <w:r w:rsidR="00DD3C83">
        <w:rPr>
          <w:rFonts w:ascii="Segoe UI" w:hAnsi="Segoe UI" w:cs="Segoe UI"/>
          <w:i/>
          <w:sz w:val="22"/>
          <w:szCs w:val="22"/>
        </w:rPr>
        <w:t>s</w:t>
      </w:r>
      <w:r w:rsidR="00DD3C83" w:rsidRPr="000C46D3">
        <w:rPr>
          <w:rFonts w:ascii="Segoe UI" w:hAnsi="Segoe UI" w:cs="Segoe UI"/>
          <w:i/>
          <w:sz w:val="22"/>
          <w:szCs w:val="22"/>
        </w:rPr>
        <w:t>closure</w:t>
      </w:r>
      <w:r w:rsidR="00DD3C83" w:rsidRPr="000C46D3">
        <w:rPr>
          <w:rFonts w:ascii="Segoe UI" w:hAnsi="Segoe UI" w:cs="Segoe UI"/>
          <w:sz w:val="22"/>
          <w:szCs w:val="22"/>
        </w:rPr>
        <w:t>.</w:t>
      </w:r>
    </w:p>
    <w:p w14:paraId="20BD58B5" w14:textId="17B888E2" w:rsidR="006D316C" w:rsidRPr="000C46D3" w:rsidRDefault="00193942" w:rsidP="00B87660">
      <w:pPr>
        <w:pStyle w:val="NormaleWeb"/>
        <w:tabs>
          <w:tab w:val="left" w:pos="567"/>
        </w:tabs>
        <w:spacing w:before="120" w:beforeAutospacing="0" w:after="120" w:afterAutospacing="0"/>
        <w:jc w:val="both"/>
        <w:rPr>
          <w:rFonts w:ascii="Segoe UI" w:hAnsi="Segoe UI" w:cs="Segoe UI"/>
          <w:sz w:val="22"/>
          <w:szCs w:val="22"/>
        </w:rPr>
      </w:pPr>
      <w:r>
        <w:rPr>
          <w:rFonts w:ascii="Segoe UI" w:hAnsi="Segoe UI" w:cs="Segoe UI"/>
          <w:sz w:val="22"/>
          <w:szCs w:val="22"/>
        </w:rPr>
        <w:t>L</w:t>
      </w:r>
      <w:r w:rsidR="00DE5AC3" w:rsidRPr="000C46D3">
        <w:rPr>
          <w:rFonts w:ascii="Segoe UI" w:hAnsi="Segoe UI" w:cs="Segoe UI"/>
          <w:sz w:val="22"/>
          <w:szCs w:val="22"/>
        </w:rPr>
        <w:t>’</w:t>
      </w:r>
      <w:r w:rsidR="006D316C" w:rsidRPr="000C46D3">
        <w:rPr>
          <w:rFonts w:ascii="Segoe UI" w:hAnsi="Segoe UI" w:cs="Segoe UI"/>
          <w:sz w:val="22"/>
          <w:szCs w:val="22"/>
        </w:rPr>
        <w:t>IIRC</w:t>
      </w:r>
      <w:r>
        <w:rPr>
          <w:rFonts w:ascii="Segoe UI" w:hAnsi="Segoe UI" w:cs="Segoe UI"/>
          <w:sz w:val="22"/>
          <w:szCs w:val="22"/>
        </w:rPr>
        <w:t>, invece,</w:t>
      </w:r>
      <w:r w:rsidR="006D316C" w:rsidRPr="000C46D3">
        <w:rPr>
          <w:rFonts w:ascii="Segoe UI" w:hAnsi="Segoe UI" w:cs="Segoe UI"/>
          <w:sz w:val="22"/>
          <w:szCs w:val="22"/>
        </w:rPr>
        <w:t xml:space="preserve"> definisce</w:t>
      </w:r>
      <w:r w:rsidR="00DE5AC3" w:rsidRPr="000C46D3">
        <w:rPr>
          <w:rFonts w:ascii="Segoe UI" w:hAnsi="Segoe UI" w:cs="Segoe UI"/>
          <w:sz w:val="22"/>
          <w:szCs w:val="22"/>
        </w:rPr>
        <w:t xml:space="preserve"> il princi</w:t>
      </w:r>
      <w:r w:rsidR="006D316C" w:rsidRPr="000C46D3">
        <w:rPr>
          <w:rFonts w:ascii="Segoe UI" w:hAnsi="Segoe UI" w:cs="Segoe UI"/>
          <w:sz w:val="22"/>
          <w:szCs w:val="22"/>
        </w:rPr>
        <w:t xml:space="preserve">pio della materialità attraverso un approccio orientato alla creazione di valore. Sulla base di tale orientamento, l’organizzazione dovrebbe fornire tutte quelle informazioni che hanno un impatto sulla creazione di valore nel breve, medio e lungo periodo. Con riferimento agli aspetti operativi per la determinazione della materialità, lo </w:t>
      </w:r>
      <w:r w:rsidR="006D316C" w:rsidRPr="001862E2">
        <w:rPr>
          <w:rFonts w:ascii="Segoe UI" w:hAnsi="Segoe UI" w:cs="Segoe UI"/>
          <w:i/>
          <w:sz w:val="22"/>
          <w:szCs w:val="22"/>
        </w:rPr>
        <w:t>standard</w:t>
      </w:r>
      <w:r w:rsidR="006D316C" w:rsidRPr="000C46D3">
        <w:rPr>
          <w:rFonts w:ascii="Segoe UI" w:hAnsi="Segoe UI" w:cs="Segoe UI"/>
          <w:sz w:val="22"/>
          <w:szCs w:val="22"/>
        </w:rPr>
        <w:t xml:space="preserve"> individua un processo composto da sei fasi che le organizzazioni dovrebbero implementare per assicurarsi di includere nel </w:t>
      </w:r>
      <w:r w:rsidR="006D316C" w:rsidRPr="00077FF0">
        <w:rPr>
          <w:rFonts w:ascii="Segoe UI" w:hAnsi="Segoe UI" w:cs="Segoe UI"/>
          <w:i/>
          <w:sz w:val="22"/>
          <w:szCs w:val="22"/>
        </w:rPr>
        <w:t>report</w:t>
      </w:r>
      <w:r w:rsidR="006D316C" w:rsidRPr="000C46D3">
        <w:rPr>
          <w:rFonts w:ascii="Segoe UI" w:hAnsi="Segoe UI" w:cs="Segoe UI"/>
          <w:sz w:val="22"/>
          <w:szCs w:val="22"/>
        </w:rPr>
        <w:t xml:space="preserve"> di sostenibilità le informazioni e gli aspetti considerati </w:t>
      </w:r>
      <w:r w:rsidR="00A476D3">
        <w:rPr>
          <w:rFonts w:ascii="Segoe UI" w:hAnsi="Segoe UI" w:cs="Segoe UI"/>
          <w:sz w:val="22"/>
          <w:szCs w:val="22"/>
        </w:rPr>
        <w:t>rilevanti e mater</w:t>
      </w:r>
      <w:r w:rsidR="001862E2">
        <w:rPr>
          <w:rFonts w:ascii="Segoe UI" w:hAnsi="Segoe UI" w:cs="Segoe UI"/>
          <w:sz w:val="22"/>
          <w:szCs w:val="22"/>
        </w:rPr>
        <w:t>i</w:t>
      </w:r>
      <w:r w:rsidR="00A476D3">
        <w:rPr>
          <w:rFonts w:ascii="Segoe UI" w:hAnsi="Segoe UI" w:cs="Segoe UI"/>
          <w:sz w:val="22"/>
          <w:szCs w:val="22"/>
        </w:rPr>
        <w:t>ali.</w:t>
      </w:r>
    </w:p>
    <w:p w14:paraId="5C12EBD4" w14:textId="27796EBE" w:rsidR="00326F79" w:rsidRPr="000C46D3" w:rsidRDefault="00086280" w:rsidP="00B87660">
      <w:pPr>
        <w:pStyle w:val="NormaleWeb"/>
        <w:tabs>
          <w:tab w:val="left" w:pos="567"/>
        </w:tabs>
        <w:spacing w:before="120" w:beforeAutospacing="0" w:after="120" w:afterAutospacing="0"/>
        <w:jc w:val="both"/>
        <w:rPr>
          <w:rFonts w:ascii="Segoe UI" w:hAnsi="Segoe UI" w:cs="Segoe UI"/>
          <w:sz w:val="22"/>
          <w:szCs w:val="22"/>
        </w:rPr>
      </w:pPr>
      <w:r w:rsidRPr="000C46D3">
        <w:rPr>
          <w:rFonts w:ascii="Segoe UI" w:hAnsi="Segoe UI" w:cs="Segoe UI"/>
          <w:sz w:val="22"/>
          <w:szCs w:val="22"/>
        </w:rPr>
        <w:t xml:space="preserve">I documenti tecnici analizzati nel presente lavoro hanno il compito di supportare le organizzazioni nella selezione delle informazioni da includere nel </w:t>
      </w:r>
      <w:r w:rsidRPr="001862E2">
        <w:rPr>
          <w:rFonts w:ascii="Segoe UI" w:hAnsi="Segoe UI" w:cs="Segoe UI"/>
          <w:i/>
          <w:sz w:val="22"/>
          <w:szCs w:val="22"/>
        </w:rPr>
        <w:t>report</w:t>
      </w:r>
      <w:r w:rsidRPr="000C46D3">
        <w:rPr>
          <w:rFonts w:ascii="Segoe UI" w:hAnsi="Segoe UI" w:cs="Segoe UI"/>
          <w:sz w:val="22"/>
          <w:szCs w:val="22"/>
        </w:rPr>
        <w:t>, con l’obiettivo di assicurare un contenuto informativo che non sia</w:t>
      </w:r>
      <w:r w:rsidR="00657826">
        <w:rPr>
          <w:rFonts w:ascii="Segoe UI" w:hAnsi="Segoe UI" w:cs="Segoe UI"/>
          <w:sz w:val="22"/>
          <w:szCs w:val="22"/>
        </w:rPr>
        <w:t xml:space="preserve"> </w:t>
      </w:r>
      <w:r w:rsidRPr="000C46D3">
        <w:rPr>
          <w:rFonts w:ascii="Segoe UI" w:hAnsi="Segoe UI" w:cs="Segoe UI"/>
          <w:sz w:val="22"/>
          <w:szCs w:val="22"/>
        </w:rPr>
        <w:t xml:space="preserve">manchevole (in termini quantitativi e qualitativi) né ridondante al punto tale da offuscare </w:t>
      </w:r>
      <w:r w:rsidR="00326F79" w:rsidRPr="000C46D3">
        <w:rPr>
          <w:rFonts w:ascii="Segoe UI" w:hAnsi="Segoe UI" w:cs="Segoe UI"/>
          <w:sz w:val="22"/>
          <w:szCs w:val="22"/>
        </w:rPr>
        <w:t>le informazioni e i temi rilevanti. Tuttavia, d</w:t>
      </w:r>
      <w:r w:rsidRPr="000C46D3">
        <w:rPr>
          <w:rFonts w:ascii="Segoe UI" w:hAnsi="Segoe UI" w:cs="Segoe UI"/>
          <w:sz w:val="22"/>
          <w:szCs w:val="22"/>
        </w:rPr>
        <w:t xml:space="preserve">a quanto esposto in precedenza, appare evidente che gli </w:t>
      </w:r>
      <w:r w:rsidRPr="001862E2">
        <w:rPr>
          <w:rFonts w:ascii="Segoe UI" w:hAnsi="Segoe UI" w:cs="Segoe UI"/>
          <w:i/>
          <w:sz w:val="22"/>
          <w:szCs w:val="22"/>
        </w:rPr>
        <w:t>standard</w:t>
      </w:r>
      <w:r w:rsidRPr="000C46D3">
        <w:rPr>
          <w:rFonts w:ascii="Segoe UI" w:hAnsi="Segoe UI" w:cs="Segoe UI"/>
          <w:sz w:val="22"/>
          <w:szCs w:val="22"/>
        </w:rPr>
        <w:t xml:space="preserve"> internazionali, presi come riferimento, tanto nella prassi professionale quanto nella pratica operativa delle organizzazioni, lasciano ancora ampi spazi alla determinazione soggettiva </w:t>
      </w:r>
      <w:r w:rsidR="00077FF0">
        <w:rPr>
          <w:rFonts w:ascii="Segoe UI" w:hAnsi="Segoe UI" w:cs="Segoe UI"/>
          <w:sz w:val="22"/>
          <w:szCs w:val="22"/>
        </w:rPr>
        <w:t xml:space="preserve">nella </w:t>
      </w:r>
      <w:r w:rsidRPr="000C46D3">
        <w:rPr>
          <w:rFonts w:ascii="Segoe UI" w:hAnsi="Segoe UI" w:cs="Segoe UI"/>
          <w:sz w:val="22"/>
          <w:szCs w:val="22"/>
        </w:rPr>
        <w:t xml:space="preserve">definizione e </w:t>
      </w:r>
      <w:r w:rsidR="00077FF0">
        <w:rPr>
          <w:rFonts w:ascii="Segoe UI" w:hAnsi="Segoe UI" w:cs="Segoe UI"/>
          <w:sz w:val="22"/>
          <w:szCs w:val="22"/>
        </w:rPr>
        <w:t>nell’</w:t>
      </w:r>
      <w:r w:rsidRPr="000C46D3">
        <w:rPr>
          <w:rFonts w:ascii="Segoe UI" w:hAnsi="Segoe UI" w:cs="Segoe UI"/>
          <w:sz w:val="22"/>
          <w:szCs w:val="22"/>
        </w:rPr>
        <w:t>applicazione del principio della materialità.</w:t>
      </w:r>
    </w:p>
    <w:p w14:paraId="7A9AAFBC" w14:textId="5C9AF38A" w:rsidR="005776CD" w:rsidRPr="000C46D3" w:rsidRDefault="00326F79" w:rsidP="000C46D3">
      <w:pPr>
        <w:pStyle w:val="NormaleWeb"/>
        <w:keepNext/>
        <w:keepLines/>
        <w:tabs>
          <w:tab w:val="left" w:pos="567"/>
        </w:tabs>
        <w:spacing w:before="120" w:beforeAutospacing="0" w:after="120" w:afterAutospacing="0"/>
        <w:jc w:val="both"/>
        <w:rPr>
          <w:rFonts w:ascii="Segoe UI" w:hAnsi="Segoe UI" w:cs="Segoe UI"/>
          <w:sz w:val="22"/>
          <w:szCs w:val="22"/>
        </w:rPr>
      </w:pPr>
      <w:r w:rsidRPr="000C46D3">
        <w:rPr>
          <w:rFonts w:ascii="Segoe UI" w:hAnsi="Segoe UI" w:cs="Segoe UI"/>
          <w:sz w:val="22"/>
          <w:szCs w:val="22"/>
        </w:rPr>
        <w:t xml:space="preserve">Tali </w:t>
      </w:r>
      <w:r w:rsidR="005776CD" w:rsidRPr="000C46D3">
        <w:rPr>
          <w:rFonts w:ascii="Segoe UI" w:hAnsi="Segoe UI" w:cs="Segoe UI"/>
          <w:sz w:val="22"/>
          <w:szCs w:val="22"/>
        </w:rPr>
        <w:t>divergenze interpretative</w:t>
      </w:r>
      <w:r w:rsidRPr="000C46D3">
        <w:rPr>
          <w:rFonts w:ascii="Segoe UI" w:hAnsi="Segoe UI" w:cs="Segoe UI"/>
          <w:sz w:val="22"/>
          <w:szCs w:val="22"/>
        </w:rPr>
        <w:t xml:space="preserve"> e gli spazi di soggettività</w:t>
      </w:r>
      <w:r w:rsidR="005776CD" w:rsidRPr="000C46D3">
        <w:rPr>
          <w:rFonts w:ascii="Segoe UI" w:hAnsi="Segoe UI" w:cs="Segoe UI"/>
          <w:sz w:val="22"/>
          <w:szCs w:val="22"/>
        </w:rPr>
        <w:t xml:space="preserve"> nella definizione e traduzione </w:t>
      </w:r>
      <w:r w:rsidR="00356BC3">
        <w:rPr>
          <w:rFonts w:ascii="Segoe UI" w:hAnsi="Segoe UI" w:cs="Segoe UI"/>
          <w:sz w:val="22"/>
          <w:szCs w:val="22"/>
        </w:rPr>
        <w:t>della</w:t>
      </w:r>
      <w:r w:rsidR="005776CD" w:rsidRPr="000C46D3">
        <w:rPr>
          <w:rFonts w:ascii="Segoe UI" w:hAnsi="Segoe UI" w:cs="Segoe UI"/>
          <w:sz w:val="22"/>
          <w:szCs w:val="22"/>
        </w:rPr>
        <w:t xml:space="preserve"> materialità, </w:t>
      </w:r>
      <w:r w:rsidRPr="000C46D3">
        <w:rPr>
          <w:rFonts w:ascii="Segoe UI" w:hAnsi="Segoe UI" w:cs="Segoe UI"/>
          <w:sz w:val="22"/>
          <w:szCs w:val="22"/>
        </w:rPr>
        <w:t xml:space="preserve">così come i </w:t>
      </w:r>
      <w:r w:rsidR="005776CD" w:rsidRPr="000C46D3">
        <w:rPr>
          <w:rFonts w:ascii="Segoe UI" w:hAnsi="Segoe UI" w:cs="Segoe UI"/>
          <w:sz w:val="22"/>
          <w:szCs w:val="22"/>
        </w:rPr>
        <w:t xml:space="preserve">diversi orientamenti degli approcci internazionali sul tema, generano </w:t>
      </w:r>
      <w:r w:rsidRPr="000C46D3">
        <w:rPr>
          <w:rFonts w:ascii="Segoe UI" w:hAnsi="Segoe UI" w:cs="Segoe UI"/>
          <w:sz w:val="22"/>
          <w:szCs w:val="22"/>
        </w:rPr>
        <w:t xml:space="preserve">problematiche nella </w:t>
      </w:r>
      <w:r w:rsidRPr="000C46D3">
        <w:rPr>
          <w:rFonts w:ascii="Segoe UI" w:hAnsi="Segoe UI" w:cs="Segoe UI"/>
          <w:i/>
          <w:sz w:val="22"/>
          <w:szCs w:val="22"/>
        </w:rPr>
        <w:t>disclosure</w:t>
      </w:r>
      <w:r w:rsidRPr="000C46D3">
        <w:rPr>
          <w:rFonts w:ascii="Segoe UI" w:hAnsi="Segoe UI" w:cs="Segoe UI"/>
          <w:sz w:val="22"/>
          <w:szCs w:val="22"/>
        </w:rPr>
        <w:t xml:space="preserve"> non finanziaria, con riferimento</w:t>
      </w:r>
      <w:r w:rsidR="008F0DD5">
        <w:rPr>
          <w:rFonts w:ascii="Segoe UI" w:hAnsi="Segoe UI" w:cs="Segoe UI"/>
          <w:sz w:val="22"/>
          <w:szCs w:val="22"/>
        </w:rPr>
        <w:t>, tra gli altri,</w:t>
      </w:r>
      <w:r w:rsidRPr="000C46D3">
        <w:rPr>
          <w:rFonts w:ascii="Segoe UI" w:hAnsi="Segoe UI" w:cs="Segoe UI"/>
          <w:sz w:val="22"/>
          <w:szCs w:val="22"/>
        </w:rPr>
        <w:t xml:space="preserve"> ai seguent</w:t>
      </w:r>
      <w:r w:rsidR="006526BE">
        <w:rPr>
          <w:rFonts w:ascii="Segoe UI" w:hAnsi="Segoe UI" w:cs="Segoe UI"/>
          <w:sz w:val="22"/>
          <w:szCs w:val="22"/>
        </w:rPr>
        <w:t>i</w:t>
      </w:r>
      <w:r w:rsidRPr="000C46D3">
        <w:rPr>
          <w:rFonts w:ascii="Segoe UI" w:hAnsi="Segoe UI" w:cs="Segoe UI"/>
          <w:sz w:val="22"/>
          <w:szCs w:val="22"/>
        </w:rPr>
        <w:t xml:space="preserve"> aspetti:</w:t>
      </w:r>
    </w:p>
    <w:p w14:paraId="35D5FD6E" w14:textId="0000A3FA" w:rsidR="005776CD" w:rsidRPr="000C46D3" w:rsidRDefault="005776CD" w:rsidP="005938C8">
      <w:pPr>
        <w:pStyle w:val="NormaleWeb"/>
        <w:numPr>
          <w:ilvl w:val="0"/>
          <w:numId w:val="27"/>
        </w:numPr>
        <w:tabs>
          <w:tab w:val="left" w:pos="567"/>
        </w:tabs>
        <w:spacing w:before="120" w:beforeAutospacing="0" w:after="120" w:afterAutospacing="0"/>
        <w:ind w:left="568" w:hanging="284"/>
        <w:contextualSpacing/>
        <w:jc w:val="both"/>
        <w:rPr>
          <w:rFonts w:ascii="Segoe UI" w:hAnsi="Segoe UI" w:cs="Segoe UI"/>
          <w:sz w:val="22"/>
          <w:szCs w:val="22"/>
        </w:rPr>
      </w:pPr>
      <w:r w:rsidRPr="000C46D3">
        <w:rPr>
          <w:rFonts w:ascii="Segoe UI" w:hAnsi="Segoe UI" w:cs="Segoe UI"/>
          <w:sz w:val="22"/>
          <w:szCs w:val="22"/>
        </w:rPr>
        <w:t>differen</w:t>
      </w:r>
      <w:r w:rsidR="00414B90">
        <w:rPr>
          <w:rFonts w:ascii="Segoe UI" w:hAnsi="Segoe UI" w:cs="Segoe UI"/>
          <w:sz w:val="22"/>
          <w:szCs w:val="22"/>
        </w:rPr>
        <w:t>ze nei</w:t>
      </w:r>
      <w:r w:rsidRPr="000C46D3">
        <w:rPr>
          <w:rFonts w:ascii="Segoe UI" w:hAnsi="Segoe UI" w:cs="Segoe UI"/>
          <w:sz w:val="22"/>
          <w:szCs w:val="22"/>
        </w:rPr>
        <w:t xml:space="preserve"> livelli </w:t>
      </w:r>
      <w:r w:rsidR="00326F79" w:rsidRPr="000C46D3">
        <w:rPr>
          <w:rFonts w:ascii="Segoe UI" w:hAnsi="Segoe UI" w:cs="Segoe UI"/>
          <w:sz w:val="22"/>
          <w:szCs w:val="22"/>
        </w:rPr>
        <w:t xml:space="preserve">di </w:t>
      </w:r>
      <w:r w:rsidR="00326F79" w:rsidRPr="000C46D3">
        <w:rPr>
          <w:rFonts w:ascii="Segoe UI" w:hAnsi="Segoe UI" w:cs="Segoe UI"/>
          <w:i/>
          <w:sz w:val="22"/>
          <w:szCs w:val="22"/>
        </w:rPr>
        <w:t>discl</w:t>
      </w:r>
      <w:r w:rsidR="00E36DDB" w:rsidRPr="000C46D3">
        <w:rPr>
          <w:rFonts w:ascii="Segoe UI" w:hAnsi="Segoe UI" w:cs="Segoe UI"/>
          <w:i/>
          <w:sz w:val="22"/>
          <w:szCs w:val="22"/>
        </w:rPr>
        <w:t>osure</w:t>
      </w:r>
      <w:r w:rsidR="00E36DDB" w:rsidRPr="000C46D3">
        <w:rPr>
          <w:rFonts w:ascii="Segoe UI" w:hAnsi="Segoe UI" w:cs="Segoe UI"/>
          <w:sz w:val="22"/>
          <w:szCs w:val="22"/>
        </w:rPr>
        <w:t xml:space="preserve"> non finanziaria per organizzazioni appartenenti agli stessi settori</w:t>
      </w:r>
      <w:r w:rsidR="008F0DD5">
        <w:rPr>
          <w:rFonts w:ascii="Segoe UI" w:hAnsi="Segoe UI" w:cs="Segoe UI"/>
          <w:sz w:val="22"/>
          <w:szCs w:val="22"/>
        </w:rPr>
        <w:t xml:space="preserve"> e/o di dimensioni comparabili</w:t>
      </w:r>
      <w:r w:rsidR="00E36DDB" w:rsidRPr="000C46D3">
        <w:rPr>
          <w:rFonts w:ascii="Segoe UI" w:hAnsi="Segoe UI" w:cs="Segoe UI"/>
          <w:sz w:val="22"/>
          <w:szCs w:val="22"/>
        </w:rPr>
        <w:t>;</w:t>
      </w:r>
    </w:p>
    <w:p w14:paraId="5B18255B" w14:textId="3EFE8244" w:rsidR="00813E3D" w:rsidRPr="000C46D3" w:rsidRDefault="00281043" w:rsidP="00733D7A">
      <w:pPr>
        <w:pStyle w:val="NormaleWeb"/>
        <w:numPr>
          <w:ilvl w:val="0"/>
          <w:numId w:val="27"/>
        </w:numPr>
        <w:tabs>
          <w:tab w:val="left" w:pos="567"/>
        </w:tabs>
        <w:spacing w:before="120" w:beforeAutospacing="0" w:after="120" w:afterAutospacing="0"/>
        <w:ind w:left="568" w:hanging="284"/>
        <w:jc w:val="both"/>
        <w:rPr>
          <w:rFonts w:ascii="Segoe UI" w:hAnsi="Segoe UI" w:cs="Segoe UI"/>
          <w:sz w:val="22"/>
          <w:szCs w:val="22"/>
        </w:rPr>
      </w:pPr>
      <w:r w:rsidRPr="000C46D3">
        <w:rPr>
          <w:rFonts w:ascii="Segoe UI" w:hAnsi="Segoe UI" w:cs="Segoe UI"/>
          <w:sz w:val="22"/>
          <w:szCs w:val="22"/>
        </w:rPr>
        <w:t>differen</w:t>
      </w:r>
      <w:r w:rsidR="00414B90">
        <w:rPr>
          <w:rFonts w:ascii="Segoe UI" w:hAnsi="Segoe UI" w:cs="Segoe UI"/>
          <w:sz w:val="22"/>
          <w:szCs w:val="22"/>
        </w:rPr>
        <w:t xml:space="preserve">ze nei </w:t>
      </w:r>
      <w:r w:rsidRPr="000C46D3">
        <w:rPr>
          <w:rFonts w:ascii="Segoe UI" w:hAnsi="Segoe UI" w:cs="Segoe UI"/>
          <w:sz w:val="22"/>
          <w:szCs w:val="22"/>
        </w:rPr>
        <w:t xml:space="preserve">livelli </w:t>
      </w:r>
      <w:r w:rsidR="00E36DDB" w:rsidRPr="000C46D3">
        <w:rPr>
          <w:rFonts w:ascii="Segoe UI" w:hAnsi="Segoe UI" w:cs="Segoe UI"/>
          <w:sz w:val="22"/>
          <w:szCs w:val="22"/>
        </w:rPr>
        <w:t xml:space="preserve">di </w:t>
      </w:r>
      <w:r w:rsidR="008F0DD5" w:rsidRPr="008F0DD5">
        <w:rPr>
          <w:rFonts w:ascii="Segoe UI" w:hAnsi="Segoe UI" w:cs="Segoe UI"/>
          <w:i/>
          <w:sz w:val="22"/>
          <w:szCs w:val="22"/>
        </w:rPr>
        <w:t>disclosure</w:t>
      </w:r>
      <w:r w:rsidR="00E36DDB" w:rsidRPr="000C46D3">
        <w:rPr>
          <w:rFonts w:ascii="Segoe UI" w:hAnsi="Segoe UI" w:cs="Segoe UI"/>
          <w:sz w:val="22"/>
          <w:szCs w:val="22"/>
        </w:rPr>
        <w:t xml:space="preserve"> per temi simili.</w:t>
      </w:r>
    </w:p>
    <w:p w14:paraId="485DF5D7" w14:textId="23A66ED9" w:rsidR="00813E3D" w:rsidRPr="000C46D3" w:rsidRDefault="00A30A8D" w:rsidP="00B87660">
      <w:pPr>
        <w:pStyle w:val="NormaleWeb"/>
        <w:tabs>
          <w:tab w:val="left" w:pos="567"/>
        </w:tabs>
        <w:spacing w:before="120" w:beforeAutospacing="0" w:after="120" w:afterAutospacing="0"/>
        <w:jc w:val="both"/>
        <w:rPr>
          <w:rFonts w:ascii="Segoe UI" w:hAnsi="Segoe UI" w:cs="Segoe UI"/>
          <w:sz w:val="22"/>
          <w:szCs w:val="22"/>
        </w:rPr>
      </w:pPr>
      <w:r w:rsidRPr="000C46D3">
        <w:rPr>
          <w:rFonts w:ascii="Segoe UI" w:hAnsi="Segoe UI" w:cs="Segoe UI"/>
          <w:sz w:val="22"/>
          <w:szCs w:val="22"/>
        </w:rPr>
        <w:t>Con riferimento al primo as</w:t>
      </w:r>
      <w:r w:rsidR="004D0F2C" w:rsidRPr="000C46D3">
        <w:rPr>
          <w:rFonts w:ascii="Segoe UI" w:hAnsi="Segoe UI" w:cs="Segoe UI"/>
          <w:sz w:val="22"/>
          <w:szCs w:val="22"/>
        </w:rPr>
        <w:t>petto, il rischio ricade in un’</w:t>
      </w:r>
      <w:r w:rsidRPr="000C46D3">
        <w:rPr>
          <w:rFonts w:ascii="Segoe UI" w:hAnsi="Segoe UI" w:cs="Segoe UI"/>
          <w:sz w:val="22"/>
          <w:szCs w:val="22"/>
        </w:rPr>
        <w:t>eccessiva soggettività nella selezione delle informazioni considerate rilevanti</w:t>
      </w:r>
      <w:r w:rsidR="004A58FB">
        <w:rPr>
          <w:rFonts w:ascii="Segoe UI" w:hAnsi="Segoe UI" w:cs="Segoe UI"/>
          <w:sz w:val="22"/>
          <w:szCs w:val="22"/>
        </w:rPr>
        <w:t xml:space="preserve"> e/o materiali</w:t>
      </w:r>
      <w:r w:rsidRPr="000C46D3">
        <w:rPr>
          <w:rFonts w:ascii="Segoe UI" w:hAnsi="Segoe UI" w:cs="Segoe UI"/>
          <w:sz w:val="22"/>
          <w:szCs w:val="22"/>
        </w:rPr>
        <w:t xml:space="preserve"> per le organizzazioni che operano all’interno degli stessi settori. Più in particolare, le diversità nella determinazione della materialità delle informazioni nell’ambito della disciplina non finanziaria potrebbe</w:t>
      </w:r>
      <w:r w:rsidR="002D0524">
        <w:rPr>
          <w:rFonts w:ascii="Segoe UI" w:hAnsi="Segoe UI" w:cs="Segoe UI"/>
          <w:sz w:val="22"/>
          <w:szCs w:val="22"/>
        </w:rPr>
        <w:t>ro</w:t>
      </w:r>
      <w:r w:rsidR="004D0F2C" w:rsidRPr="000C46D3">
        <w:rPr>
          <w:rFonts w:ascii="Segoe UI" w:hAnsi="Segoe UI" w:cs="Segoe UI"/>
          <w:sz w:val="22"/>
          <w:szCs w:val="22"/>
        </w:rPr>
        <w:t xml:space="preserve"> generare asimmetrie informative</w:t>
      </w:r>
      <w:r w:rsidRPr="000C46D3">
        <w:rPr>
          <w:rFonts w:ascii="Segoe UI" w:hAnsi="Segoe UI" w:cs="Segoe UI"/>
          <w:sz w:val="22"/>
          <w:szCs w:val="22"/>
        </w:rPr>
        <w:t xml:space="preserve"> con riferimento alla rilevanza dello stesso tema per organizzazioni operanti nello stesso settore. In altre parole, lo stesso tema può essere considerato soggettivamente rilevante</w:t>
      </w:r>
      <w:r w:rsidR="004A58FB">
        <w:rPr>
          <w:rFonts w:ascii="Segoe UI" w:hAnsi="Segoe UI" w:cs="Segoe UI"/>
          <w:sz w:val="22"/>
          <w:szCs w:val="22"/>
        </w:rPr>
        <w:t xml:space="preserve"> e/o materiale</w:t>
      </w:r>
      <w:r w:rsidRPr="000C46D3">
        <w:rPr>
          <w:rFonts w:ascii="Segoe UI" w:hAnsi="Segoe UI" w:cs="Segoe UI"/>
          <w:sz w:val="22"/>
          <w:szCs w:val="22"/>
        </w:rPr>
        <w:t xml:space="preserve"> per alcune organizzazioni e non rilevante</w:t>
      </w:r>
      <w:r w:rsidR="004A58FB">
        <w:rPr>
          <w:rFonts w:ascii="Segoe UI" w:hAnsi="Segoe UI" w:cs="Segoe UI"/>
          <w:sz w:val="22"/>
          <w:szCs w:val="22"/>
        </w:rPr>
        <w:t xml:space="preserve"> e/o materiale</w:t>
      </w:r>
      <w:r w:rsidRPr="000C46D3">
        <w:rPr>
          <w:rFonts w:ascii="Segoe UI" w:hAnsi="Segoe UI" w:cs="Segoe UI"/>
          <w:sz w:val="22"/>
          <w:szCs w:val="22"/>
        </w:rPr>
        <w:t xml:space="preserve"> per altre, seppur operanti nello stesso settore.</w:t>
      </w:r>
    </w:p>
    <w:p w14:paraId="7231F829" w14:textId="559EFFD7" w:rsidR="008D5ED2" w:rsidRPr="000C46D3" w:rsidRDefault="00A30A8D" w:rsidP="00B87660">
      <w:pPr>
        <w:pStyle w:val="NormaleWeb"/>
        <w:tabs>
          <w:tab w:val="left" w:pos="567"/>
        </w:tabs>
        <w:spacing w:before="120" w:beforeAutospacing="0" w:after="120" w:afterAutospacing="0"/>
        <w:jc w:val="both"/>
        <w:rPr>
          <w:rFonts w:ascii="Segoe UI" w:hAnsi="Segoe UI" w:cs="Segoe UI"/>
          <w:sz w:val="22"/>
          <w:szCs w:val="22"/>
        </w:rPr>
      </w:pPr>
      <w:r w:rsidRPr="000C46D3">
        <w:rPr>
          <w:rFonts w:ascii="Segoe UI" w:hAnsi="Segoe UI" w:cs="Segoe UI"/>
          <w:sz w:val="22"/>
          <w:szCs w:val="22"/>
        </w:rPr>
        <w:t xml:space="preserve">Il secondo aspetto, invece, si riferisce maggiormente all’intensità dell’impatto economico, sociale e ambientale delle informazioni e dei temi per i quali si </w:t>
      </w:r>
      <w:r w:rsidR="004D0F2C" w:rsidRPr="000C46D3">
        <w:rPr>
          <w:rFonts w:ascii="Segoe UI" w:hAnsi="Segoe UI" w:cs="Segoe UI"/>
          <w:sz w:val="22"/>
          <w:szCs w:val="22"/>
        </w:rPr>
        <w:t xml:space="preserve">potrebbero </w:t>
      </w:r>
      <w:r w:rsidR="001C51A0">
        <w:rPr>
          <w:rFonts w:ascii="Segoe UI" w:hAnsi="Segoe UI" w:cs="Segoe UI"/>
          <w:sz w:val="22"/>
          <w:szCs w:val="22"/>
        </w:rPr>
        <w:t xml:space="preserve">generare </w:t>
      </w:r>
      <w:r w:rsidR="004D0F2C" w:rsidRPr="000C46D3">
        <w:rPr>
          <w:rFonts w:ascii="Segoe UI" w:hAnsi="Segoe UI" w:cs="Segoe UI"/>
          <w:sz w:val="22"/>
          <w:szCs w:val="22"/>
        </w:rPr>
        <w:t>diversi livelli</w:t>
      </w:r>
      <w:r w:rsidRPr="000C46D3">
        <w:rPr>
          <w:rFonts w:ascii="Segoe UI" w:hAnsi="Segoe UI" w:cs="Segoe UI"/>
          <w:sz w:val="22"/>
          <w:szCs w:val="22"/>
        </w:rPr>
        <w:t xml:space="preserve"> di </w:t>
      </w:r>
      <w:r w:rsidRPr="000C46D3">
        <w:rPr>
          <w:rFonts w:ascii="Segoe UI" w:hAnsi="Segoe UI" w:cs="Segoe UI"/>
          <w:i/>
          <w:sz w:val="22"/>
          <w:szCs w:val="22"/>
        </w:rPr>
        <w:t>disclosure</w:t>
      </w:r>
      <w:r w:rsidR="00DA0E4A" w:rsidRPr="000C46D3">
        <w:rPr>
          <w:rFonts w:ascii="Segoe UI" w:hAnsi="Segoe UI" w:cs="Segoe UI"/>
          <w:sz w:val="22"/>
          <w:szCs w:val="22"/>
        </w:rPr>
        <w:t>. Ad esempio, tra</w:t>
      </w:r>
      <w:r w:rsidRPr="000C46D3">
        <w:rPr>
          <w:rFonts w:ascii="Segoe UI" w:hAnsi="Segoe UI" w:cs="Segoe UI"/>
          <w:sz w:val="22"/>
          <w:szCs w:val="22"/>
        </w:rPr>
        <w:t xml:space="preserve"> i temi ambientali considerati rilevanti per le organizzazioni industriali, vi è sicuramente l’impatto delle emissioni di CO</w:t>
      </w:r>
      <w:r w:rsidRPr="00A05DE4">
        <w:rPr>
          <w:rFonts w:ascii="Segoe UI" w:hAnsi="Segoe UI" w:cs="Segoe UI"/>
          <w:sz w:val="22"/>
          <w:szCs w:val="22"/>
          <w:vertAlign w:val="subscript"/>
        </w:rPr>
        <w:t>2</w:t>
      </w:r>
      <w:r w:rsidRPr="000C46D3">
        <w:rPr>
          <w:rFonts w:ascii="Segoe UI" w:hAnsi="Segoe UI" w:cs="Segoe UI"/>
          <w:sz w:val="22"/>
          <w:szCs w:val="22"/>
        </w:rPr>
        <w:t xml:space="preserve">. </w:t>
      </w:r>
      <w:r w:rsidR="007F75D8" w:rsidRPr="000C46D3">
        <w:rPr>
          <w:rFonts w:ascii="Segoe UI" w:hAnsi="Segoe UI" w:cs="Segoe UI"/>
          <w:sz w:val="22"/>
          <w:szCs w:val="22"/>
        </w:rPr>
        <w:t>In tale</w:t>
      </w:r>
      <w:r w:rsidRPr="000C46D3">
        <w:rPr>
          <w:rFonts w:ascii="Segoe UI" w:hAnsi="Segoe UI" w:cs="Segoe UI"/>
          <w:sz w:val="22"/>
          <w:szCs w:val="22"/>
        </w:rPr>
        <w:t xml:space="preserve"> contesto, le organizzazioni che operano nello stesso settore</w:t>
      </w:r>
      <w:r w:rsidR="00B87CE7">
        <w:rPr>
          <w:rFonts w:ascii="Segoe UI" w:hAnsi="Segoe UI" w:cs="Segoe UI"/>
          <w:sz w:val="22"/>
          <w:szCs w:val="22"/>
        </w:rPr>
        <w:t xml:space="preserve"> </w:t>
      </w:r>
      <w:r w:rsidRPr="000C46D3">
        <w:rPr>
          <w:rFonts w:ascii="Segoe UI" w:hAnsi="Segoe UI" w:cs="Segoe UI"/>
          <w:sz w:val="22"/>
          <w:szCs w:val="22"/>
        </w:rPr>
        <w:t>potrebbero restituire un</w:t>
      </w:r>
      <w:r w:rsidR="00733D7A">
        <w:rPr>
          <w:rFonts w:ascii="Segoe UI" w:hAnsi="Segoe UI" w:cs="Segoe UI"/>
          <w:sz w:val="22"/>
          <w:szCs w:val="22"/>
        </w:rPr>
        <w:t>’</w:t>
      </w:r>
      <w:r w:rsidRPr="000C46D3">
        <w:rPr>
          <w:rFonts w:ascii="Segoe UI" w:hAnsi="Segoe UI" w:cs="Segoe UI"/>
          <w:sz w:val="22"/>
          <w:szCs w:val="22"/>
        </w:rPr>
        <w:t>informativa non</w:t>
      </w:r>
      <w:r w:rsidR="004559FB">
        <w:rPr>
          <w:rFonts w:ascii="Segoe UI" w:hAnsi="Segoe UI" w:cs="Segoe UI"/>
          <w:sz w:val="22"/>
          <w:szCs w:val="22"/>
        </w:rPr>
        <w:t xml:space="preserve"> </w:t>
      </w:r>
      <w:r w:rsidRPr="000C46D3">
        <w:rPr>
          <w:rFonts w:ascii="Segoe UI" w:hAnsi="Segoe UI" w:cs="Segoe UI"/>
          <w:sz w:val="22"/>
          <w:szCs w:val="22"/>
        </w:rPr>
        <w:t xml:space="preserve">finanziaria caratterizzata da diversi livelli di dettaglio. Alcune organizzazioni, infatti, misurano </w:t>
      </w:r>
      <w:r w:rsidR="00CE7FBF" w:rsidRPr="000C46D3">
        <w:rPr>
          <w:rFonts w:ascii="Segoe UI" w:hAnsi="Segoe UI" w:cs="Segoe UI"/>
          <w:sz w:val="22"/>
          <w:szCs w:val="22"/>
        </w:rPr>
        <w:t>le emissioni di CO</w:t>
      </w:r>
      <w:r w:rsidR="00CE7FBF" w:rsidRPr="00A05DE4">
        <w:rPr>
          <w:rFonts w:ascii="Segoe UI" w:hAnsi="Segoe UI" w:cs="Segoe UI"/>
          <w:sz w:val="22"/>
          <w:szCs w:val="22"/>
          <w:vertAlign w:val="subscript"/>
        </w:rPr>
        <w:t>2</w:t>
      </w:r>
      <w:r w:rsidR="00CE7FBF">
        <w:rPr>
          <w:rFonts w:ascii="Segoe UI" w:hAnsi="Segoe UI" w:cs="Segoe UI"/>
          <w:sz w:val="22"/>
          <w:szCs w:val="22"/>
        </w:rPr>
        <w:t xml:space="preserve"> </w:t>
      </w:r>
      <w:r w:rsidRPr="000C46D3">
        <w:rPr>
          <w:rFonts w:ascii="Segoe UI" w:hAnsi="Segoe UI" w:cs="Segoe UI"/>
          <w:sz w:val="22"/>
          <w:szCs w:val="22"/>
        </w:rPr>
        <w:t>in tonnellate</w:t>
      </w:r>
      <w:r w:rsidR="000B3EF7" w:rsidRPr="000C46D3">
        <w:rPr>
          <w:rFonts w:ascii="Segoe UI" w:hAnsi="Segoe UI" w:cs="Segoe UI"/>
          <w:sz w:val="22"/>
          <w:szCs w:val="22"/>
        </w:rPr>
        <w:t>, altre si limitano a descrive aggettivando l’impatto delle emissioni nel contesto ambientale (</w:t>
      </w:r>
      <w:r w:rsidR="004D3FF2">
        <w:rPr>
          <w:rFonts w:ascii="Segoe UI" w:hAnsi="Segoe UI" w:cs="Segoe UI"/>
          <w:sz w:val="22"/>
          <w:szCs w:val="22"/>
        </w:rPr>
        <w:t>come</w:t>
      </w:r>
      <w:r w:rsidR="00CE7FBF">
        <w:rPr>
          <w:rFonts w:ascii="Segoe UI" w:hAnsi="Segoe UI" w:cs="Segoe UI"/>
          <w:sz w:val="22"/>
          <w:szCs w:val="22"/>
        </w:rPr>
        <w:t>,</w:t>
      </w:r>
      <w:r w:rsidR="004D3FF2">
        <w:rPr>
          <w:rFonts w:ascii="Segoe UI" w:hAnsi="Segoe UI" w:cs="Segoe UI"/>
          <w:sz w:val="22"/>
          <w:szCs w:val="22"/>
        </w:rPr>
        <w:t xml:space="preserve"> ad </w:t>
      </w:r>
      <w:r w:rsidR="000B3EF7" w:rsidRPr="000C46D3">
        <w:rPr>
          <w:rFonts w:ascii="Segoe UI" w:hAnsi="Segoe UI" w:cs="Segoe UI"/>
          <w:sz w:val="22"/>
          <w:szCs w:val="22"/>
        </w:rPr>
        <w:t>esempio</w:t>
      </w:r>
      <w:r w:rsidR="00CE7FBF">
        <w:rPr>
          <w:rFonts w:ascii="Segoe UI" w:hAnsi="Segoe UI" w:cs="Segoe UI"/>
          <w:sz w:val="22"/>
          <w:szCs w:val="22"/>
        </w:rPr>
        <w:t>,</w:t>
      </w:r>
      <w:r w:rsidR="000B3EF7" w:rsidRPr="000C46D3">
        <w:rPr>
          <w:rFonts w:ascii="Segoe UI" w:hAnsi="Segoe UI" w:cs="Segoe UI"/>
          <w:sz w:val="22"/>
          <w:szCs w:val="22"/>
        </w:rPr>
        <w:t xml:space="preserve"> “ridotto impatto ambientale”), senza fornire una misura puntuale.</w:t>
      </w:r>
    </w:p>
    <w:p w14:paraId="238FD0B5" w14:textId="3C37F3FB" w:rsidR="00F42D72" w:rsidRDefault="008D5ED2" w:rsidP="00C55C48">
      <w:pPr>
        <w:pStyle w:val="NormaleWeb"/>
        <w:tabs>
          <w:tab w:val="left" w:pos="567"/>
        </w:tabs>
        <w:spacing w:before="120" w:beforeAutospacing="0" w:after="120" w:afterAutospacing="0"/>
        <w:jc w:val="both"/>
        <w:rPr>
          <w:rFonts w:ascii="Segoe UI" w:hAnsi="Segoe UI" w:cs="Segoe UI"/>
          <w:sz w:val="22"/>
          <w:szCs w:val="22"/>
        </w:rPr>
      </w:pPr>
      <w:r w:rsidRPr="000C46D3">
        <w:rPr>
          <w:rFonts w:ascii="Segoe UI" w:hAnsi="Segoe UI" w:cs="Segoe UI"/>
          <w:sz w:val="22"/>
          <w:szCs w:val="22"/>
        </w:rPr>
        <w:t xml:space="preserve">Tali problematiche interpretative ed applicative, unite all’elevata soggettività che, ad oggi, caratterizza il principio della materialità, </w:t>
      </w:r>
      <w:r w:rsidR="00C55C48">
        <w:rPr>
          <w:rFonts w:ascii="Segoe UI" w:hAnsi="Segoe UI" w:cs="Segoe UI"/>
          <w:sz w:val="22"/>
          <w:szCs w:val="22"/>
        </w:rPr>
        <w:t xml:space="preserve">possono </w:t>
      </w:r>
      <w:r w:rsidRPr="000C46D3">
        <w:rPr>
          <w:rFonts w:ascii="Segoe UI" w:hAnsi="Segoe UI" w:cs="Segoe UI"/>
          <w:sz w:val="22"/>
          <w:szCs w:val="22"/>
        </w:rPr>
        <w:t>ren</w:t>
      </w:r>
      <w:r w:rsidR="000B3EF7" w:rsidRPr="000C46D3">
        <w:rPr>
          <w:rFonts w:ascii="Segoe UI" w:hAnsi="Segoe UI" w:cs="Segoe UI"/>
          <w:sz w:val="22"/>
          <w:szCs w:val="22"/>
        </w:rPr>
        <w:t>d</w:t>
      </w:r>
      <w:r w:rsidR="00C55C48">
        <w:rPr>
          <w:rFonts w:ascii="Segoe UI" w:hAnsi="Segoe UI" w:cs="Segoe UI"/>
          <w:sz w:val="22"/>
          <w:szCs w:val="22"/>
        </w:rPr>
        <w:t>ere</w:t>
      </w:r>
      <w:r w:rsidR="000B3EF7" w:rsidRPr="000C46D3">
        <w:rPr>
          <w:rFonts w:ascii="Segoe UI" w:hAnsi="Segoe UI" w:cs="Segoe UI"/>
          <w:sz w:val="22"/>
          <w:szCs w:val="22"/>
        </w:rPr>
        <w:t xml:space="preserve"> asimmetrica la </w:t>
      </w:r>
      <w:r w:rsidR="000B3EF7" w:rsidRPr="000C46D3">
        <w:rPr>
          <w:rFonts w:ascii="Segoe UI" w:hAnsi="Segoe UI" w:cs="Segoe UI"/>
          <w:i/>
          <w:sz w:val="22"/>
          <w:szCs w:val="22"/>
        </w:rPr>
        <w:t>disclosure</w:t>
      </w:r>
      <w:r w:rsidR="000B3EF7" w:rsidRPr="000C46D3">
        <w:rPr>
          <w:rFonts w:ascii="Segoe UI" w:hAnsi="Segoe UI" w:cs="Segoe UI"/>
          <w:sz w:val="22"/>
          <w:szCs w:val="22"/>
        </w:rPr>
        <w:t xml:space="preserve"> non</w:t>
      </w:r>
      <w:r w:rsidR="006C6B90">
        <w:rPr>
          <w:rFonts w:ascii="Segoe UI" w:hAnsi="Segoe UI" w:cs="Segoe UI"/>
          <w:sz w:val="22"/>
          <w:szCs w:val="22"/>
        </w:rPr>
        <w:t xml:space="preserve"> </w:t>
      </w:r>
      <w:r w:rsidR="000B3EF7" w:rsidRPr="000C46D3">
        <w:rPr>
          <w:rFonts w:ascii="Segoe UI" w:hAnsi="Segoe UI" w:cs="Segoe UI"/>
          <w:sz w:val="22"/>
          <w:szCs w:val="22"/>
        </w:rPr>
        <w:t>finanziaria</w:t>
      </w:r>
      <w:r w:rsidRPr="000C46D3">
        <w:rPr>
          <w:rFonts w:ascii="Segoe UI" w:hAnsi="Segoe UI" w:cs="Segoe UI"/>
          <w:sz w:val="22"/>
          <w:szCs w:val="22"/>
        </w:rPr>
        <w:t>, obbligatoriamente</w:t>
      </w:r>
      <w:r w:rsidR="000B3EF7" w:rsidRPr="000C46D3">
        <w:rPr>
          <w:rFonts w:ascii="Segoe UI" w:hAnsi="Segoe UI" w:cs="Segoe UI"/>
          <w:sz w:val="22"/>
          <w:szCs w:val="22"/>
        </w:rPr>
        <w:t xml:space="preserve"> prevista</w:t>
      </w:r>
      <w:r w:rsidRPr="000C46D3">
        <w:rPr>
          <w:rFonts w:ascii="Segoe UI" w:hAnsi="Segoe UI" w:cs="Segoe UI"/>
          <w:sz w:val="22"/>
          <w:szCs w:val="22"/>
        </w:rPr>
        <w:t xml:space="preserve"> a seguito</w:t>
      </w:r>
      <w:r w:rsidR="000B3EF7" w:rsidRPr="000C46D3">
        <w:rPr>
          <w:rFonts w:ascii="Segoe UI" w:hAnsi="Segoe UI" w:cs="Segoe UI"/>
          <w:sz w:val="22"/>
          <w:szCs w:val="22"/>
        </w:rPr>
        <w:t xml:space="preserve"> dell’introduzione</w:t>
      </w:r>
      <w:r w:rsidRPr="000C46D3">
        <w:rPr>
          <w:rFonts w:ascii="Segoe UI" w:hAnsi="Segoe UI" w:cs="Segoe UI"/>
          <w:sz w:val="22"/>
          <w:szCs w:val="22"/>
        </w:rPr>
        <w:t xml:space="preserve"> del </w:t>
      </w:r>
      <w:r w:rsidR="00885B25">
        <w:rPr>
          <w:rFonts w:ascii="Segoe UI" w:hAnsi="Segoe UI" w:cs="Segoe UI"/>
          <w:sz w:val="22"/>
          <w:szCs w:val="22"/>
        </w:rPr>
        <w:t>d</w:t>
      </w:r>
      <w:r w:rsidRPr="000C46D3">
        <w:rPr>
          <w:rFonts w:ascii="Segoe UI" w:hAnsi="Segoe UI" w:cs="Segoe UI"/>
          <w:sz w:val="22"/>
          <w:szCs w:val="22"/>
        </w:rPr>
        <w:t>.</w:t>
      </w:r>
      <w:r w:rsidR="00885B25">
        <w:rPr>
          <w:rFonts w:ascii="Segoe UI" w:hAnsi="Segoe UI" w:cs="Segoe UI"/>
          <w:sz w:val="22"/>
          <w:szCs w:val="22"/>
        </w:rPr>
        <w:t>l</w:t>
      </w:r>
      <w:r w:rsidRPr="000C46D3">
        <w:rPr>
          <w:rFonts w:ascii="Segoe UI" w:hAnsi="Segoe UI" w:cs="Segoe UI"/>
          <w:sz w:val="22"/>
          <w:szCs w:val="22"/>
        </w:rPr>
        <w:t xml:space="preserve">gs. </w:t>
      </w:r>
      <w:r w:rsidR="00885B25">
        <w:rPr>
          <w:rFonts w:ascii="Segoe UI" w:hAnsi="Segoe UI" w:cs="Segoe UI"/>
          <w:sz w:val="22"/>
          <w:szCs w:val="22"/>
        </w:rPr>
        <w:t xml:space="preserve">n. </w:t>
      </w:r>
      <w:r w:rsidRPr="000C46D3">
        <w:rPr>
          <w:rFonts w:ascii="Segoe UI" w:hAnsi="Segoe UI" w:cs="Segoe UI"/>
          <w:sz w:val="22"/>
          <w:szCs w:val="22"/>
        </w:rPr>
        <w:t xml:space="preserve">254/2016 per tutti gli enti di interesso pubblico </w:t>
      </w:r>
      <w:r w:rsidR="00350250" w:rsidRPr="000C46D3">
        <w:rPr>
          <w:rFonts w:ascii="Segoe UI" w:hAnsi="Segoe UI" w:cs="Segoe UI"/>
          <w:sz w:val="22"/>
          <w:szCs w:val="22"/>
        </w:rPr>
        <w:t xml:space="preserve">e per </w:t>
      </w:r>
      <w:r w:rsidR="000B3EF7" w:rsidRPr="000C46D3">
        <w:rPr>
          <w:rFonts w:ascii="Segoe UI" w:hAnsi="Segoe UI" w:cs="Segoe UI"/>
          <w:sz w:val="22"/>
          <w:szCs w:val="22"/>
        </w:rPr>
        <w:t>i gruppi di grandi dimensioni</w:t>
      </w:r>
      <w:r w:rsidR="008A029A">
        <w:rPr>
          <w:rFonts w:ascii="Segoe UI" w:hAnsi="Segoe UI" w:cs="Segoe UI"/>
          <w:sz w:val="22"/>
          <w:szCs w:val="22"/>
        </w:rPr>
        <w:t xml:space="preserve"> (</w:t>
      </w:r>
      <w:r w:rsidR="008A029A" w:rsidRPr="000C46D3">
        <w:rPr>
          <w:rFonts w:ascii="Segoe UI" w:hAnsi="Segoe UI" w:cs="Segoe UI"/>
          <w:sz w:val="22"/>
          <w:szCs w:val="22"/>
        </w:rPr>
        <w:t>cfr. paragrafo 1)</w:t>
      </w:r>
      <w:r w:rsidR="000B3EF7" w:rsidRPr="000C46D3">
        <w:rPr>
          <w:rFonts w:ascii="Segoe UI" w:hAnsi="Segoe UI" w:cs="Segoe UI"/>
          <w:sz w:val="22"/>
          <w:szCs w:val="22"/>
        </w:rPr>
        <w:t>, generando, di conseguenza, non poche di</w:t>
      </w:r>
      <w:r w:rsidR="000D36CF" w:rsidRPr="000C46D3">
        <w:rPr>
          <w:rFonts w:ascii="Segoe UI" w:hAnsi="Segoe UI" w:cs="Segoe UI"/>
          <w:sz w:val="22"/>
          <w:szCs w:val="22"/>
        </w:rPr>
        <w:t>fficoltà anche con riferimento al controllo di conformità</w:t>
      </w:r>
      <w:r w:rsidR="00657F4A">
        <w:rPr>
          <w:rFonts w:ascii="Segoe UI" w:hAnsi="Segoe UI" w:cs="Segoe UI"/>
          <w:sz w:val="22"/>
          <w:szCs w:val="22"/>
        </w:rPr>
        <w:t xml:space="preserve"> (ed eventuale asseverazione di parte terza indipendente)</w:t>
      </w:r>
      <w:r w:rsidR="000B3EF7" w:rsidRPr="000C46D3">
        <w:rPr>
          <w:rFonts w:ascii="Segoe UI" w:hAnsi="Segoe UI" w:cs="Segoe UI"/>
          <w:sz w:val="22"/>
          <w:szCs w:val="22"/>
        </w:rPr>
        <w:t xml:space="preserve"> dell’informativa non finanziaria.</w:t>
      </w:r>
    </w:p>
    <w:p w14:paraId="6BA47867" w14:textId="05243290" w:rsidR="00C55C48" w:rsidRPr="00344DC4" w:rsidRDefault="00C55C48" w:rsidP="00C55C48">
      <w:pPr>
        <w:pStyle w:val="NormaleWeb"/>
        <w:tabs>
          <w:tab w:val="left" w:pos="567"/>
        </w:tabs>
        <w:spacing w:before="120" w:beforeAutospacing="0" w:after="120" w:afterAutospacing="0"/>
        <w:jc w:val="both"/>
        <w:rPr>
          <w:rFonts w:ascii="Segoe UI" w:hAnsi="Segoe UI" w:cs="Segoe UI"/>
          <w:sz w:val="22"/>
          <w:szCs w:val="22"/>
        </w:rPr>
      </w:pPr>
      <w:r w:rsidRPr="00344DC4">
        <w:rPr>
          <w:rFonts w:ascii="Segoe UI" w:hAnsi="Segoe UI" w:cs="Segoe UI"/>
          <w:sz w:val="22"/>
          <w:szCs w:val="22"/>
        </w:rPr>
        <w:t>Al fine di individuare un percorso teso alla soluzione dell</w:t>
      </w:r>
      <w:r w:rsidR="00F42D72">
        <w:rPr>
          <w:rFonts w:ascii="Segoe UI" w:hAnsi="Segoe UI" w:cs="Segoe UI"/>
          <w:sz w:val="22"/>
          <w:szCs w:val="22"/>
        </w:rPr>
        <w:t xml:space="preserve">e </w:t>
      </w:r>
      <w:r w:rsidRPr="00344DC4">
        <w:rPr>
          <w:rFonts w:ascii="Segoe UI" w:hAnsi="Segoe UI" w:cs="Segoe UI"/>
          <w:sz w:val="22"/>
          <w:szCs w:val="22"/>
        </w:rPr>
        <w:t>problematic</w:t>
      </w:r>
      <w:r w:rsidR="00F42D72">
        <w:rPr>
          <w:rFonts w:ascii="Segoe UI" w:hAnsi="Segoe UI" w:cs="Segoe UI"/>
          <w:sz w:val="22"/>
          <w:szCs w:val="22"/>
        </w:rPr>
        <w:t xml:space="preserve">he connesse alla </w:t>
      </w:r>
      <w:r w:rsidRPr="00344DC4">
        <w:rPr>
          <w:rFonts w:ascii="Segoe UI" w:hAnsi="Segoe UI" w:cs="Segoe UI"/>
          <w:sz w:val="22"/>
          <w:szCs w:val="22"/>
        </w:rPr>
        <w:t>potenziale difformità interpretativa, non sembra si possa prescindere da un primo passo costituito dalla condivisione, da parte degli operatori, di una terminologia comune tramite la quale identificare ciascun concetto, circostanza e/o qualità di un evento (inerente alla rilevanza) con un termine specifico e definito.</w:t>
      </w:r>
    </w:p>
    <w:p w14:paraId="1FAC03F3" w14:textId="78BE93C2" w:rsidR="00C55C48" w:rsidRPr="00344DC4" w:rsidRDefault="00C55C48" w:rsidP="00C55C48">
      <w:pPr>
        <w:pStyle w:val="NormaleWeb"/>
        <w:tabs>
          <w:tab w:val="left" w:pos="567"/>
        </w:tabs>
        <w:spacing w:before="120" w:beforeAutospacing="0" w:after="120" w:afterAutospacing="0"/>
        <w:jc w:val="both"/>
        <w:rPr>
          <w:rFonts w:ascii="Segoe UI" w:hAnsi="Segoe UI" w:cs="Segoe UI"/>
          <w:sz w:val="22"/>
          <w:szCs w:val="22"/>
        </w:rPr>
      </w:pPr>
      <w:r w:rsidRPr="00344DC4">
        <w:rPr>
          <w:rFonts w:ascii="Segoe UI" w:hAnsi="Segoe UI" w:cs="Segoe UI"/>
          <w:sz w:val="22"/>
          <w:szCs w:val="22"/>
        </w:rPr>
        <w:t>Dall’esegesi lessicale illustrata nella prima parte del documento, in effetti, nasce la convinzione dell’opportunità di concentrare l’attenzione su alcuni specifici termini, la cui definizione possa essere idonea a identificare (in qualche misura) univocamente 5 condizioni/circostanze rilevate nei vari provvedimenti normativi e documenti tecnici con riferimento ai temi, agli aspetti e alle informazioni</w:t>
      </w:r>
      <w:r w:rsidR="00874C28">
        <w:rPr>
          <w:rFonts w:ascii="Segoe UI" w:hAnsi="Segoe UI" w:cs="Segoe UI"/>
          <w:sz w:val="22"/>
          <w:szCs w:val="22"/>
        </w:rPr>
        <w:t xml:space="preserve">; </w:t>
      </w:r>
      <w:r w:rsidR="00CA3B61">
        <w:rPr>
          <w:rFonts w:ascii="Segoe UI" w:hAnsi="Segoe UI" w:cs="Segoe UI"/>
          <w:sz w:val="22"/>
          <w:szCs w:val="22"/>
        </w:rPr>
        <w:t xml:space="preserve">questa </w:t>
      </w:r>
      <w:r w:rsidR="00874C28">
        <w:rPr>
          <w:rFonts w:ascii="Segoe UI" w:hAnsi="Segoe UI" w:cs="Segoe UI"/>
          <w:sz w:val="22"/>
          <w:szCs w:val="22"/>
        </w:rPr>
        <w:t xml:space="preserve">soluzione potrebbe </w:t>
      </w:r>
      <w:r w:rsidR="00CA3B61">
        <w:rPr>
          <w:rFonts w:ascii="Segoe UI" w:hAnsi="Segoe UI" w:cs="Segoe UI"/>
          <w:sz w:val="22"/>
          <w:szCs w:val="22"/>
        </w:rPr>
        <w:t xml:space="preserve">ragionevolmente rivelarsi efficace per </w:t>
      </w:r>
      <w:r w:rsidRPr="00344DC4">
        <w:rPr>
          <w:rFonts w:ascii="Segoe UI" w:hAnsi="Segoe UI" w:cs="Segoe UI"/>
          <w:sz w:val="22"/>
          <w:szCs w:val="22"/>
        </w:rPr>
        <w:t xml:space="preserve">evitare o ridurre il rischio di applicare in modo superficiale o improprio concetti e approcci in materia di determinazione della rilevanza (di temi e/o di informazioni) nella </w:t>
      </w:r>
      <w:r w:rsidRPr="00344DC4">
        <w:rPr>
          <w:rFonts w:ascii="Segoe UI" w:hAnsi="Segoe UI" w:cs="Segoe UI"/>
          <w:i/>
          <w:sz w:val="22"/>
          <w:szCs w:val="22"/>
        </w:rPr>
        <w:t>disclosure</w:t>
      </w:r>
      <w:r w:rsidRPr="00344DC4">
        <w:rPr>
          <w:rFonts w:ascii="Segoe UI" w:hAnsi="Segoe UI" w:cs="Segoe UI"/>
          <w:sz w:val="22"/>
          <w:szCs w:val="22"/>
        </w:rPr>
        <w:t xml:space="preserve"> non finanziaria.</w:t>
      </w:r>
    </w:p>
    <w:p w14:paraId="252056EC" w14:textId="42D8D253" w:rsidR="00C55C48" w:rsidRPr="00344DC4" w:rsidRDefault="002F7151" w:rsidP="00C55C48">
      <w:pPr>
        <w:pStyle w:val="NormaleWeb"/>
        <w:tabs>
          <w:tab w:val="left" w:pos="567"/>
        </w:tabs>
        <w:spacing w:before="120" w:beforeAutospacing="0" w:after="120" w:afterAutospacing="0"/>
        <w:jc w:val="both"/>
        <w:rPr>
          <w:rFonts w:ascii="Segoe UI" w:hAnsi="Segoe UI" w:cs="Segoe UI"/>
          <w:sz w:val="22"/>
          <w:szCs w:val="22"/>
        </w:rPr>
      </w:pPr>
      <w:r>
        <w:rPr>
          <w:rFonts w:ascii="Segoe UI" w:hAnsi="Segoe UI" w:cs="Segoe UI"/>
          <w:sz w:val="22"/>
          <w:szCs w:val="22"/>
        </w:rPr>
        <w:t>S</w:t>
      </w:r>
      <w:r w:rsidR="00C55C48" w:rsidRPr="00344DC4">
        <w:rPr>
          <w:rFonts w:ascii="Segoe UI" w:hAnsi="Segoe UI" w:cs="Segoe UI"/>
          <w:sz w:val="22"/>
          <w:szCs w:val="22"/>
        </w:rPr>
        <w:t>i è precedentemente mostrato che, in funzione di circostanze e contesti talvolta uguali e talvolta diversi, al termine “</w:t>
      </w:r>
      <w:r w:rsidR="00C55C48" w:rsidRPr="00344DC4">
        <w:rPr>
          <w:rFonts w:ascii="Segoe UI" w:hAnsi="Segoe UI" w:cs="Segoe UI"/>
          <w:i/>
          <w:sz w:val="22"/>
          <w:szCs w:val="22"/>
        </w:rPr>
        <w:t>relevant</w:t>
      </w:r>
      <w:r w:rsidR="00C55C48" w:rsidRPr="00344DC4">
        <w:rPr>
          <w:rFonts w:ascii="Segoe UI" w:hAnsi="Segoe UI" w:cs="Segoe UI"/>
          <w:sz w:val="22"/>
          <w:szCs w:val="22"/>
        </w:rPr>
        <w:t>” corrispondano variamente, tra gli altri, il più delle volte, i termini italiani “pertinente”, “opportuno”, “significativo”, “rilevante” e “materiale” e al termine “</w:t>
      </w:r>
      <w:r w:rsidR="00C55C48" w:rsidRPr="00344DC4">
        <w:rPr>
          <w:rFonts w:ascii="Segoe UI" w:hAnsi="Segoe UI" w:cs="Segoe UI"/>
          <w:i/>
          <w:sz w:val="22"/>
          <w:szCs w:val="22"/>
        </w:rPr>
        <w:t>material</w:t>
      </w:r>
      <w:r w:rsidR="00C55C48" w:rsidRPr="00344DC4">
        <w:rPr>
          <w:rFonts w:ascii="Segoe UI" w:hAnsi="Segoe UI" w:cs="Segoe UI"/>
          <w:sz w:val="22"/>
          <w:szCs w:val="22"/>
        </w:rPr>
        <w:t>” corrispondano, il più delle volte, i termini italiani “rilevante” e “materiale”. Nelle “Conclusioni” in calce alle varie alternative individuate nella normativa di settore e nella documentazione tecnica di riferimento si è</w:t>
      </w:r>
      <w:r w:rsidR="001862E2">
        <w:rPr>
          <w:rFonts w:ascii="Segoe UI" w:hAnsi="Segoe UI" w:cs="Segoe UI"/>
          <w:sz w:val="22"/>
          <w:szCs w:val="22"/>
        </w:rPr>
        <w:t>,</w:t>
      </w:r>
      <w:r w:rsidR="00C55C48" w:rsidRPr="00344DC4">
        <w:rPr>
          <w:rFonts w:ascii="Segoe UI" w:hAnsi="Segoe UI" w:cs="Segoe UI"/>
          <w:sz w:val="22"/>
          <w:szCs w:val="22"/>
        </w:rPr>
        <w:t xml:space="preserve"> altresì</w:t>
      </w:r>
      <w:r w:rsidR="001862E2">
        <w:rPr>
          <w:rFonts w:ascii="Segoe UI" w:hAnsi="Segoe UI" w:cs="Segoe UI"/>
          <w:sz w:val="22"/>
          <w:szCs w:val="22"/>
        </w:rPr>
        <w:t>,</w:t>
      </w:r>
      <w:r w:rsidR="00C55C48" w:rsidRPr="00344DC4">
        <w:rPr>
          <w:rFonts w:ascii="Segoe UI" w:hAnsi="Segoe UI" w:cs="Segoe UI"/>
          <w:sz w:val="22"/>
          <w:szCs w:val="22"/>
        </w:rPr>
        <w:t xml:space="preserve"> mostrato che sia ragionevole individuare o attribuire ai diversi termini anche diverse accezioni, proprio in relazione al contesto in cui tali termini/concetti sono utilizzati (tanto nelle versioni in inglese quanto nelle versioni in italiano).</w:t>
      </w:r>
    </w:p>
    <w:p w14:paraId="64B366D0" w14:textId="51A3E1B0" w:rsidR="00C55C48" w:rsidRPr="00344DC4" w:rsidRDefault="00C55C48" w:rsidP="00C55C48">
      <w:pPr>
        <w:pStyle w:val="NormaleWeb"/>
        <w:keepNext/>
        <w:keepLines/>
        <w:tabs>
          <w:tab w:val="left" w:pos="567"/>
        </w:tabs>
        <w:spacing w:before="120" w:beforeAutospacing="0" w:after="120" w:afterAutospacing="0"/>
        <w:jc w:val="both"/>
        <w:rPr>
          <w:rFonts w:ascii="Segoe UI" w:hAnsi="Segoe UI" w:cs="Segoe UI"/>
          <w:sz w:val="22"/>
          <w:szCs w:val="22"/>
        </w:rPr>
      </w:pPr>
      <w:r w:rsidRPr="00344DC4">
        <w:rPr>
          <w:rFonts w:ascii="Segoe UI" w:hAnsi="Segoe UI" w:cs="Segoe UI"/>
          <w:sz w:val="22"/>
          <w:szCs w:val="22"/>
        </w:rPr>
        <w:t xml:space="preserve">Senza la pretesa di essere stati immuni da equivoci o imprecisioni nell’esercizio interpretativo, è possibile individuare nei termini in questione alcuni elementi distintivi, associandoli, in virtù del loro intimo significato e delle analisi svolte, a circostanze o finalità specifiche e, di conseguenza, ad accezioni determinate e condivise nell’ambito della </w:t>
      </w:r>
      <w:r w:rsidRPr="00344DC4">
        <w:rPr>
          <w:rFonts w:ascii="Segoe UI" w:hAnsi="Segoe UI" w:cs="Segoe UI"/>
          <w:i/>
          <w:sz w:val="22"/>
          <w:szCs w:val="22"/>
        </w:rPr>
        <w:t>disclosure</w:t>
      </w:r>
      <w:r w:rsidRPr="00344DC4">
        <w:rPr>
          <w:rFonts w:ascii="Segoe UI" w:hAnsi="Segoe UI" w:cs="Segoe UI"/>
          <w:sz w:val="22"/>
          <w:szCs w:val="22"/>
        </w:rPr>
        <w:t xml:space="preserve"> non finanziaria. In questo senso, avvalendosi altresì delle indicazioni del vocabolario Treccani e della varietà e completezza della lingua italiana, si propone di seguito un esempio di classificazione terminologica e concettuale che </w:t>
      </w:r>
      <w:r w:rsidR="001F4E3F">
        <w:rPr>
          <w:rFonts w:ascii="Segoe UI" w:hAnsi="Segoe UI" w:cs="Segoe UI"/>
          <w:sz w:val="22"/>
          <w:szCs w:val="22"/>
        </w:rPr>
        <w:t>potrebbe</w:t>
      </w:r>
      <w:r w:rsidRPr="00344DC4">
        <w:rPr>
          <w:rFonts w:ascii="Segoe UI" w:hAnsi="Segoe UI" w:cs="Segoe UI"/>
          <w:sz w:val="22"/>
          <w:szCs w:val="22"/>
        </w:rPr>
        <w:t xml:space="preserve"> risultare funzionale al perseguimento degli obiettivi più volte dichiarati di aumento della trasparenza, dell’intellegibilità e della comparabilità della comunicazione di informazioni non finanziarie:</w:t>
      </w:r>
    </w:p>
    <w:p w14:paraId="517C138D" w14:textId="457154BD" w:rsidR="00C55C48" w:rsidRPr="00344DC4" w:rsidRDefault="00C55C48" w:rsidP="004D1F92">
      <w:pPr>
        <w:pStyle w:val="NormaleWeb"/>
        <w:keepNext/>
        <w:keepLines/>
        <w:numPr>
          <w:ilvl w:val="0"/>
          <w:numId w:val="42"/>
        </w:numPr>
        <w:tabs>
          <w:tab w:val="left" w:pos="567"/>
        </w:tabs>
        <w:spacing w:before="120" w:beforeAutospacing="0" w:after="120" w:afterAutospacing="0"/>
        <w:ind w:left="568" w:hanging="284"/>
        <w:jc w:val="both"/>
        <w:rPr>
          <w:rFonts w:ascii="Segoe UI" w:hAnsi="Segoe UI" w:cs="Segoe UI"/>
          <w:sz w:val="22"/>
          <w:szCs w:val="22"/>
        </w:rPr>
      </w:pPr>
      <w:r w:rsidRPr="00344DC4">
        <w:rPr>
          <w:rFonts w:ascii="Segoe UI" w:hAnsi="Segoe UI" w:cs="Segoe UI"/>
          <w:sz w:val="22"/>
          <w:szCs w:val="22"/>
        </w:rPr>
        <w:t xml:space="preserve">Pertinente/pertinenza: [dal lat. </w:t>
      </w:r>
      <w:r w:rsidRPr="00344DC4">
        <w:rPr>
          <w:rStyle w:val="Enfasicorsivo"/>
          <w:rFonts w:ascii="Segoe UI" w:hAnsi="Segoe UI" w:cs="Segoe UI"/>
          <w:sz w:val="22"/>
          <w:szCs w:val="22"/>
        </w:rPr>
        <w:t>pertĭnens</w:t>
      </w:r>
      <w:r w:rsidRPr="00344DC4">
        <w:rPr>
          <w:rFonts w:ascii="Segoe UI" w:hAnsi="Segoe UI" w:cs="Segoe UI"/>
          <w:sz w:val="22"/>
          <w:szCs w:val="22"/>
        </w:rPr>
        <w:t xml:space="preserve"> -</w:t>
      </w:r>
      <w:r w:rsidRPr="00344DC4">
        <w:rPr>
          <w:rStyle w:val="Enfasicorsivo"/>
          <w:rFonts w:ascii="Segoe UI" w:hAnsi="Segoe UI" w:cs="Segoe UI"/>
          <w:sz w:val="22"/>
          <w:szCs w:val="22"/>
        </w:rPr>
        <w:t>entis</w:t>
      </w:r>
      <w:r w:rsidRPr="00344DC4">
        <w:rPr>
          <w:rFonts w:ascii="Segoe UI" w:hAnsi="Segoe UI" w:cs="Segoe UI"/>
          <w:sz w:val="22"/>
          <w:szCs w:val="22"/>
        </w:rPr>
        <w:t xml:space="preserve">, part. pres. di </w:t>
      </w:r>
      <w:r w:rsidRPr="00344DC4">
        <w:rPr>
          <w:rStyle w:val="Enfasicorsivo"/>
          <w:rFonts w:ascii="Segoe UI" w:hAnsi="Segoe UI" w:cs="Segoe UI"/>
          <w:sz w:val="22"/>
          <w:szCs w:val="22"/>
        </w:rPr>
        <w:t>pertinere</w:t>
      </w:r>
      <w:r w:rsidRPr="00344DC4">
        <w:rPr>
          <w:rFonts w:ascii="Segoe UI" w:hAnsi="Segoe UI" w:cs="Segoe UI"/>
          <w:sz w:val="22"/>
          <w:szCs w:val="22"/>
        </w:rPr>
        <w:t xml:space="preserve"> «appartenere, riguardare», comp. di </w:t>
      </w:r>
      <w:r w:rsidRPr="00344DC4">
        <w:rPr>
          <w:rStyle w:val="Enfasicorsivo"/>
          <w:rFonts w:ascii="Segoe UI" w:hAnsi="Segoe UI" w:cs="Segoe UI"/>
          <w:sz w:val="22"/>
          <w:szCs w:val="22"/>
        </w:rPr>
        <w:t>per</w:t>
      </w:r>
      <w:r w:rsidRPr="00344DC4">
        <w:rPr>
          <w:rFonts w:ascii="Segoe UI" w:hAnsi="Segoe UI" w:cs="Segoe UI"/>
          <w:sz w:val="22"/>
          <w:szCs w:val="22"/>
        </w:rPr>
        <w:t xml:space="preserve">- e </w:t>
      </w:r>
      <w:r w:rsidRPr="00344DC4">
        <w:rPr>
          <w:rStyle w:val="Enfasicorsivo"/>
          <w:rFonts w:ascii="Segoe UI" w:hAnsi="Segoe UI" w:cs="Segoe UI"/>
          <w:sz w:val="22"/>
          <w:szCs w:val="22"/>
        </w:rPr>
        <w:t>tenere</w:t>
      </w:r>
      <w:r w:rsidRPr="00344DC4">
        <w:rPr>
          <w:rFonts w:ascii="Segoe UI" w:hAnsi="Segoe UI" w:cs="Segoe UI"/>
          <w:sz w:val="22"/>
          <w:szCs w:val="22"/>
        </w:rPr>
        <w:t xml:space="preserve"> «tenere»]</w:t>
      </w:r>
      <w:r w:rsidR="001862E2">
        <w:rPr>
          <w:rFonts w:ascii="Segoe UI" w:hAnsi="Segoe UI" w:cs="Segoe UI"/>
          <w:sz w:val="22"/>
          <w:szCs w:val="22"/>
        </w:rPr>
        <w:t>.</w:t>
      </w:r>
      <w:r w:rsidRPr="00344DC4">
        <w:rPr>
          <w:rFonts w:ascii="Segoe UI" w:hAnsi="Segoe UI" w:cs="Segoe UI"/>
          <w:sz w:val="22"/>
          <w:szCs w:val="22"/>
        </w:rPr>
        <w:t xml:space="preserve"> Propriamente, che appartiene a qualcuno o a qualcosa, e più comunemente che riguarda direttamente e più o meno strettamente un determinato oggetto o una sfera concettuale.</w:t>
      </w:r>
    </w:p>
    <w:p w14:paraId="2006E7D5" w14:textId="17DC6F2F" w:rsidR="00C55C48" w:rsidRPr="00344DC4" w:rsidRDefault="00CE7FBF" w:rsidP="00C55C48">
      <w:pPr>
        <w:pStyle w:val="NormaleWeb"/>
        <w:tabs>
          <w:tab w:val="left" w:pos="567"/>
        </w:tabs>
        <w:spacing w:before="120" w:beforeAutospacing="0" w:after="120" w:afterAutospacing="0"/>
        <w:ind w:left="567"/>
        <w:jc w:val="both"/>
        <w:rPr>
          <w:rFonts w:ascii="Segoe UI" w:hAnsi="Segoe UI" w:cs="Segoe UI"/>
          <w:i/>
          <w:sz w:val="22"/>
          <w:szCs w:val="22"/>
        </w:rPr>
      </w:pPr>
      <w:r>
        <w:rPr>
          <w:rFonts w:ascii="Segoe UI" w:hAnsi="Segoe UI" w:cs="Segoe UI"/>
          <w:i/>
          <w:sz w:val="22"/>
          <w:szCs w:val="22"/>
        </w:rPr>
        <w:t>Accezione suggerita</w:t>
      </w:r>
      <w:r w:rsidR="00C55C48" w:rsidRPr="00344DC4">
        <w:rPr>
          <w:rFonts w:ascii="Segoe UI" w:hAnsi="Segoe UI" w:cs="Segoe UI"/>
          <w:i/>
          <w:sz w:val="22"/>
          <w:szCs w:val="22"/>
        </w:rPr>
        <w:t>: in rapporto a quanto rilevato, la soluzione migliore sembrerebbe quella di attribuire al termine “pertinente” l’accezione più generica e atecnica possibile.</w:t>
      </w:r>
    </w:p>
    <w:p w14:paraId="43F8A787" w14:textId="2B55871D" w:rsidR="00C55C48" w:rsidRPr="00344DC4" w:rsidRDefault="00C55C48" w:rsidP="004D1F92">
      <w:pPr>
        <w:pStyle w:val="NormaleWeb"/>
        <w:keepNext/>
        <w:keepLines/>
        <w:numPr>
          <w:ilvl w:val="0"/>
          <w:numId w:val="42"/>
        </w:numPr>
        <w:tabs>
          <w:tab w:val="left" w:pos="567"/>
        </w:tabs>
        <w:spacing w:before="120" w:beforeAutospacing="0" w:after="120" w:afterAutospacing="0"/>
        <w:ind w:left="568" w:hanging="284"/>
        <w:jc w:val="both"/>
        <w:rPr>
          <w:rFonts w:ascii="Segoe UI" w:hAnsi="Segoe UI" w:cs="Segoe UI"/>
          <w:sz w:val="22"/>
          <w:szCs w:val="22"/>
        </w:rPr>
      </w:pPr>
      <w:r w:rsidRPr="00344DC4">
        <w:rPr>
          <w:rFonts w:ascii="Segoe UI" w:hAnsi="Segoe UI" w:cs="Segoe UI"/>
          <w:sz w:val="22"/>
          <w:szCs w:val="22"/>
        </w:rPr>
        <w:t xml:space="preserve">Opportuno/opportunità: [dal lat. </w:t>
      </w:r>
      <w:r w:rsidRPr="00344DC4">
        <w:rPr>
          <w:rStyle w:val="Enfasicorsivo"/>
          <w:rFonts w:ascii="Segoe UI" w:hAnsi="Segoe UI" w:cs="Segoe UI"/>
          <w:sz w:val="22"/>
          <w:szCs w:val="22"/>
        </w:rPr>
        <w:t>opportunus</w:t>
      </w:r>
      <w:r w:rsidRPr="00344DC4">
        <w:rPr>
          <w:rFonts w:ascii="Segoe UI" w:hAnsi="Segoe UI" w:cs="Segoe UI"/>
          <w:sz w:val="22"/>
          <w:szCs w:val="22"/>
        </w:rPr>
        <w:t xml:space="preserve">, der. di </w:t>
      </w:r>
      <w:r w:rsidRPr="00344DC4">
        <w:rPr>
          <w:rStyle w:val="Enfasicorsivo"/>
          <w:rFonts w:ascii="Segoe UI" w:hAnsi="Segoe UI" w:cs="Segoe UI"/>
          <w:sz w:val="22"/>
          <w:szCs w:val="22"/>
        </w:rPr>
        <w:t>portus</w:t>
      </w:r>
      <w:r w:rsidRPr="00344DC4">
        <w:rPr>
          <w:rFonts w:ascii="Segoe UI" w:hAnsi="Segoe UI" w:cs="Segoe UI"/>
          <w:sz w:val="22"/>
          <w:szCs w:val="22"/>
        </w:rPr>
        <w:t xml:space="preserve"> -</w:t>
      </w:r>
      <w:r w:rsidRPr="00344DC4">
        <w:rPr>
          <w:rStyle w:val="Enfasicorsivo"/>
          <w:rFonts w:ascii="Segoe UI" w:hAnsi="Segoe UI" w:cs="Segoe UI"/>
          <w:sz w:val="22"/>
          <w:szCs w:val="22"/>
        </w:rPr>
        <w:t>us</w:t>
      </w:r>
      <w:r w:rsidRPr="00344DC4">
        <w:rPr>
          <w:rFonts w:ascii="Segoe UI" w:hAnsi="Segoe UI" w:cs="Segoe UI"/>
          <w:sz w:val="22"/>
          <w:szCs w:val="22"/>
        </w:rPr>
        <w:t xml:space="preserve"> «porto», col pref. </w:t>
      </w:r>
      <w:r w:rsidRPr="00344DC4">
        <w:rPr>
          <w:rStyle w:val="Enfasicorsivo"/>
          <w:rFonts w:ascii="Segoe UI" w:hAnsi="Segoe UI" w:cs="Segoe UI"/>
          <w:sz w:val="22"/>
          <w:szCs w:val="22"/>
        </w:rPr>
        <w:t>ob</w:t>
      </w:r>
      <w:r w:rsidRPr="00344DC4">
        <w:rPr>
          <w:rFonts w:ascii="Segoe UI" w:hAnsi="Segoe UI" w:cs="Segoe UI"/>
          <w:sz w:val="22"/>
          <w:szCs w:val="22"/>
        </w:rPr>
        <w:t>-; propr. «che spinge verso il porto», detto del vento]</w:t>
      </w:r>
      <w:r w:rsidR="001862E2">
        <w:rPr>
          <w:rFonts w:ascii="Segoe UI" w:hAnsi="Segoe UI" w:cs="Segoe UI"/>
          <w:sz w:val="22"/>
          <w:szCs w:val="22"/>
        </w:rPr>
        <w:t>.</w:t>
      </w:r>
      <w:r w:rsidRPr="00344DC4">
        <w:rPr>
          <w:rFonts w:ascii="Segoe UI" w:hAnsi="Segoe UI" w:cs="Segoe UI"/>
          <w:sz w:val="22"/>
          <w:szCs w:val="22"/>
        </w:rPr>
        <w:t xml:space="preserve"> Che viene a proposito, che è adatto alle condizioni del momento, alle necessità o al desiderio.</w:t>
      </w:r>
    </w:p>
    <w:p w14:paraId="353FB505" w14:textId="3871E50F" w:rsidR="00C55C48" w:rsidRPr="00344DC4" w:rsidRDefault="004D1F92" w:rsidP="00C55C48">
      <w:pPr>
        <w:pStyle w:val="NormaleWeb"/>
        <w:tabs>
          <w:tab w:val="left" w:pos="567"/>
        </w:tabs>
        <w:spacing w:before="120" w:beforeAutospacing="0" w:after="120" w:afterAutospacing="0"/>
        <w:ind w:left="567"/>
        <w:jc w:val="both"/>
        <w:rPr>
          <w:rFonts w:ascii="Segoe UI" w:hAnsi="Segoe UI" w:cs="Segoe UI"/>
          <w:i/>
          <w:sz w:val="22"/>
          <w:szCs w:val="22"/>
        </w:rPr>
      </w:pPr>
      <w:r>
        <w:rPr>
          <w:rFonts w:ascii="Segoe UI" w:hAnsi="Segoe UI" w:cs="Segoe UI"/>
          <w:i/>
          <w:sz w:val="22"/>
          <w:szCs w:val="22"/>
        </w:rPr>
        <w:t>Accezione suggerita</w:t>
      </w:r>
      <w:r w:rsidR="00C55C48" w:rsidRPr="00344DC4">
        <w:rPr>
          <w:rFonts w:ascii="Segoe UI" w:hAnsi="Segoe UI" w:cs="Segoe UI"/>
          <w:i/>
          <w:sz w:val="22"/>
          <w:szCs w:val="22"/>
        </w:rPr>
        <w:t>: in rapporto a quanto rilevato, la soluzione migliore sembrerebbe quella di attribuire al termine “opportuno” il significato, nel senso comune, di “adatto”, “adeguato”, “appropriato”, “confacente”.</w:t>
      </w:r>
    </w:p>
    <w:p w14:paraId="234CBABF" w14:textId="77777777" w:rsidR="00B9693C" w:rsidRDefault="00C55C48" w:rsidP="004D1F92">
      <w:pPr>
        <w:pStyle w:val="NormaleWeb"/>
        <w:keepNext/>
        <w:keepLines/>
        <w:numPr>
          <w:ilvl w:val="0"/>
          <w:numId w:val="42"/>
        </w:numPr>
        <w:tabs>
          <w:tab w:val="left" w:pos="567"/>
        </w:tabs>
        <w:spacing w:before="120" w:beforeAutospacing="0" w:after="120" w:afterAutospacing="0"/>
        <w:ind w:left="568" w:hanging="284"/>
        <w:jc w:val="both"/>
        <w:rPr>
          <w:rFonts w:ascii="Segoe UI" w:hAnsi="Segoe UI" w:cs="Segoe UI"/>
          <w:sz w:val="22"/>
          <w:szCs w:val="22"/>
        </w:rPr>
      </w:pPr>
      <w:r w:rsidRPr="00344DC4">
        <w:rPr>
          <w:rFonts w:ascii="Segoe UI" w:hAnsi="Segoe UI" w:cs="Segoe UI"/>
          <w:sz w:val="22"/>
          <w:szCs w:val="22"/>
        </w:rPr>
        <w:t xml:space="preserve">Significativo/significatività: [dal lat. tardo </w:t>
      </w:r>
      <w:r w:rsidRPr="00344DC4">
        <w:rPr>
          <w:rStyle w:val="Enfasicorsivo"/>
          <w:rFonts w:ascii="Segoe UI" w:hAnsi="Segoe UI" w:cs="Segoe UI"/>
          <w:sz w:val="22"/>
          <w:szCs w:val="22"/>
        </w:rPr>
        <w:t>significativus</w:t>
      </w:r>
      <w:r w:rsidRPr="00344DC4">
        <w:rPr>
          <w:rFonts w:ascii="Segoe UI" w:hAnsi="Segoe UI" w:cs="Segoe UI"/>
          <w:sz w:val="22"/>
          <w:szCs w:val="22"/>
        </w:rPr>
        <w:t xml:space="preserve">, der. di </w:t>
      </w:r>
      <w:r w:rsidRPr="00344DC4">
        <w:rPr>
          <w:rStyle w:val="Enfasicorsivo"/>
          <w:rFonts w:ascii="Segoe UI" w:hAnsi="Segoe UI" w:cs="Segoe UI"/>
          <w:sz w:val="22"/>
          <w:szCs w:val="22"/>
        </w:rPr>
        <w:t>significare</w:t>
      </w:r>
      <w:r w:rsidRPr="00344DC4">
        <w:rPr>
          <w:rFonts w:ascii="Segoe UI" w:hAnsi="Segoe UI" w:cs="Segoe UI"/>
          <w:sz w:val="22"/>
          <w:szCs w:val="22"/>
        </w:rPr>
        <w:t xml:space="preserve">: v. </w:t>
      </w:r>
      <w:r w:rsidRPr="00344DC4">
        <w:rPr>
          <w:rStyle w:val="sc"/>
          <w:rFonts w:ascii="Segoe UI" w:hAnsi="Segoe UI" w:cs="Segoe UI"/>
          <w:sz w:val="22"/>
          <w:szCs w:val="22"/>
        </w:rPr>
        <w:t>significare</w:t>
      </w:r>
      <w:r w:rsidRPr="00344DC4">
        <w:rPr>
          <w:rFonts w:ascii="Segoe UI" w:hAnsi="Segoe UI" w:cs="Segoe UI"/>
          <w:sz w:val="22"/>
          <w:szCs w:val="22"/>
        </w:rPr>
        <w:t xml:space="preserve">]. Che ha, che esprime un significato: </w:t>
      </w:r>
      <w:r w:rsidRPr="00344DC4">
        <w:rPr>
          <w:rStyle w:val="Enfasicorsivo"/>
          <w:rFonts w:ascii="Segoe UI" w:hAnsi="Segoe UI" w:cs="Segoe UI"/>
          <w:sz w:val="22"/>
          <w:szCs w:val="22"/>
        </w:rPr>
        <w:t>capacità s.</w:t>
      </w:r>
      <w:r w:rsidRPr="00344DC4">
        <w:rPr>
          <w:rFonts w:ascii="Segoe UI" w:hAnsi="Segoe UI" w:cs="Segoe UI"/>
          <w:sz w:val="22"/>
          <w:szCs w:val="22"/>
        </w:rPr>
        <w:t xml:space="preserve">, </w:t>
      </w:r>
      <w:r w:rsidRPr="00344DC4">
        <w:rPr>
          <w:rStyle w:val="Enfasicorsivo"/>
          <w:rFonts w:ascii="Segoe UI" w:hAnsi="Segoe UI" w:cs="Segoe UI"/>
          <w:sz w:val="22"/>
          <w:szCs w:val="22"/>
        </w:rPr>
        <w:t>valore s. di un gesto</w:t>
      </w:r>
      <w:r w:rsidRPr="00344DC4">
        <w:rPr>
          <w:rFonts w:ascii="Segoe UI" w:hAnsi="Segoe UI" w:cs="Segoe UI"/>
          <w:sz w:val="22"/>
          <w:szCs w:val="22"/>
        </w:rPr>
        <w:t xml:space="preserve">, </w:t>
      </w:r>
      <w:r w:rsidRPr="00344DC4">
        <w:rPr>
          <w:rStyle w:val="Enfasicorsivo"/>
          <w:rFonts w:ascii="Segoe UI" w:hAnsi="Segoe UI" w:cs="Segoe UI"/>
          <w:sz w:val="22"/>
          <w:szCs w:val="22"/>
        </w:rPr>
        <w:t>di un segno</w:t>
      </w:r>
      <w:r w:rsidRPr="00344DC4">
        <w:rPr>
          <w:rFonts w:ascii="Segoe UI" w:hAnsi="Segoe UI" w:cs="Segoe UI"/>
          <w:sz w:val="22"/>
          <w:szCs w:val="22"/>
        </w:rPr>
        <w:t xml:space="preserve">; più com., per estensione., ricco di significato, espressivo; nelle scienze, </w:t>
      </w:r>
      <w:r w:rsidRPr="00344DC4">
        <w:rPr>
          <w:rStyle w:val="Enfasicorsivo"/>
          <w:rFonts w:ascii="Segoe UI" w:hAnsi="Segoe UI" w:cs="Segoe UI"/>
          <w:sz w:val="22"/>
          <w:szCs w:val="22"/>
        </w:rPr>
        <w:t>cifre s. di una misura</w:t>
      </w:r>
      <w:r w:rsidRPr="00344DC4">
        <w:rPr>
          <w:rFonts w:ascii="Segoe UI" w:hAnsi="Segoe UI" w:cs="Segoe UI"/>
          <w:sz w:val="22"/>
          <w:szCs w:val="22"/>
        </w:rPr>
        <w:t xml:space="preserve"> sono le cifre del valore numerico della misura medesima; spesso, con significato più ristretto, per </w:t>
      </w:r>
      <w:r w:rsidRPr="00344DC4">
        <w:rPr>
          <w:rStyle w:val="Enfasicorsivo"/>
          <w:rFonts w:ascii="Segoe UI" w:hAnsi="Segoe UI" w:cs="Segoe UI"/>
          <w:sz w:val="22"/>
          <w:szCs w:val="22"/>
        </w:rPr>
        <w:t>cifre s.</w:t>
      </w:r>
      <w:r w:rsidRPr="00344DC4">
        <w:rPr>
          <w:rFonts w:ascii="Segoe UI" w:hAnsi="Segoe UI" w:cs="Segoe UI"/>
          <w:sz w:val="22"/>
          <w:szCs w:val="22"/>
        </w:rPr>
        <w:t xml:space="preserve"> sono intese soltanto quelle certe, a esclusione quindi delle cifre su cui incide l’errore della misura</w:t>
      </w:r>
      <w:r w:rsidR="00CB313E">
        <w:rPr>
          <w:rFonts w:ascii="Segoe UI" w:hAnsi="Segoe UI" w:cs="Segoe UI"/>
          <w:sz w:val="22"/>
          <w:szCs w:val="22"/>
        </w:rPr>
        <w:t>.</w:t>
      </w:r>
    </w:p>
    <w:p w14:paraId="5348152C" w14:textId="09409B8C" w:rsidR="00C55C48" w:rsidRPr="00344DC4" w:rsidRDefault="00B9693C" w:rsidP="00C55C48">
      <w:pPr>
        <w:pStyle w:val="NormaleWeb"/>
        <w:tabs>
          <w:tab w:val="left" w:pos="567"/>
        </w:tabs>
        <w:spacing w:before="120" w:beforeAutospacing="0" w:after="120" w:afterAutospacing="0"/>
        <w:ind w:left="567"/>
        <w:jc w:val="both"/>
        <w:rPr>
          <w:rFonts w:ascii="Segoe UI" w:hAnsi="Segoe UI" w:cs="Segoe UI"/>
          <w:i/>
          <w:sz w:val="22"/>
          <w:szCs w:val="22"/>
        </w:rPr>
      </w:pPr>
      <w:r>
        <w:rPr>
          <w:rFonts w:ascii="Segoe UI" w:hAnsi="Segoe UI" w:cs="Segoe UI"/>
          <w:i/>
          <w:sz w:val="22"/>
          <w:szCs w:val="22"/>
        </w:rPr>
        <w:t>Accezione suggerita</w:t>
      </w:r>
      <w:r w:rsidRPr="00344DC4">
        <w:rPr>
          <w:rFonts w:ascii="Segoe UI" w:hAnsi="Segoe UI" w:cs="Segoe UI"/>
          <w:i/>
          <w:sz w:val="22"/>
          <w:szCs w:val="22"/>
        </w:rPr>
        <w:t>:</w:t>
      </w:r>
      <w:r>
        <w:rPr>
          <w:rFonts w:ascii="Segoe UI" w:hAnsi="Segoe UI" w:cs="Segoe UI"/>
          <w:i/>
          <w:sz w:val="22"/>
          <w:szCs w:val="22"/>
        </w:rPr>
        <w:t xml:space="preserve"> n</w:t>
      </w:r>
      <w:r w:rsidR="00C55C48" w:rsidRPr="00202BDF">
        <w:rPr>
          <w:rFonts w:ascii="Segoe UI" w:hAnsi="Segoe UI" w:cs="Segoe UI"/>
          <w:i/>
          <w:sz w:val="22"/>
          <w:szCs w:val="22"/>
        </w:rPr>
        <w:t>ei casi esaminati, “</w:t>
      </w:r>
      <w:r w:rsidR="00C55C48" w:rsidRPr="00202BDF">
        <w:rPr>
          <w:rFonts w:ascii="Segoe UI" w:hAnsi="Segoe UI" w:cs="Segoe UI"/>
          <w:sz w:val="22"/>
          <w:szCs w:val="22"/>
        </w:rPr>
        <w:t>significant</w:t>
      </w:r>
      <w:r w:rsidR="00C55C48" w:rsidRPr="00202BDF">
        <w:rPr>
          <w:rFonts w:ascii="Segoe UI" w:hAnsi="Segoe UI" w:cs="Segoe UI"/>
          <w:i/>
          <w:sz w:val="22"/>
          <w:szCs w:val="22"/>
        </w:rPr>
        <w:t>” è stato variamente tradotto (e mai lo si è potuto collocare nell’ambito di una definita “calibrazione”)</w:t>
      </w:r>
      <w:r w:rsidR="00CB313E" w:rsidRPr="00202BDF">
        <w:rPr>
          <w:rFonts w:ascii="Segoe UI" w:hAnsi="Segoe UI" w:cs="Segoe UI"/>
          <w:i/>
          <w:sz w:val="22"/>
          <w:szCs w:val="22"/>
        </w:rPr>
        <w:t xml:space="preserve"> sia</w:t>
      </w:r>
      <w:r w:rsidR="00C55C48" w:rsidRPr="00202BDF">
        <w:rPr>
          <w:rFonts w:ascii="Segoe UI" w:hAnsi="Segoe UI" w:cs="Segoe UI"/>
          <w:i/>
          <w:sz w:val="22"/>
          <w:szCs w:val="22"/>
        </w:rPr>
        <w:t xml:space="preserve"> con “significativo”, “importante” e “principale”, circostanze in cui è agevole verificare una qualificazione semantica assolutamente atecnica</w:t>
      </w:r>
      <w:r w:rsidR="00CB313E" w:rsidRPr="00202BDF">
        <w:rPr>
          <w:rFonts w:ascii="Segoe UI" w:hAnsi="Segoe UI" w:cs="Segoe UI"/>
          <w:i/>
          <w:sz w:val="22"/>
          <w:szCs w:val="22"/>
        </w:rPr>
        <w:t xml:space="preserve"> (</w:t>
      </w:r>
      <w:r w:rsidR="00C55C48" w:rsidRPr="00202BDF">
        <w:rPr>
          <w:rFonts w:ascii="Segoe UI" w:hAnsi="Segoe UI" w:cs="Segoe UI"/>
          <w:i/>
          <w:sz w:val="22"/>
          <w:szCs w:val="22"/>
        </w:rPr>
        <w:t>nell’ultimo caso, tra l’altro, riferita non ai temi o alle informazioni bensì ai fattori esterni che influiscano sugli impatti</w:t>
      </w:r>
      <w:r w:rsidR="00CB313E" w:rsidRPr="00202BDF">
        <w:rPr>
          <w:rFonts w:ascii="Segoe UI" w:hAnsi="Segoe UI" w:cs="Segoe UI"/>
          <w:i/>
          <w:sz w:val="22"/>
          <w:szCs w:val="22"/>
        </w:rPr>
        <w:t>)</w:t>
      </w:r>
      <w:r w:rsidR="00C55C48" w:rsidRPr="00202BDF">
        <w:rPr>
          <w:rFonts w:ascii="Segoe UI" w:hAnsi="Segoe UI" w:cs="Segoe UI"/>
          <w:i/>
          <w:sz w:val="22"/>
          <w:szCs w:val="22"/>
        </w:rPr>
        <w:t>, sia con “materiale”, circostanza in cui tuttavia non richiama il concetto di “materialità”</w:t>
      </w:r>
      <w:r w:rsidR="00202BDF">
        <w:rPr>
          <w:rFonts w:ascii="Segoe UI" w:hAnsi="Segoe UI" w:cs="Segoe UI"/>
          <w:i/>
          <w:sz w:val="22"/>
          <w:szCs w:val="22"/>
        </w:rPr>
        <w:t xml:space="preserve">; </w:t>
      </w:r>
      <w:r w:rsidR="00C55C48" w:rsidRPr="00344DC4">
        <w:rPr>
          <w:rFonts w:ascii="Segoe UI" w:hAnsi="Segoe UI" w:cs="Segoe UI"/>
          <w:i/>
          <w:sz w:val="22"/>
          <w:szCs w:val="22"/>
        </w:rPr>
        <w:t>in rapporto a quanto rilevato, la soluzione migliore sembrerebbe quella di attribuire al termine “significativo” un’accezione legata a una certa flessibilità interpretativa in funzione di una dimensione sia qualitativa sia quantitativa degli elementi cui di volta in volta si riferisce.</w:t>
      </w:r>
    </w:p>
    <w:p w14:paraId="0F611D9E" w14:textId="77777777" w:rsidR="00C55C48" w:rsidRPr="00344DC4" w:rsidRDefault="00C55C48" w:rsidP="004D1F92">
      <w:pPr>
        <w:pStyle w:val="NormaleWeb"/>
        <w:keepNext/>
        <w:keepLines/>
        <w:numPr>
          <w:ilvl w:val="0"/>
          <w:numId w:val="42"/>
        </w:numPr>
        <w:tabs>
          <w:tab w:val="left" w:pos="567"/>
        </w:tabs>
        <w:spacing w:before="120" w:beforeAutospacing="0" w:after="120" w:afterAutospacing="0"/>
        <w:ind w:left="568" w:hanging="284"/>
        <w:jc w:val="both"/>
        <w:rPr>
          <w:rFonts w:ascii="Segoe UI" w:hAnsi="Segoe UI" w:cs="Segoe UI"/>
          <w:sz w:val="22"/>
          <w:szCs w:val="22"/>
        </w:rPr>
      </w:pPr>
      <w:r w:rsidRPr="00344DC4">
        <w:rPr>
          <w:rFonts w:ascii="Segoe UI" w:hAnsi="Segoe UI" w:cs="Segoe UI"/>
          <w:sz w:val="22"/>
          <w:szCs w:val="22"/>
        </w:rPr>
        <w:t xml:space="preserve">Rilevante/rilevanza: agg. [part. pres. di </w:t>
      </w:r>
      <w:r w:rsidRPr="00344DC4">
        <w:rPr>
          <w:rStyle w:val="Enfasicorsivo"/>
          <w:rFonts w:ascii="Segoe UI" w:hAnsi="Segoe UI" w:cs="Segoe UI"/>
          <w:sz w:val="22"/>
          <w:szCs w:val="22"/>
        </w:rPr>
        <w:t>rilevare</w:t>
      </w:r>
      <w:r w:rsidRPr="00344DC4">
        <w:rPr>
          <w:rFonts w:ascii="Segoe UI" w:hAnsi="Segoe UI" w:cs="Segoe UI"/>
          <w:sz w:val="22"/>
          <w:szCs w:val="22"/>
        </w:rPr>
        <w:t>]. Che ha rilievo, considerevole, importante, o che è di notevole gravità.</w:t>
      </w:r>
    </w:p>
    <w:p w14:paraId="1BB9E7B4" w14:textId="7F80950D" w:rsidR="00C55C48" w:rsidRPr="00344DC4" w:rsidRDefault="004D1F92" w:rsidP="00C55C48">
      <w:pPr>
        <w:pStyle w:val="NormaleWeb"/>
        <w:tabs>
          <w:tab w:val="left" w:pos="567"/>
        </w:tabs>
        <w:spacing w:before="120" w:beforeAutospacing="0" w:after="120" w:afterAutospacing="0"/>
        <w:ind w:left="567"/>
        <w:jc w:val="both"/>
        <w:rPr>
          <w:rFonts w:ascii="Segoe UI" w:hAnsi="Segoe UI" w:cs="Segoe UI"/>
          <w:i/>
          <w:sz w:val="22"/>
          <w:szCs w:val="22"/>
        </w:rPr>
      </w:pPr>
      <w:r>
        <w:rPr>
          <w:rFonts w:ascii="Segoe UI" w:hAnsi="Segoe UI" w:cs="Segoe UI"/>
          <w:i/>
          <w:sz w:val="22"/>
          <w:szCs w:val="22"/>
        </w:rPr>
        <w:t>Accezione suggerita</w:t>
      </w:r>
      <w:r w:rsidR="00C55C48" w:rsidRPr="00344DC4">
        <w:rPr>
          <w:rFonts w:ascii="Segoe UI" w:hAnsi="Segoe UI" w:cs="Segoe UI"/>
          <w:i/>
          <w:sz w:val="22"/>
          <w:szCs w:val="22"/>
        </w:rPr>
        <w:t>: in rapporto a quanto rilevato, la soluzione migliore sembrerebbe quella di attribuire al termine “rilevante” l’accezione tecnica avvalendosi della definizione del concetto di “significatività” (relevance) fornita dai Principi contabili internazionali in ambito finanziario: (un item, un tema/una informazione è qualitativamente significativo/significativa quando è) in grado di influenzare le decisioni economiche degli utilizzatori, aiutandoli a valutare gli eventi passati, presenti o futuri, oppure confermando o correggendo valutazioni da essi effettuate precedentemente e, più in generale, idoneo a generare effetti sulle decisioni dei lettori del bilancio e/o degli stakeholder) (si tenga presente che nella normativa di rendicontazione finanziaria, la direttiva 2013/34/UE, tale definizione è associata al termine inglese “material”).</w:t>
      </w:r>
    </w:p>
    <w:p w14:paraId="45FAABCC" w14:textId="7556F047" w:rsidR="00C55C48" w:rsidRPr="00344DC4" w:rsidRDefault="00C55C48" w:rsidP="004D1F92">
      <w:pPr>
        <w:pStyle w:val="NormaleWeb"/>
        <w:keepNext/>
        <w:keepLines/>
        <w:numPr>
          <w:ilvl w:val="0"/>
          <w:numId w:val="42"/>
        </w:numPr>
        <w:tabs>
          <w:tab w:val="left" w:pos="567"/>
        </w:tabs>
        <w:spacing w:before="120" w:beforeAutospacing="0" w:after="120" w:afterAutospacing="0"/>
        <w:ind w:left="568" w:hanging="284"/>
        <w:jc w:val="both"/>
        <w:rPr>
          <w:rFonts w:ascii="Segoe UI" w:hAnsi="Segoe UI" w:cs="Segoe UI"/>
          <w:sz w:val="22"/>
          <w:szCs w:val="22"/>
        </w:rPr>
      </w:pPr>
      <w:r w:rsidRPr="00344DC4">
        <w:rPr>
          <w:rFonts w:ascii="Segoe UI" w:hAnsi="Segoe UI" w:cs="Segoe UI"/>
          <w:sz w:val="22"/>
          <w:szCs w:val="22"/>
        </w:rPr>
        <w:t xml:space="preserve">Materiale/materialità: [dal lat. tardo </w:t>
      </w:r>
      <w:r w:rsidRPr="00344DC4">
        <w:rPr>
          <w:rStyle w:val="Enfasicorsivo"/>
          <w:rFonts w:ascii="Segoe UI" w:hAnsi="Segoe UI" w:cs="Segoe UI"/>
          <w:sz w:val="22"/>
          <w:szCs w:val="22"/>
        </w:rPr>
        <w:t>materialis</w:t>
      </w:r>
      <w:r w:rsidRPr="00344DC4">
        <w:rPr>
          <w:rFonts w:ascii="Segoe UI" w:hAnsi="Segoe UI" w:cs="Segoe UI"/>
          <w:sz w:val="22"/>
          <w:szCs w:val="22"/>
        </w:rPr>
        <w:t xml:space="preserve">, agg. der. di </w:t>
      </w:r>
      <w:r w:rsidRPr="00344DC4">
        <w:rPr>
          <w:rStyle w:val="Enfasicorsivo"/>
          <w:rFonts w:ascii="Segoe UI" w:hAnsi="Segoe UI" w:cs="Segoe UI"/>
          <w:sz w:val="22"/>
          <w:szCs w:val="22"/>
        </w:rPr>
        <w:t>materia</w:t>
      </w:r>
      <w:r w:rsidRPr="00344DC4">
        <w:rPr>
          <w:rFonts w:ascii="Segoe UI" w:hAnsi="Segoe UI" w:cs="Segoe UI"/>
          <w:sz w:val="22"/>
          <w:szCs w:val="22"/>
        </w:rPr>
        <w:t xml:space="preserve"> «materia»].</w:t>
      </w:r>
      <w:r w:rsidR="00B9693C">
        <w:rPr>
          <w:rFonts w:ascii="Segoe UI" w:hAnsi="Segoe UI" w:cs="Segoe UI"/>
          <w:sz w:val="22"/>
          <w:szCs w:val="22"/>
        </w:rPr>
        <w:t xml:space="preserve"> </w:t>
      </w:r>
      <w:r w:rsidRPr="00344DC4">
        <w:rPr>
          <w:rFonts w:ascii="Segoe UI" w:hAnsi="Segoe UI" w:cs="Segoe UI"/>
          <w:sz w:val="22"/>
          <w:szCs w:val="22"/>
        </w:rPr>
        <w:t>Della materia, che consta di materia, di cose che si presentano come oggetti sensibili e occupano un’estensione spaziale o anche con valore quasi di «reale, effettivo».</w:t>
      </w:r>
    </w:p>
    <w:p w14:paraId="3C9D8EEC" w14:textId="1C73C211" w:rsidR="00C55C48" w:rsidRPr="009F3641" w:rsidRDefault="004D1F92" w:rsidP="00C55C48">
      <w:pPr>
        <w:pStyle w:val="NormaleWeb"/>
        <w:tabs>
          <w:tab w:val="left" w:pos="567"/>
        </w:tabs>
        <w:spacing w:before="120" w:beforeAutospacing="0" w:after="120" w:afterAutospacing="0"/>
        <w:ind w:left="567"/>
        <w:jc w:val="both"/>
        <w:rPr>
          <w:rFonts w:ascii="Segoe UI" w:hAnsi="Segoe UI" w:cs="Segoe UI"/>
          <w:i/>
          <w:sz w:val="22"/>
          <w:szCs w:val="22"/>
        </w:rPr>
      </w:pPr>
      <w:r>
        <w:rPr>
          <w:rFonts w:ascii="Segoe UI" w:hAnsi="Segoe UI" w:cs="Segoe UI"/>
          <w:i/>
          <w:sz w:val="22"/>
          <w:szCs w:val="22"/>
        </w:rPr>
        <w:t>Accezione suggerita</w:t>
      </w:r>
      <w:r w:rsidR="00C55C48" w:rsidRPr="009F3641">
        <w:rPr>
          <w:rFonts w:ascii="Segoe UI" w:hAnsi="Segoe UI" w:cs="Segoe UI"/>
          <w:i/>
          <w:sz w:val="22"/>
          <w:szCs w:val="22"/>
        </w:rPr>
        <w:t>: in rapporto a quanto rilevato, la soluzione migliore sembrerebbe quella di attribuire al termine “materiale” l’accezione tecnica avvalendosi della definizione del concetto di “materialità” (</w:t>
      </w:r>
      <w:r w:rsidR="00C55C48" w:rsidRPr="009F3641">
        <w:rPr>
          <w:rFonts w:ascii="Segoe UI" w:hAnsi="Segoe UI" w:cs="Segoe UI"/>
          <w:sz w:val="22"/>
          <w:szCs w:val="22"/>
        </w:rPr>
        <w:t>materiality</w:t>
      </w:r>
      <w:r w:rsidR="00C55C48" w:rsidRPr="009F3641">
        <w:rPr>
          <w:rFonts w:ascii="Segoe UI" w:hAnsi="Segoe UI" w:cs="Segoe UI"/>
          <w:i/>
          <w:sz w:val="22"/>
          <w:szCs w:val="22"/>
        </w:rPr>
        <w:t xml:space="preserve">) fornita in standard di rendicontazione non finanziaria per la quale essa può essere intesa come la misurazione (anche quantitativa) di un tema/informazione rilevante che determina la necessità della sua </w:t>
      </w:r>
      <w:r w:rsidR="00C55C48" w:rsidRPr="00054B2B">
        <w:rPr>
          <w:rFonts w:ascii="Segoe UI" w:hAnsi="Segoe UI" w:cs="Segoe UI"/>
          <w:sz w:val="22"/>
          <w:szCs w:val="22"/>
        </w:rPr>
        <w:t>disclosure</w:t>
      </w:r>
      <w:r w:rsidR="00C55C48" w:rsidRPr="009F3641">
        <w:rPr>
          <w:rFonts w:ascii="Segoe UI" w:hAnsi="Segoe UI" w:cs="Segoe UI"/>
          <w:i/>
          <w:sz w:val="22"/>
          <w:szCs w:val="22"/>
        </w:rPr>
        <w:t xml:space="preserve"> secondo un processo determinato/definito da uno standard di rendicontazione o di un processo di rendicontazione.</w:t>
      </w:r>
    </w:p>
    <w:p w14:paraId="6E241176" w14:textId="232ED044" w:rsidR="00B25723" w:rsidRPr="00F626FF" w:rsidRDefault="008425E1" w:rsidP="00F626FF">
      <w:pPr>
        <w:keepNext/>
        <w:keepLines/>
        <w:tabs>
          <w:tab w:val="left" w:pos="567"/>
        </w:tabs>
        <w:spacing w:before="1080" w:after="720" w:line="240" w:lineRule="auto"/>
        <w:ind w:left="567" w:hanging="567"/>
        <w:outlineLvl w:val="1"/>
        <w:rPr>
          <w:rFonts w:ascii="Segoe UI" w:eastAsiaTheme="minorHAnsi" w:hAnsi="Segoe UI" w:cs="Segoe UI"/>
          <w:bCs/>
          <w:sz w:val="28"/>
          <w:szCs w:val="28"/>
        </w:rPr>
      </w:pPr>
      <w:bookmarkStart w:id="36" w:name="_Toc507973965"/>
      <w:r>
        <w:rPr>
          <w:rFonts w:ascii="Segoe UI" w:eastAsiaTheme="minorHAnsi" w:hAnsi="Segoe UI" w:cs="Segoe UI"/>
          <w:bCs/>
          <w:sz w:val="28"/>
          <w:szCs w:val="28"/>
        </w:rPr>
        <w:t>7</w:t>
      </w:r>
      <w:r w:rsidR="007657F0">
        <w:rPr>
          <w:rFonts w:ascii="Segoe UI" w:eastAsiaTheme="minorHAnsi" w:hAnsi="Segoe UI" w:cs="Segoe UI"/>
          <w:bCs/>
          <w:sz w:val="28"/>
          <w:szCs w:val="28"/>
        </w:rPr>
        <w:t>.2</w:t>
      </w:r>
      <w:r w:rsidR="007657F0">
        <w:rPr>
          <w:rFonts w:ascii="Segoe UI" w:eastAsiaTheme="minorHAnsi" w:hAnsi="Segoe UI" w:cs="Segoe UI"/>
          <w:bCs/>
          <w:sz w:val="28"/>
          <w:szCs w:val="28"/>
        </w:rPr>
        <w:tab/>
      </w:r>
      <w:r w:rsidR="001867D1" w:rsidRPr="007657F0">
        <w:rPr>
          <w:rFonts w:ascii="Segoe UI" w:eastAsiaTheme="minorHAnsi" w:hAnsi="Segoe UI" w:cs="Segoe UI"/>
          <w:bCs/>
          <w:sz w:val="28"/>
          <w:szCs w:val="28"/>
        </w:rPr>
        <w:t xml:space="preserve">Problematiche </w:t>
      </w:r>
      <w:r w:rsidR="002F485B" w:rsidRPr="007657F0">
        <w:rPr>
          <w:rFonts w:ascii="Segoe UI" w:eastAsiaTheme="minorHAnsi" w:hAnsi="Segoe UI" w:cs="Segoe UI"/>
          <w:bCs/>
          <w:sz w:val="28"/>
          <w:szCs w:val="28"/>
        </w:rPr>
        <w:t xml:space="preserve">conseguenti </w:t>
      </w:r>
      <w:r w:rsidR="005439C5">
        <w:rPr>
          <w:rFonts w:ascii="Segoe UI" w:eastAsiaTheme="minorHAnsi" w:hAnsi="Segoe UI" w:cs="Segoe UI"/>
          <w:bCs/>
          <w:sz w:val="28"/>
          <w:szCs w:val="28"/>
        </w:rPr>
        <w:t>al</w:t>
      </w:r>
      <w:r w:rsidR="001867D1" w:rsidRPr="007657F0">
        <w:rPr>
          <w:rFonts w:ascii="Segoe UI" w:eastAsiaTheme="minorHAnsi" w:hAnsi="Segoe UI" w:cs="Segoe UI"/>
          <w:bCs/>
          <w:sz w:val="28"/>
          <w:szCs w:val="28"/>
        </w:rPr>
        <w:t>la possibilità d</w:t>
      </w:r>
      <w:r w:rsidR="0007277F">
        <w:rPr>
          <w:rFonts w:ascii="Segoe UI" w:eastAsiaTheme="minorHAnsi" w:hAnsi="Segoe UI" w:cs="Segoe UI"/>
          <w:bCs/>
          <w:sz w:val="28"/>
          <w:szCs w:val="28"/>
        </w:rPr>
        <w:t xml:space="preserve">ell’adozione </w:t>
      </w:r>
      <w:r w:rsidR="006E2060" w:rsidRPr="007657F0">
        <w:rPr>
          <w:rFonts w:ascii="Segoe UI" w:eastAsiaTheme="minorHAnsi" w:hAnsi="Segoe UI" w:cs="Segoe UI"/>
          <w:bCs/>
          <w:sz w:val="28"/>
          <w:szCs w:val="28"/>
        </w:rPr>
        <w:t xml:space="preserve">di </w:t>
      </w:r>
      <w:r w:rsidR="006E2060" w:rsidRPr="005A3D6D">
        <w:rPr>
          <w:rFonts w:ascii="Segoe UI" w:eastAsiaTheme="minorHAnsi" w:hAnsi="Segoe UI" w:cs="Segoe UI"/>
          <w:bCs/>
          <w:i/>
          <w:sz w:val="28"/>
          <w:szCs w:val="28"/>
        </w:rPr>
        <w:t>standard</w:t>
      </w:r>
      <w:r w:rsidR="006E2060" w:rsidRPr="007657F0">
        <w:rPr>
          <w:rFonts w:ascii="Segoe UI" w:eastAsiaTheme="minorHAnsi" w:hAnsi="Segoe UI" w:cs="Segoe UI"/>
          <w:bCs/>
          <w:sz w:val="28"/>
          <w:szCs w:val="28"/>
        </w:rPr>
        <w:t xml:space="preserve"> di rendicontazione</w:t>
      </w:r>
      <w:r w:rsidR="0007277F">
        <w:rPr>
          <w:rFonts w:ascii="Segoe UI" w:eastAsiaTheme="minorHAnsi" w:hAnsi="Segoe UI" w:cs="Segoe UI"/>
          <w:bCs/>
          <w:sz w:val="28"/>
          <w:szCs w:val="28"/>
        </w:rPr>
        <w:t xml:space="preserve"> </w:t>
      </w:r>
      <w:r w:rsidR="0007277F" w:rsidRPr="007657F0">
        <w:rPr>
          <w:rFonts w:ascii="Segoe UI" w:eastAsiaTheme="minorHAnsi" w:hAnsi="Segoe UI" w:cs="Segoe UI"/>
          <w:bCs/>
          <w:sz w:val="28"/>
          <w:szCs w:val="28"/>
        </w:rPr>
        <w:t>divers</w:t>
      </w:r>
      <w:r w:rsidR="0007277F">
        <w:rPr>
          <w:rFonts w:ascii="Segoe UI" w:eastAsiaTheme="minorHAnsi" w:hAnsi="Segoe UI" w:cs="Segoe UI"/>
          <w:bCs/>
          <w:sz w:val="28"/>
          <w:szCs w:val="28"/>
        </w:rPr>
        <w:t>i</w:t>
      </w:r>
      <w:bookmarkEnd w:id="36"/>
    </w:p>
    <w:tbl>
      <w:tblPr>
        <w:tblStyle w:val="Tabellaelenco7acolori-colore31"/>
        <w:tblW w:w="9639" w:type="dxa"/>
        <w:jc w:val="center"/>
        <w:tblLayout w:type="fixed"/>
        <w:tblLook w:val="04A0" w:firstRow="1" w:lastRow="0" w:firstColumn="1" w:lastColumn="0" w:noHBand="0" w:noVBand="1"/>
      </w:tblPr>
      <w:tblGrid>
        <w:gridCol w:w="9639"/>
      </w:tblGrid>
      <w:tr w:rsidR="00951E1A" w:rsidRPr="00951E1A" w14:paraId="4D6C4BF1" w14:textId="77777777" w:rsidTr="00356BC3">
        <w:trPr>
          <w:cnfStyle w:val="100000000000" w:firstRow="1" w:lastRow="0" w:firstColumn="0" w:lastColumn="0" w:oddVBand="0" w:evenVBand="0" w:oddHBand="0" w:evenHBand="0" w:firstRowFirstColumn="0" w:firstRowLastColumn="0" w:lastRowFirstColumn="0" w:lastRowLastColumn="0"/>
          <w:cantSplit/>
          <w:jc w:val="center"/>
        </w:trPr>
        <w:tc>
          <w:tcPr>
            <w:cnfStyle w:val="001000000100" w:firstRow="0" w:lastRow="0" w:firstColumn="1" w:lastColumn="0" w:oddVBand="0" w:evenVBand="0" w:oddHBand="0" w:evenHBand="0" w:firstRowFirstColumn="1" w:firstRowLastColumn="0" w:lastRowFirstColumn="0" w:lastRowLastColumn="0"/>
            <w:tcW w:w="9639" w:type="dxa"/>
            <w:tcBorders>
              <w:bottom w:val="single" w:sz="12" w:space="0" w:color="525252" w:themeColor="accent3" w:themeShade="80"/>
            </w:tcBorders>
          </w:tcPr>
          <w:p w14:paraId="78BEDE8A" w14:textId="77777777" w:rsidR="00B25723" w:rsidRPr="00951E1A" w:rsidRDefault="00B25723" w:rsidP="004D1F92">
            <w:pPr>
              <w:keepNext/>
              <w:keepLines/>
              <w:spacing w:before="120" w:after="120" w:line="240" w:lineRule="auto"/>
              <w:jc w:val="both"/>
              <w:rPr>
                <w:rFonts w:ascii="Segoe UI" w:hAnsi="Segoe UI" w:cs="Segoe UI"/>
                <w:color w:val="525252" w:themeColor="accent3" w:themeShade="80"/>
              </w:rPr>
            </w:pPr>
            <w:r w:rsidRPr="00951E1A">
              <w:rPr>
                <w:rFonts w:ascii="Segoe UI" w:hAnsi="Segoe UI" w:cs="Segoe UI"/>
                <w:color w:val="525252" w:themeColor="accent3" w:themeShade="80"/>
              </w:rPr>
              <w:t>AVVERTENZA</w:t>
            </w:r>
          </w:p>
        </w:tc>
      </w:tr>
      <w:tr w:rsidR="00951E1A" w:rsidRPr="00951E1A" w14:paraId="7584CE83" w14:textId="77777777" w:rsidTr="00356BC3">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9639" w:type="dxa"/>
            <w:tcBorders>
              <w:top w:val="single" w:sz="12" w:space="0" w:color="525252" w:themeColor="accent3" w:themeShade="80"/>
              <w:right w:val="single" w:sz="12" w:space="0" w:color="525252" w:themeColor="accent3" w:themeShade="80"/>
            </w:tcBorders>
          </w:tcPr>
          <w:p w14:paraId="4EAA4779" w14:textId="2DBB8D98" w:rsidR="00B25723" w:rsidRPr="00951E1A" w:rsidRDefault="00DE086B" w:rsidP="004D1F92">
            <w:pPr>
              <w:pStyle w:val="NormaleWeb"/>
              <w:keepNext/>
              <w:keepLines/>
              <w:tabs>
                <w:tab w:val="left" w:pos="567"/>
              </w:tabs>
              <w:spacing w:before="120" w:beforeAutospacing="0" w:after="120" w:afterAutospacing="0"/>
              <w:jc w:val="both"/>
              <w:rPr>
                <w:rFonts w:ascii="Segoe UI" w:hAnsi="Segoe UI" w:cs="Segoe UI"/>
                <w:color w:val="525252" w:themeColor="accent3" w:themeShade="80"/>
                <w:sz w:val="22"/>
                <w:szCs w:val="22"/>
              </w:rPr>
            </w:pPr>
            <w:r>
              <w:rPr>
                <w:rFonts w:ascii="Segoe UI" w:hAnsi="Segoe UI" w:cs="Segoe UI"/>
                <w:color w:val="525252" w:themeColor="accent3" w:themeShade="80"/>
                <w:sz w:val="22"/>
                <w:szCs w:val="22"/>
              </w:rPr>
              <w:t xml:space="preserve">Come si è cercato invero di fare anche nei paragrafi precedenti, </w:t>
            </w:r>
            <w:r w:rsidR="00B25723" w:rsidRPr="00951E1A">
              <w:rPr>
                <w:rFonts w:ascii="Segoe UI" w:hAnsi="Segoe UI" w:cs="Segoe UI"/>
                <w:color w:val="525252" w:themeColor="accent3" w:themeShade="80"/>
                <w:sz w:val="22"/>
                <w:szCs w:val="22"/>
              </w:rPr>
              <w:t>i termini “pertinente”, “significativo”, “rilevante” e “materiale” (e i relativi sostantivi) sono</w:t>
            </w:r>
            <w:r>
              <w:rPr>
                <w:rFonts w:ascii="Segoe UI" w:hAnsi="Segoe UI" w:cs="Segoe UI"/>
                <w:color w:val="525252" w:themeColor="accent3" w:themeShade="80"/>
                <w:sz w:val="22"/>
                <w:szCs w:val="22"/>
              </w:rPr>
              <w:t xml:space="preserve"> </w:t>
            </w:r>
            <w:r w:rsidR="00B25723" w:rsidRPr="00951E1A">
              <w:rPr>
                <w:rFonts w:ascii="Segoe UI" w:hAnsi="Segoe UI" w:cs="Segoe UI"/>
                <w:color w:val="525252" w:themeColor="accent3" w:themeShade="80"/>
                <w:sz w:val="22"/>
                <w:szCs w:val="22"/>
              </w:rPr>
              <w:t>adottati nella specifica accezione</w:t>
            </w:r>
            <w:r w:rsidR="001B0E89" w:rsidRPr="00951E1A">
              <w:rPr>
                <w:rFonts w:ascii="Segoe UI" w:hAnsi="Segoe UI" w:cs="Segoe UI"/>
                <w:color w:val="525252" w:themeColor="accent3" w:themeShade="80"/>
                <w:sz w:val="22"/>
                <w:szCs w:val="22"/>
              </w:rPr>
              <w:t xml:space="preserve"> come sopra illustrata</w:t>
            </w:r>
            <w:r>
              <w:rPr>
                <w:rFonts w:ascii="Segoe UI" w:hAnsi="Segoe UI" w:cs="Segoe UI"/>
                <w:color w:val="525252" w:themeColor="accent3" w:themeShade="80"/>
                <w:sz w:val="22"/>
                <w:szCs w:val="22"/>
              </w:rPr>
              <w:t xml:space="preserve">, onde </w:t>
            </w:r>
            <w:r w:rsidR="00B25723" w:rsidRPr="00951E1A">
              <w:rPr>
                <w:rFonts w:ascii="Segoe UI" w:hAnsi="Segoe UI" w:cs="Segoe UI"/>
                <w:color w:val="525252" w:themeColor="accent3" w:themeShade="80"/>
                <w:sz w:val="22"/>
                <w:szCs w:val="22"/>
              </w:rPr>
              <w:t>evitare</w:t>
            </w:r>
            <w:r>
              <w:rPr>
                <w:rFonts w:ascii="Segoe UI" w:hAnsi="Segoe UI" w:cs="Segoe UI"/>
                <w:color w:val="525252" w:themeColor="accent3" w:themeShade="80"/>
                <w:sz w:val="22"/>
                <w:szCs w:val="22"/>
              </w:rPr>
              <w:t>,</w:t>
            </w:r>
            <w:r w:rsidR="00B25723" w:rsidRPr="00951E1A">
              <w:rPr>
                <w:rFonts w:ascii="Segoe UI" w:hAnsi="Segoe UI" w:cs="Segoe UI"/>
                <w:color w:val="525252" w:themeColor="accent3" w:themeShade="80"/>
                <w:sz w:val="22"/>
                <w:szCs w:val="22"/>
              </w:rPr>
              <w:t xml:space="preserve"> per quanto possibile</w:t>
            </w:r>
            <w:r>
              <w:rPr>
                <w:rFonts w:ascii="Segoe UI" w:hAnsi="Segoe UI" w:cs="Segoe UI"/>
                <w:color w:val="525252" w:themeColor="accent3" w:themeShade="80"/>
                <w:sz w:val="22"/>
                <w:szCs w:val="22"/>
              </w:rPr>
              <w:t xml:space="preserve">, </w:t>
            </w:r>
            <w:r w:rsidR="001B0E89" w:rsidRPr="00951E1A">
              <w:rPr>
                <w:rFonts w:ascii="Segoe UI" w:hAnsi="Segoe UI" w:cs="Segoe UI"/>
                <w:color w:val="525252" w:themeColor="accent3" w:themeShade="80"/>
                <w:sz w:val="22"/>
                <w:szCs w:val="22"/>
              </w:rPr>
              <w:t>ambiguità interpretative nel</w:t>
            </w:r>
            <w:r w:rsidR="00126E44">
              <w:rPr>
                <w:rFonts w:ascii="Segoe UI" w:hAnsi="Segoe UI" w:cs="Segoe UI"/>
                <w:color w:val="525252" w:themeColor="accent3" w:themeShade="80"/>
                <w:sz w:val="22"/>
                <w:szCs w:val="22"/>
              </w:rPr>
              <w:t>l’ambito dei r</w:t>
            </w:r>
            <w:r w:rsidR="001B0E89" w:rsidRPr="00951E1A">
              <w:rPr>
                <w:rFonts w:ascii="Segoe UI" w:hAnsi="Segoe UI" w:cs="Segoe UI"/>
                <w:color w:val="525252" w:themeColor="accent3" w:themeShade="80"/>
                <w:sz w:val="22"/>
                <w:szCs w:val="22"/>
              </w:rPr>
              <w:t>agionament</w:t>
            </w:r>
            <w:r w:rsidR="00126E44">
              <w:rPr>
                <w:rFonts w:ascii="Segoe UI" w:hAnsi="Segoe UI" w:cs="Segoe UI"/>
                <w:color w:val="525252" w:themeColor="accent3" w:themeShade="80"/>
                <w:sz w:val="22"/>
                <w:szCs w:val="22"/>
              </w:rPr>
              <w:t>i</w:t>
            </w:r>
            <w:r w:rsidR="00FF16D6">
              <w:rPr>
                <w:rFonts w:ascii="Segoe UI" w:hAnsi="Segoe UI" w:cs="Segoe UI"/>
                <w:color w:val="525252" w:themeColor="accent3" w:themeShade="80"/>
                <w:sz w:val="22"/>
                <w:szCs w:val="22"/>
              </w:rPr>
              <w:t xml:space="preserve"> proposti n</w:t>
            </w:r>
            <w:r w:rsidR="001B0E89" w:rsidRPr="00951E1A">
              <w:rPr>
                <w:rFonts w:ascii="Segoe UI" w:hAnsi="Segoe UI" w:cs="Segoe UI"/>
                <w:color w:val="525252" w:themeColor="accent3" w:themeShade="80"/>
                <w:sz w:val="22"/>
                <w:szCs w:val="22"/>
              </w:rPr>
              <w:t xml:space="preserve">el presente paragrafo. </w:t>
            </w:r>
          </w:p>
        </w:tc>
      </w:tr>
    </w:tbl>
    <w:p w14:paraId="02F36477" w14:textId="77777777" w:rsidR="00B25723" w:rsidRDefault="00B25723" w:rsidP="004D1F92">
      <w:pPr>
        <w:keepNext/>
        <w:keepLines/>
        <w:autoSpaceDE w:val="0"/>
        <w:autoSpaceDN w:val="0"/>
        <w:adjustRightInd w:val="0"/>
        <w:spacing w:before="120" w:after="120" w:line="240" w:lineRule="auto"/>
        <w:jc w:val="center"/>
        <w:rPr>
          <w:rFonts w:ascii="Segoe UI" w:hAnsi="Segoe UI" w:cs="Segoe UI"/>
          <w:i/>
          <w:sz w:val="18"/>
          <w:szCs w:val="18"/>
        </w:rPr>
      </w:pPr>
    </w:p>
    <w:p w14:paraId="7E6A7B63" w14:textId="74BE6069" w:rsidR="00B56E3E" w:rsidRDefault="00B56E3E" w:rsidP="00B56E3E">
      <w:pPr>
        <w:pStyle w:val="NormaleWeb"/>
        <w:tabs>
          <w:tab w:val="left" w:pos="567"/>
        </w:tabs>
        <w:spacing w:before="120" w:beforeAutospacing="0" w:after="120" w:afterAutospacing="0"/>
        <w:jc w:val="both"/>
        <w:rPr>
          <w:rFonts w:ascii="Segoe UI" w:hAnsi="Segoe UI" w:cs="Segoe UI"/>
          <w:sz w:val="22"/>
          <w:szCs w:val="22"/>
        </w:rPr>
      </w:pPr>
      <w:r>
        <w:rPr>
          <w:rFonts w:ascii="Segoe UI" w:hAnsi="Segoe UI" w:cs="Segoe UI"/>
          <w:sz w:val="22"/>
          <w:szCs w:val="22"/>
        </w:rPr>
        <w:t>La valenza di una terminologia comune è di supporto anche all’analisi che viene di seguito sviluppata nella comparazione delle diverse fasi proposte d</w:t>
      </w:r>
      <w:r w:rsidR="00DC3864">
        <w:rPr>
          <w:rFonts w:ascii="Segoe UI" w:hAnsi="Segoe UI" w:cs="Segoe UI"/>
          <w:sz w:val="22"/>
          <w:szCs w:val="22"/>
        </w:rPr>
        <w:t>alle</w:t>
      </w:r>
      <w:r>
        <w:rPr>
          <w:rFonts w:ascii="Segoe UI" w:hAnsi="Segoe UI" w:cs="Segoe UI"/>
          <w:sz w:val="22"/>
          <w:szCs w:val="22"/>
        </w:rPr>
        <w:t xml:space="preserve"> principali</w:t>
      </w:r>
      <w:r w:rsidR="00C7741A">
        <w:rPr>
          <w:rFonts w:ascii="Segoe UI" w:hAnsi="Segoe UI" w:cs="Segoe UI"/>
          <w:sz w:val="22"/>
          <w:szCs w:val="22"/>
        </w:rPr>
        <w:t xml:space="preserve"> </w:t>
      </w:r>
      <w:r>
        <w:rPr>
          <w:rFonts w:ascii="Segoe UI" w:hAnsi="Segoe UI" w:cs="Segoe UI"/>
          <w:sz w:val="22"/>
          <w:szCs w:val="22"/>
        </w:rPr>
        <w:t>organizzazioni internazionali nel definire un processo volto all’applicazione del principio di materialità.</w:t>
      </w:r>
    </w:p>
    <w:p w14:paraId="05F6FB7A" w14:textId="3A76343F" w:rsidR="00AF33CD" w:rsidRDefault="00AF33CD" w:rsidP="00AF33CD">
      <w:pPr>
        <w:pStyle w:val="NormaleWeb"/>
        <w:tabs>
          <w:tab w:val="left" w:pos="567"/>
        </w:tabs>
        <w:spacing w:before="120" w:beforeAutospacing="0" w:after="120" w:afterAutospacing="0"/>
        <w:jc w:val="both"/>
        <w:rPr>
          <w:rFonts w:ascii="Segoe UI" w:hAnsi="Segoe UI" w:cs="Segoe UI"/>
          <w:sz w:val="22"/>
          <w:szCs w:val="22"/>
        </w:rPr>
      </w:pPr>
      <w:r>
        <w:rPr>
          <w:rFonts w:ascii="Segoe UI" w:hAnsi="Segoe UI" w:cs="Segoe UI"/>
          <w:sz w:val="22"/>
          <w:szCs w:val="22"/>
        </w:rPr>
        <w:t>La tabella che segue riport</w:t>
      </w:r>
      <w:r w:rsidR="001313D6">
        <w:rPr>
          <w:rFonts w:ascii="Segoe UI" w:hAnsi="Segoe UI" w:cs="Segoe UI"/>
          <w:sz w:val="22"/>
          <w:szCs w:val="22"/>
        </w:rPr>
        <w:t xml:space="preserve">a </w:t>
      </w:r>
      <w:r>
        <w:rPr>
          <w:rFonts w:ascii="Segoe UI" w:hAnsi="Segoe UI" w:cs="Segoe UI"/>
          <w:sz w:val="22"/>
          <w:szCs w:val="22"/>
        </w:rPr>
        <w:t xml:space="preserve">le definizioni di </w:t>
      </w:r>
      <w:r w:rsidR="001313D6">
        <w:rPr>
          <w:rFonts w:ascii="Segoe UI" w:hAnsi="Segoe UI" w:cs="Segoe UI"/>
          <w:sz w:val="22"/>
          <w:szCs w:val="22"/>
        </w:rPr>
        <w:t>“</w:t>
      </w:r>
      <w:r>
        <w:rPr>
          <w:rFonts w:ascii="Segoe UI" w:hAnsi="Segoe UI" w:cs="Segoe UI"/>
          <w:sz w:val="22"/>
          <w:szCs w:val="22"/>
        </w:rPr>
        <w:t>materialità</w:t>
      </w:r>
      <w:r w:rsidR="001313D6">
        <w:rPr>
          <w:rFonts w:ascii="Segoe UI" w:hAnsi="Segoe UI" w:cs="Segoe UI"/>
          <w:sz w:val="22"/>
          <w:szCs w:val="22"/>
        </w:rPr>
        <w:t>”</w:t>
      </w:r>
      <w:r>
        <w:rPr>
          <w:rFonts w:ascii="Segoe UI" w:hAnsi="Segoe UI" w:cs="Segoe UI"/>
          <w:sz w:val="22"/>
          <w:szCs w:val="22"/>
        </w:rPr>
        <w:t xml:space="preserve"> </w:t>
      </w:r>
      <w:r w:rsidR="001313D6">
        <w:rPr>
          <w:rFonts w:ascii="Segoe UI" w:hAnsi="Segoe UI" w:cs="Segoe UI"/>
          <w:sz w:val="22"/>
          <w:szCs w:val="22"/>
        </w:rPr>
        <w:t>utilizzate</w:t>
      </w:r>
      <w:r>
        <w:rPr>
          <w:rFonts w:ascii="Segoe UI" w:hAnsi="Segoe UI" w:cs="Segoe UI"/>
          <w:sz w:val="22"/>
          <w:szCs w:val="22"/>
        </w:rPr>
        <w:t xml:space="preserve"> da</w:t>
      </w:r>
      <w:r w:rsidR="001313D6">
        <w:rPr>
          <w:rFonts w:ascii="Segoe UI" w:hAnsi="Segoe UI" w:cs="Segoe UI"/>
          <w:sz w:val="22"/>
          <w:szCs w:val="22"/>
        </w:rPr>
        <w:t>ll’I</w:t>
      </w:r>
      <w:r>
        <w:rPr>
          <w:rFonts w:ascii="Segoe UI" w:hAnsi="Segoe UI" w:cs="Segoe UI"/>
          <w:sz w:val="22"/>
          <w:szCs w:val="22"/>
        </w:rPr>
        <w:t xml:space="preserve">nternational Accounting Standards Board (IASB), </w:t>
      </w:r>
      <w:r w:rsidR="001313D6">
        <w:rPr>
          <w:rFonts w:ascii="Segoe UI" w:hAnsi="Segoe UI" w:cs="Segoe UI"/>
          <w:sz w:val="22"/>
          <w:szCs w:val="22"/>
        </w:rPr>
        <w:t xml:space="preserve">dalla </w:t>
      </w:r>
      <w:r>
        <w:rPr>
          <w:rFonts w:ascii="Segoe UI" w:hAnsi="Segoe UI" w:cs="Segoe UI"/>
          <w:sz w:val="22"/>
          <w:szCs w:val="22"/>
        </w:rPr>
        <w:t xml:space="preserve">Global Reporting Initiative (GRI), </w:t>
      </w:r>
      <w:r w:rsidR="001313D6">
        <w:rPr>
          <w:rFonts w:ascii="Segoe UI" w:hAnsi="Segoe UI" w:cs="Segoe UI"/>
          <w:sz w:val="22"/>
          <w:szCs w:val="22"/>
        </w:rPr>
        <w:t>dall’</w:t>
      </w:r>
      <w:r>
        <w:rPr>
          <w:rFonts w:ascii="Segoe UI" w:hAnsi="Segoe UI" w:cs="Segoe UI"/>
          <w:sz w:val="22"/>
          <w:szCs w:val="22"/>
        </w:rPr>
        <w:t>International Integrated Reporting Council (IIRC) e</w:t>
      </w:r>
      <w:r w:rsidR="001313D6">
        <w:rPr>
          <w:rFonts w:ascii="Segoe UI" w:hAnsi="Segoe UI" w:cs="Segoe UI"/>
          <w:sz w:val="22"/>
          <w:szCs w:val="22"/>
        </w:rPr>
        <w:t xml:space="preserve"> da </w:t>
      </w:r>
      <w:r>
        <w:rPr>
          <w:rFonts w:ascii="Segoe UI" w:hAnsi="Segoe UI" w:cs="Segoe UI"/>
          <w:sz w:val="22"/>
          <w:szCs w:val="22"/>
        </w:rPr>
        <w:t>Accountancy Europe (AE)</w:t>
      </w:r>
      <w:r w:rsidR="001313D6">
        <w:rPr>
          <w:rFonts w:ascii="Segoe UI" w:hAnsi="Segoe UI" w:cs="Segoe UI"/>
          <w:sz w:val="22"/>
          <w:szCs w:val="22"/>
        </w:rPr>
        <w:t>, sulla base delle quali sono sviluppati i processi applicativi del principio di rendicontazione.</w:t>
      </w:r>
    </w:p>
    <w:p w14:paraId="7633D724" w14:textId="77777777" w:rsidR="00B25723" w:rsidRDefault="00B25723" w:rsidP="00B25723">
      <w:pPr>
        <w:pStyle w:val="NormaleWeb"/>
        <w:tabs>
          <w:tab w:val="left" w:pos="567"/>
        </w:tabs>
        <w:spacing w:before="120" w:beforeAutospacing="0" w:after="120" w:afterAutospacing="0"/>
        <w:jc w:val="both"/>
        <w:rPr>
          <w:rFonts w:ascii="Segoe UI" w:hAnsi="Segoe UI" w:cs="Segoe UI"/>
          <w:sz w:val="22"/>
          <w:szCs w:val="22"/>
          <w:highlight w:val="yellow"/>
        </w:rPr>
      </w:pPr>
    </w:p>
    <w:p w14:paraId="740E741A" w14:textId="3B42014F" w:rsidR="00951E1A" w:rsidRPr="00951E1A" w:rsidRDefault="002B45EE" w:rsidP="00572021">
      <w:pPr>
        <w:pStyle w:val="NormaleWeb"/>
        <w:keepNext/>
        <w:keepLines/>
        <w:tabs>
          <w:tab w:val="left" w:pos="567"/>
        </w:tabs>
        <w:spacing w:before="120" w:beforeAutospacing="0" w:after="120" w:afterAutospacing="0"/>
        <w:jc w:val="center"/>
        <w:rPr>
          <w:rFonts w:ascii="Segoe UI" w:hAnsi="Segoe UI" w:cs="Segoe UI"/>
          <w:bCs/>
          <w:iCs/>
          <w:color w:val="000000"/>
        </w:rPr>
      </w:pPr>
      <w:r>
        <w:rPr>
          <w:rFonts w:ascii="Segoe UI" w:hAnsi="Segoe UI" w:cs="Segoe UI"/>
          <w:bCs/>
          <w:iCs/>
          <w:color w:val="000000"/>
        </w:rPr>
        <w:t xml:space="preserve">Tabella </w:t>
      </w:r>
      <w:r w:rsidR="00865484">
        <w:rPr>
          <w:rFonts w:ascii="Segoe UI" w:hAnsi="Segoe UI" w:cs="Segoe UI"/>
          <w:bCs/>
          <w:iCs/>
          <w:color w:val="000000"/>
        </w:rPr>
        <w:t>1</w:t>
      </w:r>
      <w:r w:rsidR="004D1F92">
        <w:rPr>
          <w:rFonts w:ascii="Segoe UI" w:hAnsi="Segoe UI" w:cs="Segoe UI"/>
          <w:bCs/>
          <w:iCs/>
          <w:color w:val="000000"/>
        </w:rPr>
        <w:t>: P</w:t>
      </w:r>
      <w:r>
        <w:rPr>
          <w:rFonts w:ascii="Segoe UI" w:hAnsi="Segoe UI" w:cs="Segoe UI"/>
          <w:bCs/>
          <w:iCs/>
          <w:color w:val="000000"/>
        </w:rPr>
        <w:t xml:space="preserve">rocessi </w:t>
      </w:r>
      <w:r w:rsidR="004E3FAE">
        <w:rPr>
          <w:rFonts w:ascii="Segoe UI" w:hAnsi="Segoe UI" w:cs="Segoe UI"/>
          <w:bCs/>
          <w:iCs/>
          <w:color w:val="000000"/>
        </w:rPr>
        <w:t>per la determinazione della materialità: definizion</w:t>
      </w:r>
      <w:r w:rsidR="004D1F92">
        <w:rPr>
          <w:rFonts w:ascii="Segoe UI" w:hAnsi="Segoe UI" w:cs="Segoe UI"/>
          <w:bCs/>
          <w:iCs/>
          <w:color w:val="000000"/>
        </w:rPr>
        <w:t>i</w:t>
      </w:r>
    </w:p>
    <w:tbl>
      <w:tblPr>
        <w:tblStyle w:val="Tabellagriglia2-colore3"/>
        <w:tblW w:w="9639" w:type="dxa"/>
        <w:tblLayout w:type="fixed"/>
        <w:tblLook w:val="04A0" w:firstRow="1" w:lastRow="0" w:firstColumn="1" w:lastColumn="0" w:noHBand="0" w:noVBand="1"/>
      </w:tblPr>
      <w:tblGrid>
        <w:gridCol w:w="1242"/>
        <w:gridCol w:w="2694"/>
        <w:gridCol w:w="2126"/>
        <w:gridCol w:w="1843"/>
        <w:gridCol w:w="1734"/>
      </w:tblGrid>
      <w:tr w:rsidR="00951E1A" w:rsidRPr="00B00980" w14:paraId="24BBD7B6" w14:textId="77777777" w:rsidTr="00A855BE">
        <w:trPr>
          <w:cnfStyle w:val="100000000000" w:firstRow="1" w:lastRow="0" w:firstColumn="0" w:lastColumn="0" w:oddVBand="0" w:evenVBand="0" w:oddHBand="0"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242" w:type="dxa"/>
            <w:noWrap/>
            <w:hideMark/>
          </w:tcPr>
          <w:p w14:paraId="39E80E35" w14:textId="77777777" w:rsidR="00951E1A" w:rsidRPr="00B00980" w:rsidRDefault="00951E1A" w:rsidP="00A855BE">
            <w:pPr>
              <w:keepNext/>
              <w:keepLines/>
              <w:spacing w:after="0" w:line="240" w:lineRule="auto"/>
              <w:rPr>
                <w:rFonts w:ascii="Segoe UI" w:eastAsia="Times New Roman" w:hAnsi="Segoe UI" w:cs="Segoe UI"/>
                <w:color w:val="000000"/>
                <w:sz w:val="16"/>
                <w:szCs w:val="16"/>
                <w:lang w:eastAsia="it-IT"/>
              </w:rPr>
            </w:pPr>
          </w:p>
        </w:tc>
        <w:tc>
          <w:tcPr>
            <w:tcW w:w="2694" w:type="dxa"/>
            <w:tcBorders>
              <w:right w:val="single" w:sz="12" w:space="0" w:color="C9C9C9" w:themeColor="accent3" w:themeTint="99"/>
            </w:tcBorders>
            <w:noWrap/>
            <w:hideMark/>
          </w:tcPr>
          <w:p w14:paraId="1675E092" w14:textId="39114FB8" w:rsidR="00951E1A" w:rsidRPr="00951E1A" w:rsidRDefault="00951E1A" w:rsidP="00A855BE">
            <w:pPr>
              <w:keepNext/>
              <w:keepLine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b w:val="0"/>
                <w:color w:val="000000"/>
                <w:sz w:val="16"/>
                <w:szCs w:val="16"/>
                <w:lang w:eastAsia="it-IT"/>
              </w:rPr>
            </w:pPr>
            <w:r w:rsidRPr="00951E1A">
              <w:rPr>
                <w:rFonts w:ascii="Segoe UI" w:eastAsia="Times New Roman" w:hAnsi="Segoe UI" w:cs="Segoe UI"/>
                <w:b w:val="0"/>
                <w:i/>
                <w:iCs/>
                <w:color w:val="000000"/>
                <w:sz w:val="16"/>
                <w:szCs w:val="16"/>
                <w:lang w:eastAsia="it-IT"/>
              </w:rPr>
              <w:t xml:space="preserve">Financial </w:t>
            </w:r>
            <w:r w:rsidR="00800FAF">
              <w:rPr>
                <w:rFonts w:ascii="Segoe UI" w:eastAsia="Times New Roman" w:hAnsi="Segoe UI" w:cs="Segoe UI"/>
                <w:b w:val="0"/>
                <w:i/>
                <w:iCs/>
                <w:color w:val="000000"/>
                <w:sz w:val="16"/>
                <w:szCs w:val="16"/>
                <w:lang w:eastAsia="it-IT"/>
              </w:rPr>
              <w:t>r</w:t>
            </w:r>
            <w:r w:rsidRPr="00951E1A">
              <w:rPr>
                <w:rFonts w:ascii="Segoe UI" w:eastAsia="Times New Roman" w:hAnsi="Segoe UI" w:cs="Segoe UI"/>
                <w:b w:val="0"/>
                <w:i/>
                <w:iCs/>
                <w:color w:val="000000"/>
                <w:sz w:val="16"/>
                <w:szCs w:val="16"/>
                <w:lang w:eastAsia="it-IT"/>
              </w:rPr>
              <w:t>eporting</w:t>
            </w:r>
          </w:p>
        </w:tc>
        <w:tc>
          <w:tcPr>
            <w:tcW w:w="5703" w:type="dxa"/>
            <w:gridSpan w:val="3"/>
            <w:tcBorders>
              <w:left w:val="single" w:sz="12" w:space="0" w:color="C9C9C9" w:themeColor="accent3" w:themeTint="99"/>
            </w:tcBorders>
            <w:noWrap/>
            <w:hideMark/>
          </w:tcPr>
          <w:p w14:paraId="6E072FA6" w14:textId="7DA06713" w:rsidR="00951E1A" w:rsidRPr="00951E1A" w:rsidRDefault="00951E1A" w:rsidP="00A855BE">
            <w:pPr>
              <w:keepNext/>
              <w:keepLine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b w:val="0"/>
                <w:color w:val="000000"/>
                <w:sz w:val="16"/>
                <w:szCs w:val="16"/>
                <w:lang w:eastAsia="it-IT"/>
              </w:rPr>
            </w:pPr>
            <w:r w:rsidRPr="00951E1A">
              <w:rPr>
                <w:rFonts w:ascii="Segoe UI" w:eastAsia="Times New Roman" w:hAnsi="Segoe UI" w:cs="Segoe UI"/>
                <w:b w:val="0"/>
                <w:i/>
                <w:iCs/>
                <w:color w:val="000000"/>
                <w:sz w:val="16"/>
                <w:szCs w:val="16"/>
                <w:lang w:eastAsia="it-IT"/>
              </w:rPr>
              <w:t xml:space="preserve">Non-financial </w:t>
            </w:r>
            <w:r w:rsidR="00800FAF">
              <w:rPr>
                <w:rFonts w:ascii="Segoe UI" w:eastAsia="Times New Roman" w:hAnsi="Segoe UI" w:cs="Segoe UI"/>
                <w:b w:val="0"/>
                <w:i/>
                <w:iCs/>
                <w:color w:val="000000"/>
                <w:sz w:val="16"/>
                <w:szCs w:val="16"/>
                <w:lang w:eastAsia="it-IT"/>
              </w:rPr>
              <w:t>r</w:t>
            </w:r>
            <w:r w:rsidRPr="00951E1A">
              <w:rPr>
                <w:rFonts w:ascii="Segoe UI" w:eastAsia="Times New Roman" w:hAnsi="Segoe UI" w:cs="Segoe UI"/>
                <w:b w:val="0"/>
                <w:i/>
                <w:iCs/>
                <w:color w:val="000000"/>
                <w:sz w:val="16"/>
                <w:szCs w:val="16"/>
                <w:lang w:eastAsia="it-IT"/>
              </w:rPr>
              <w:t>eporting</w:t>
            </w:r>
          </w:p>
        </w:tc>
      </w:tr>
      <w:tr w:rsidR="00B25723" w:rsidRPr="00B00980" w14:paraId="337EF6A4" w14:textId="77777777" w:rsidTr="00A855BE">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242" w:type="dxa"/>
            <w:noWrap/>
            <w:hideMark/>
          </w:tcPr>
          <w:p w14:paraId="554F23E1" w14:textId="77777777" w:rsidR="00B25723" w:rsidRPr="00B00980" w:rsidRDefault="00B25723" w:rsidP="00A855BE">
            <w:pPr>
              <w:keepNext/>
              <w:keepLines/>
              <w:spacing w:after="0" w:line="240" w:lineRule="auto"/>
              <w:rPr>
                <w:rFonts w:ascii="Segoe UI" w:eastAsia="Times New Roman" w:hAnsi="Segoe UI" w:cs="Segoe UI"/>
                <w:color w:val="000000"/>
                <w:sz w:val="16"/>
                <w:szCs w:val="16"/>
                <w:lang w:eastAsia="it-IT"/>
              </w:rPr>
            </w:pPr>
          </w:p>
        </w:tc>
        <w:tc>
          <w:tcPr>
            <w:tcW w:w="2694" w:type="dxa"/>
            <w:hideMark/>
          </w:tcPr>
          <w:p w14:paraId="58204282" w14:textId="77777777" w:rsidR="00B25723" w:rsidRPr="00951E1A" w:rsidRDefault="00B25723" w:rsidP="00A855BE">
            <w:pPr>
              <w:keepNext/>
              <w:keepLine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Cs/>
                <w:color w:val="000000"/>
                <w:sz w:val="16"/>
                <w:szCs w:val="16"/>
                <w:lang w:val="en-US" w:eastAsia="it-IT"/>
              </w:rPr>
            </w:pPr>
            <w:r w:rsidRPr="00951E1A">
              <w:rPr>
                <w:rFonts w:ascii="Segoe UI" w:eastAsia="Times New Roman" w:hAnsi="Segoe UI" w:cs="Segoe UI"/>
                <w:bCs/>
                <w:color w:val="000000"/>
                <w:sz w:val="16"/>
                <w:szCs w:val="16"/>
                <w:lang w:val="en-US" w:eastAsia="it-IT"/>
              </w:rPr>
              <w:t>IASB</w:t>
            </w:r>
          </w:p>
        </w:tc>
        <w:tc>
          <w:tcPr>
            <w:tcW w:w="2126" w:type="dxa"/>
            <w:hideMark/>
          </w:tcPr>
          <w:p w14:paraId="68A451E9" w14:textId="77777777" w:rsidR="00B25723" w:rsidRPr="00951E1A" w:rsidRDefault="00B25723" w:rsidP="00A855BE">
            <w:pPr>
              <w:keepNext/>
              <w:keepLine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Cs/>
                <w:color w:val="000000"/>
                <w:sz w:val="16"/>
                <w:szCs w:val="16"/>
                <w:lang w:eastAsia="it-IT"/>
              </w:rPr>
            </w:pPr>
            <w:r w:rsidRPr="00951E1A">
              <w:rPr>
                <w:rFonts w:ascii="Segoe UI" w:eastAsia="Times New Roman" w:hAnsi="Segoe UI" w:cs="Segoe UI"/>
                <w:bCs/>
                <w:color w:val="000000"/>
                <w:sz w:val="16"/>
                <w:szCs w:val="16"/>
                <w:lang w:eastAsia="it-IT"/>
              </w:rPr>
              <w:t>GRI</w:t>
            </w:r>
          </w:p>
        </w:tc>
        <w:tc>
          <w:tcPr>
            <w:tcW w:w="1843" w:type="dxa"/>
            <w:hideMark/>
          </w:tcPr>
          <w:p w14:paraId="02E74BF0" w14:textId="77777777" w:rsidR="00B25723" w:rsidRPr="00951E1A" w:rsidRDefault="00B25723" w:rsidP="00A855BE">
            <w:pPr>
              <w:keepNext/>
              <w:keepLine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Cs/>
                <w:color w:val="000000"/>
                <w:sz w:val="16"/>
                <w:szCs w:val="16"/>
                <w:lang w:val="en-US" w:eastAsia="it-IT"/>
              </w:rPr>
            </w:pPr>
            <w:r w:rsidRPr="00951E1A">
              <w:rPr>
                <w:rFonts w:ascii="Segoe UI" w:eastAsia="Times New Roman" w:hAnsi="Segoe UI" w:cs="Segoe UI"/>
                <w:bCs/>
                <w:color w:val="000000"/>
                <w:sz w:val="16"/>
                <w:szCs w:val="16"/>
                <w:lang w:val="en-US" w:eastAsia="it-IT"/>
              </w:rPr>
              <w:t>IIRC</w:t>
            </w:r>
          </w:p>
        </w:tc>
        <w:tc>
          <w:tcPr>
            <w:tcW w:w="1734" w:type="dxa"/>
            <w:hideMark/>
          </w:tcPr>
          <w:p w14:paraId="7E58E610" w14:textId="7B853140" w:rsidR="00B25723" w:rsidRPr="00951E1A" w:rsidRDefault="00B25723" w:rsidP="00A855BE">
            <w:pPr>
              <w:keepNext/>
              <w:keepLine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Cs/>
                <w:color w:val="000000"/>
                <w:sz w:val="16"/>
                <w:szCs w:val="16"/>
                <w:lang w:eastAsia="it-IT"/>
              </w:rPr>
            </w:pPr>
            <w:r w:rsidRPr="00951E1A">
              <w:rPr>
                <w:rFonts w:ascii="Segoe UI" w:eastAsia="Times New Roman" w:hAnsi="Segoe UI" w:cs="Segoe UI"/>
                <w:bCs/>
                <w:color w:val="000000"/>
                <w:sz w:val="16"/>
                <w:szCs w:val="16"/>
                <w:lang w:eastAsia="it-IT"/>
              </w:rPr>
              <w:t>AE</w:t>
            </w:r>
          </w:p>
        </w:tc>
      </w:tr>
      <w:tr w:rsidR="00A855BE" w:rsidRPr="008661E6" w14:paraId="0659B062" w14:textId="77777777" w:rsidTr="00A855BE">
        <w:trPr>
          <w:cantSplit/>
          <w:trHeight w:val="20"/>
        </w:trPr>
        <w:tc>
          <w:tcPr>
            <w:cnfStyle w:val="001000000000" w:firstRow="0" w:lastRow="0" w:firstColumn="1" w:lastColumn="0" w:oddVBand="0" w:evenVBand="0" w:oddHBand="0" w:evenHBand="0" w:firstRowFirstColumn="0" w:firstRowLastColumn="0" w:lastRowFirstColumn="0" w:lastRowLastColumn="0"/>
            <w:tcW w:w="1242" w:type="dxa"/>
            <w:vMerge w:val="restart"/>
            <w:hideMark/>
          </w:tcPr>
          <w:p w14:paraId="1B5020E6" w14:textId="77777777" w:rsidR="00A855BE" w:rsidRPr="00951E1A" w:rsidRDefault="00A855BE" w:rsidP="00A855BE">
            <w:pPr>
              <w:keepNext/>
              <w:keepLines/>
              <w:spacing w:after="0" w:line="240" w:lineRule="auto"/>
              <w:jc w:val="center"/>
              <w:rPr>
                <w:rFonts w:ascii="Segoe UI" w:eastAsia="Times New Roman" w:hAnsi="Segoe UI" w:cs="Segoe UI"/>
                <w:b w:val="0"/>
                <w:bCs w:val="0"/>
                <w:i/>
                <w:iCs/>
                <w:color w:val="000000"/>
                <w:sz w:val="16"/>
                <w:szCs w:val="16"/>
                <w:lang w:eastAsia="it-IT"/>
              </w:rPr>
            </w:pPr>
            <w:r w:rsidRPr="00951E1A">
              <w:rPr>
                <w:rFonts w:ascii="Segoe UI" w:eastAsia="Times New Roman" w:hAnsi="Segoe UI" w:cs="Segoe UI"/>
                <w:b w:val="0"/>
                <w:i/>
                <w:iCs/>
                <w:color w:val="000000"/>
                <w:sz w:val="16"/>
                <w:szCs w:val="16"/>
                <w:lang w:eastAsia="it-IT"/>
              </w:rPr>
              <w:t>Definizioni</w:t>
            </w:r>
          </w:p>
        </w:tc>
        <w:tc>
          <w:tcPr>
            <w:tcW w:w="2694" w:type="dxa"/>
          </w:tcPr>
          <w:p w14:paraId="6C0AD7C4" w14:textId="1604E1B2" w:rsidR="00A855BE" w:rsidRPr="00AD27C7" w:rsidRDefault="00A855BE" w:rsidP="00A855BE">
            <w:pPr>
              <w:keepNext/>
              <w:keepLines/>
              <w:spacing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i/>
                <w:color w:val="000000"/>
                <w:sz w:val="16"/>
                <w:szCs w:val="16"/>
                <w:lang w:val="en-US" w:eastAsia="it-IT"/>
              </w:rPr>
            </w:pPr>
            <w:r w:rsidRPr="00723BCB">
              <w:rPr>
                <w:rFonts w:ascii="Segoe UI" w:eastAsia="Times New Roman" w:hAnsi="Segoe UI" w:cs="Segoe UI"/>
                <w:i/>
                <w:color w:val="000000"/>
                <w:sz w:val="16"/>
                <w:szCs w:val="16"/>
                <w:lang w:val="en-US" w:eastAsia="it-IT"/>
              </w:rPr>
              <w:t>Information is material if omitting or misstating it could influence decisions that users make on the basis of financial information about specific reporting entity. In other words, materiality is an entity-specific aspect of relevance based on the nature or magnitude of both, of the item to which the information relates in the context of an individual entity’s financial report.</w:t>
            </w:r>
          </w:p>
        </w:tc>
        <w:tc>
          <w:tcPr>
            <w:tcW w:w="2126" w:type="dxa"/>
          </w:tcPr>
          <w:p w14:paraId="5453350A" w14:textId="77777777" w:rsidR="00A855BE" w:rsidRPr="00AD27C7" w:rsidRDefault="00A855BE" w:rsidP="00A855BE">
            <w:pPr>
              <w:keepNext/>
              <w:keepLines/>
              <w:spacing w:before="40" w:after="4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i/>
                <w:color w:val="000000"/>
                <w:sz w:val="16"/>
                <w:szCs w:val="16"/>
                <w:lang w:val="en-US" w:eastAsia="it-IT"/>
              </w:rPr>
            </w:pPr>
            <w:r w:rsidRPr="00AD27C7">
              <w:rPr>
                <w:rFonts w:ascii="Segoe UI" w:eastAsia="Times New Roman" w:hAnsi="Segoe UI" w:cs="Segoe UI"/>
                <w:i/>
                <w:color w:val="000000"/>
                <w:sz w:val="16"/>
                <w:szCs w:val="16"/>
                <w:lang w:val="en-US" w:eastAsia="it-IT"/>
              </w:rPr>
              <w:t>The report should cover topics that:</w:t>
            </w:r>
          </w:p>
          <w:p w14:paraId="1726B67F" w14:textId="77777777" w:rsidR="00A855BE" w:rsidRPr="00723BCB" w:rsidRDefault="00A855BE" w:rsidP="00A855BE">
            <w:pPr>
              <w:pStyle w:val="Paragrafoelenco"/>
              <w:keepNext/>
              <w:keepLines/>
              <w:numPr>
                <w:ilvl w:val="0"/>
                <w:numId w:val="47"/>
              </w:numPr>
              <w:tabs>
                <w:tab w:val="left" w:pos="144"/>
              </w:tabs>
              <w:spacing w:before="40" w:after="40" w:line="240" w:lineRule="auto"/>
              <w:ind w:left="142" w:hanging="142"/>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i/>
                <w:color w:val="000000"/>
                <w:sz w:val="16"/>
                <w:szCs w:val="16"/>
                <w:lang w:val="en-US" w:eastAsia="it-IT"/>
              </w:rPr>
            </w:pPr>
            <w:r w:rsidRPr="00723BCB">
              <w:rPr>
                <w:rFonts w:ascii="Segoe UI" w:eastAsia="Times New Roman" w:hAnsi="Segoe UI" w:cs="Segoe UI"/>
                <w:i/>
                <w:color w:val="000000"/>
                <w:sz w:val="16"/>
                <w:szCs w:val="16"/>
                <w:lang w:val="en-US" w:eastAsia="it-IT"/>
              </w:rPr>
              <w:t>reflect the organization's significant economic, environmental and social impacts; or</w:t>
            </w:r>
          </w:p>
          <w:p w14:paraId="4946B54D" w14:textId="4333F543" w:rsidR="00A855BE" w:rsidRPr="00AD27C7" w:rsidRDefault="00A855BE" w:rsidP="00A855BE">
            <w:pPr>
              <w:pStyle w:val="Paragrafoelenco"/>
              <w:keepNext/>
              <w:keepLines/>
              <w:numPr>
                <w:ilvl w:val="0"/>
                <w:numId w:val="47"/>
              </w:numPr>
              <w:tabs>
                <w:tab w:val="left" w:pos="144"/>
              </w:tabs>
              <w:spacing w:before="40" w:after="40" w:line="240" w:lineRule="auto"/>
              <w:ind w:left="142" w:hanging="142"/>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i/>
                <w:color w:val="000000"/>
                <w:sz w:val="16"/>
                <w:szCs w:val="16"/>
                <w:lang w:val="en-US" w:eastAsia="it-IT"/>
              </w:rPr>
            </w:pPr>
            <w:r w:rsidRPr="00723BCB">
              <w:rPr>
                <w:rFonts w:ascii="Segoe UI" w:eastAsia="Times New Roman" w:hAnsi="Segoe UI" w:cs="Segoe UI"/>
                <w:i/>
                <w:color w:val="000000"/>
                <w:sz w:val="16"/>
                <w:szCs w:val="16"/>
                <w:lang w:val="en-US" w:eastAsia="it-IT"/>
              </w:rPr>
              <w:t>sustainability influence the assessments and decisions of stakeholders.</w:t>
            </w:r>
          </w:p>
        </w:tc>
        <w:tc>
          <w:tcPr>
            <w:tcW w:w="1843" w:type="dxa"/>
          </w:tcPr>
          <w:p w14:paraId="38A62CE8" w14:textId="3B54DDFD" w:rsidR="00A855BE" w:rsidRPr="00AD27C7" w:rsidRDefault="00A855BE" w:rsidP="00A855BE">
            <w:pPr>
              <w:keepNext/>
              <w:keepLines/>
              <w:spacing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i/>
                <w:color w:val="000000"/>
                <w:sz w:val="16"/>
                <w:szCs w:val="16"/>
                <w:lang w:val="en-US" w:eastAsia="it-IT"/>
              </w:rPr>
            </w:pPr>
            <w:r w:rsidRPr="00AD27C7">
              <w:rPr>
                <w:rFonts w:ascii="Segoe UI" w:eastAsia="Times New Roman" w:hAnsi="Segoe UI" w:cs="Segoe UI"/>
                <w:i/>
                <w:color w:val="000000"/>
                <w:sz w:val="16"/>
                <w:szCs w:val="16"/>
                <w:lang w:val="en-US" w:eastAsia="it-IT"/>
              </w:rPr>
              <w:t>An integrated report should disclose information about matters that substantively affect the organization ability to create value over the short, medium and long term</w:t>
            </w:r>
            <w:r>
              <w:rPr>
                <w:rFonts w:ascii="Segoe UI" w:eastAsia="Times New Roman" w:hAnsi="Segoe UI" w:cs="Segoe UI"/>
                <w:i/>
                <w:color w:val="000000"/>
                <w:sz w:val="16"/>
                <w:szCs w:val="16"/>
                <w:lang w:val="en-US" w:eastAsia="it-IT"/>
              </w:rPr>
              <w:t>.</w:t>
            </w:r>
          </w:p>
        </w:tc>
        <w:tc>
          <w:tcPr>
            <w:tcW w:w="1734" w:type="dxa"/>
          </w:tcPr>
          <w:p w14:paraId="5A158344" w14:textId="41D4F3CC" w:rsidR="00A855BE" w:rsidRPr="00AD27C7" w:rsidRDefault="00A855BE" w:rsidP="00A855BE">
            <w:pPr>
              <w:keepNext/>
              <w:keepLines/>
              <w:spacing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i/>
                <w:color w:val="000000"/>
                <w:sz w:val="16"/>
                <w:szCs w:val="16"/>
                <w:lang w:val="en-US" w:eastAsia="it-IT"/>
              </w:rPr>
            </w:pPr>
            <w:r w:rsidRPr="00AD27C7">
              <w:rPr>
                <w:rFonts w:ascii="Segoe UI" w:eastAsia="Times New Roman" w:hAnsi="Segoe UI" w:cs="Segoe UI"/>
                <w:i/>
                <w:color w:val="000000"/>
                <w:sz w:val="16"/>
                <w:szCs w:val="16"/>
                <w:lang w:val="en-US" w:eastAsia="it-IT"/>
              </w:rPr>
              <w:t>The report should describe material input and output affecting the company's value creation</w:t>
            </w:r>
            <w:r>
              <w:rPr>
                <w:rFonts w:ascii="Segoe UI" w:eastAsia="Times New Roman" w:hAnsi="Segoe UI" w:cs="Segoe UI"/>
                <w:i/>
                <w:color w:val="000000"/>
                <w:sz w:val="16"/>
                <w:szCs w:val="16"/>
                <w:lang w:val="en-US" w:eastAsia="it-IT"/>
              </w:rPr>
              <w:t>.</w:t>
            </w:r>
          </w:p>
        </w:tc>
      </w:tr>
      <w:tr w:rsidR="00A855BE" w:rsidRPr="00B00980" w14:paraId="62E360D0" w14:textId="77777777" w:rsidTr="00A855BE">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242" w:type="dxa"/>
            <w:vMerge/>
            <w:hideMark/>
          </w:tcPr>
          <w:p w14:paraId="39D04990" w14:textId="77777777" w:rsidR="00A855BE" w:rsidRPr="00B00980" w:rsidRDefault="00A855BE" w:rsidP="00A855BE">
            <w:pPr>
              <w:keepNext/>
              <w:keepLines/>
              <w:spacing w:after="0" w:line="240" w:lineRule="auto"/>
              <w:rPr>
                <w:rFonts w:ascii="Segoe UI" w:eastAsia="Times New Roman" w:hAnsi="Segoe UI" w:cs="Segoe UI"/>
                <w:b w:val="0"/>
                <w:bCs w:val="0"/>
                <w:i/>
                <w:iCs/>
                <w:color w:val="000000"/>
                <w:sz w:val="16"/>
                <w:szCs w:val="16"/>
                <w:lang w:val="en-US" w:eastAsia="it-IT"/>
              </w:rPr>
            </w:pPr>
          </w:p>
        </w:tc>
        <w:tc>
          <w:tcPr>
            <w:tcW w:w="2694" w:type="dxa"/>
          </w:tcPr>
          <w:p w14:paraId="06A2E85E" w14:textId="2199BE7D" w:rsidR="00A855BE" w:rsidRPr="00B00980" w:rsidRDefault="00A855BE" w:rsidP="00A855BE">
            <w:pPr>
              <w:keepNext/>
              <w:keepLines/>
              <w:spacing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6"/>
                <w:szCs w:val="16"/>
                <w:lang w:eastAsia="it-IT"/>
              </w:rPr>
            </w:pPr>
            <w:r w:rsidRPr="00B00980">
              <w:rPr>
                <w:rFonts w:ascii="Segoe UI" w:eastAsia="Times New Roman" w:hAnsi="Segoe UI" w:cs="Segoe UI"/>
                <w:color w:val="000000"/>
                <w:sz w:val="16"/>
                <w:szCs w:val="16"/>
                <w:lang w:eastAsia="it-IT"/>
              </w:rPr>
              <w:t>Un</w:t>
            </w:r>
            <w:r>
              <w:rPr>
                <w:rFonts w:ascii="Segoe UI" w:eastAsia="Times New Roman" w:hAnsi="Segoe UI" w:cs="Segoe UI"/>
                <w:color w:val="000000"/>
                <w:sz w:val="16"/>
                <w:szCs w:val="16"/>
                <w:lang w:eastAsia="it-IT"/>
              </w:rPr>
              <w:t>’</w:t>
            </w:r>
            <w:r w:rsidRPr="00B00980">
              <w:rPr>
                <w:rFonts w:ascii="Segoe UI" w:eastAsia="Times New Roman" w:hAnsi="Segoe UI" w:cs="Segoe UI"/>
                <w:color w:val="000000"/>
                <w:sz w:val="16"/>
                <w:szCs w:val="16"/>
                <w:lang w:eastAsia="it-IT"/>
              </w:rPr>
              <w:t xml:space="preserve">informazione è </w:t>
            </w:r>
            <w:r w:rsidRPr="00D20ED0">
              <w:rPr>
                <w:rFonts w:ascii="Segoe UI" w:eastAsia="Times New Roman" w:hAnsi="Segoe UI" w:cs="Segoe UI"/>
                <w:i/>
                <w:color w:val="000000"/>
                <w:sz w:val="16"/>
                <w:szCs w:val="16"/>
                <w:lang w:eastAsia="it-IT"/>
              </w:rPr>
              <w:t>material</w:t>
            </w:r>
            <w:r w:rsidRPr="00B00980">
              <w:rPr>
                <w:rFonts w:ascii="Segoe UI" w:eastAsia="Times New Roman" w:hAnsi="Segoe UI" w:cs="Segoe UI"/>
                <w:color w:val="000000"/>
                <w:sz w:val="16"/>
                <w:szCs w:val="16"/>
                <w:lang w:eastAsia="it-IT"/>
              </w:rPr>
              <w:t xml:space="preserve"> (rilevante) se la sua omissione o errata presentazione potrebbe influenzare le decisioni </w:t>
            </w:r>
            <w:r>
              <w:rPr>
                <w:rFonts w:ascii="Segoe UI" w:eastAsia="Times New Roman" w:hAnsi="Segoe UI" w:cs="Segoe UI"/>
                <w:color w:val="000000"/>
                <w:sz w:val="16"/>
                <w:szCs w:val="16"/>
                <w:lang w:eastAsia="it-IT"/>
              </w:rPr>
              <w:t xml:space="preserve">che gli </w:t>
            </w:r>
            <w:r w:rsidRPr="00B00980">
              <w:rPr>
                <w:rFonts w:ascii="Segoe UI" w:eastAsia="Times New Roman" w:hAnsi="Segoe UI" w:cs="Segoe UI"/>
                <w:color w:val="000000"/>
                <w:sz w:val="16"/>
                <w:szCs w:val="16"/>
                <w:lang w:eastAsia="it-IT"/>
              </w:rPr>
              <w:t>utilizzatori assu</w:t>
            </w:r>
            <w:r>
              <w:rPr>
                <w:rFonts w:ascii="Segoe UI" w:eastAsia="Times New Roman" w:hAnsi="Segoe UI" w:cs="Segoe UI"/>
                <w:color w:val="000000"/>
                <w:sz w:val="16"/>
                <w:szCs w:val="16"/>
                <w:lang w:eastAsia="it-IT"/>
              </w:rPr>
              <w:t xml:space="preserve">mono </w:t>
            </w:r>
            <w:r w:rsidRPr="00B00980">
              <w:rPr>
                <w:rFonts w:ascii="Segoe UI" w:eastAsia="Times New Roman" w:hAnsi="Segoe UI" w:cs="Segoe UI"/>
                <w:color w:val="000000"/>
                <w:sz w:val="16"/>
                <w:szCs w:val="16"/>
                <w:lang w:eastAsia="it-IT"/>
              </w:rPr>
              <w:t>sulla base del bilancio</w:t>
            </w:r>
            <w:r>
              <w:rPr>
                <w:rFonts w:ascii="Segoe UI" w:eastAsia="Times New Roman" w:hAnsi="Segoe UI" w:cs="Segoe UI"/>
                <w:color w:val="000000"/>
                <w:sz w:val="16"/>
                <w:szCs w:val="16"/>
                <w:lang w:eastAsia="it-IT"/>
              </w:rPr>
              <w:t xml:space="preserve">. In altri termini, la </w:t>
            </w:r>
            <w:r w:rsidRPr="00723BCB">
              <w:rPr>
                <w:rFonts w:ascii="Segoe UI" w:eastAsia="Times New Roman" w:hAnsi="Segoe UI" w:cs="Segoe UI"/>
                <w:i/>
                <w:color w:val="000000"/>
                <w:sz w:val="16"/>
                <w:szCs w:val="16"/>
                <w:lang w:eastAsia="it-IT"/>
              </w:rPr>
              <w:t>materiality</w:t>
            </w:r>
            <w:r>
              <w:rPr>
                <w:rFonts w:ascii="Segoe UI" w:eastAsia="Times New Roman" w:hAnsi="Segoe UI" w:cs="Segoe UI"/>
                <w:color w:val="000000"/>
                <w:sz w:val="16"/>
                <w:szCs w:val="16"/>
                <w:lang w:eastAsia="it-IT"/>
              </w:rPr>
              <w:t xml:space="preserve"> è un aspetto, specifico per ciascun ente, della </w:t>
            </w:r>
            <w:r w:rsidRPr="00723BCB">
              <w:rPr>
                <w:rFonts w:ascii="Segoe UI" w:eastAsia="Times New Roman" w:hAnsi="Segoe UI" w:cs="Segoe UI"/>
                <w:i/>
                <w:color w:val="000000"/>
                <w:sz w:val="16"/>
                <w:szCs w:val="16"/>
                <w:lang w:eastAsia="it-IT"/>
              </w:rPr>
              <w:t>relevance</w:t>
            </w:r>
            <w:r>
              <w:rPr>
                <w:rFonts w:ascii="Segoe UI" w:eastAsia="Times New Roman" w:hAnsi="Segoe UI" w:cs="Segoe UI"/>
                <w:color w:val="000000"/>
                <w:sz w:val="16"/>
                <w:szCs w:val="16"/>
                <w:lang w:eastAsia="it-IT"/>
              </w:rPr>
              <w:t xml:space="preserve">, basato sulla natura, l’intensità o entrambe queste variabili, del tema cui l’informazione si riferisce nel contesto del </w:t>
            </w:r>
            <w:r w:rsidRPr="00723BCB">
              <w:rPr>
                <w:rFonts w:ascii="Segoe UI" w:eastAsia="Times New Roman" w:hAnsi="Segoe UI" w:cs="Segoe UI"/>
                <w:i/>
                <w:color w:val="000000"/>
                <w:sz w:val="16"/>
                <w:szCs w:val="16"/>
                <w:lang w:eastAsia="it-IT"/>
              </w:rPr>
              <w:t>report</w:t>
            </w:r>
            <w:r>
              <w:rPr>
                <w:rFonts w:ascii="Segoe UI" w:eastAsia="Times New Roman" w:hAnsi="Segoe UI" w:cs="Segoe UI"/>
                <w:color w:val="000000"/>
                <w:sz w:val="16"/>
                <w:szCs w:val="16"/>
                <w:lang w:eastAsia="it-IT"/>
              </w:rPr>
              <w:t xml:space="preserve"> finanziario di uno specifico ente.</w:t>
            </w:r>
          </w:p>
        </w:tc>
        <w:tc>
          <w:tcPr>
            <w:tcW w:w="2126" w:type="dxa"/>
          </w:tcPr>
          <w:p w14:paraId="222D9209" w14:textId="77777777" w:rsidR="00A855BE" w:rsidRDefault="00A855BE" w:rsidP="00A855BE">
            <w:pPr>
              <w:keepNext/>
              <w:keepLines/>
              <w:spacing w:before="40" w:after="4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6"/>
                <w:szCs w:val="16"/>
                <w:lang w:eastAsia="it-IT"/>
              </w:rPr>
            </w:pPr>
            <w:r w:rsidRPr="00B00980">
              <w:rPr>
                <w:rFonts w:ascii="Segoe UI" w:eastAsia="Times New Roman" w:hAnsi="Segoe UI" w:cs="Segoe UI"/>
                <w:color w:val="000000"/>
                <w:sz w:val="16"/>
                <w:szCs w:val="16"/>
                <w:lang w:eastAsia="it-IT"/>
              </w:rPr>
              <w:t>Le informazioni contenute nei report di sostenibilità delle organizzazioni devono riferirsi ai temi e agli indicatori che:</w:t>
            </w:r>
          </w:p>
          <w:p w14:paraId="494827D4" w14:textId="77777777" w:rsidR="00A855BE" w:rsidRDefault="00A855BE" w:rsidP="00A855BE">
            <w:pPr>
              <w:pStyle w:val="Paragrafoelenco"/>
              <w:keepNext/>
              <w:keepLines/>
              <w:numPr>
                <w:ilvl w:val="0"/>
                <w:numId w:val="47"/>
              </w:numPr>
              <w:tabs>
                <w:tab w:val="left" w:pos="144"/>
              </w:tabs>
              <w:spacing w:before="40" w:after="40" w:line="240" w:lineRule="auto"/>
              <w:ind w:left="142" w:hanging="142"/>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6"/>
                <w:szCs w:val="16"/>
                <w:lang w:eastAsia="it-IT"/>
              </w:rPr>
            </w:pPr>
            <w:r w:rsidRPr="00B00980">
              <w:rPr>
                <w:rFonts w:ascii="Segoe UI" w:eastAsia="Times New Roman" w:hAnsi="Segoe UI" w:cs="Segoe UI"/>
                <w:color w:val="000000"/>
                <w:sz w:val="16"/>
                <w:szCs w:val="16"/>
                <w:lang w:eastAsia="it-IT"/>
              </w:rPr>
              <w:t xml:space="preserve">riflettono i </w:t>
            </w:r>
            <w:r>
              <w:rPr>
                <w:rFonts w:ascii="Segoe UI" w:eastAsia="Times New Roman" w:hAnsi="Segoe UI" w:cs="Segoe UI"/>
                <w:color w:val="000000"/>
                <w:sz w:val="16"/>
                <w:szCs w:val="16"/>
                <w:lang w:eastAsia="it-IT"/>
              </w:rPr>
              <w:t xml:space="preserve">significativi </w:t>
            </w:r>
            <w:r w:rsidRPr="00B00980">
              <w:rPr>
                <w:rFonts w:ascii="Segoe UI" w:eastAsia="Times New Roman" w:hAnsi="Segoe UI" w:cs="Segoe UI"/>
                <w:color w:val="000000"/>
                <w:sz w:val="16"/>
                <w:szCs w:val="16"/>
                <w:lang w:eastAsia="it-IT"/>
              </w:rPr>
              <w:t>impatti economici, ambientali e sociali, o che</w:t>
            </w:r>
          </w:p>
          <w:p w14:paraId="278A562A" w14:textId="702CD192" w:rsidR="00A855BE" w:rsidRPr="00B00980" w:rsidRDefault="00A855BE" w:rsidP="00A855BE">
            <w:pPr>
              <w:pStyle w:val="Paragrafoelenco"/>
              <w:keepNext/>
              <w:keepLines/>
              <w:numPr>
                <w:ilvl w:val="0"/>
                <w:numId w:val="47"/>
              </w:numPr>
              <w:tabs>
                <w:tab w:val="left" w:pos="144"/>
              </w:tabs>
              <w:spacing w:before="40" w:after="40" w:line="240" w:lineRule="auto"/>
              <w:ind w:left="142" w:hanging="142"/>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6"/>
                <w:szCs w:val="16"/>
                <w:lang w:eastAsia="it-IT"/>
              </w:rPr>
            </w:pPr>
            <w:r w:rsidRPr="00B00980">
              <w:rPr>
                <w:rFonts w:ascii="Segoe UI" w:eastAsia="Times New Roman" w:hAnsi="Segoe UI" w:cs="Segoe UI"/>
                <w:color w:val="000000"/>
                <w:sz w:val="16"/>
                <w:szCs w:val="16"/>
                <w:lang w:eastAsia="it-IT"/>
              </w:rPr>
              <w:t xml:space="preserve">potrebbero influenzare, in modo sostanziale, le valutazioni e le decisioni degli </w:t>
            </w:r>
            <w:r w:rsidRPr="00AD27C7">
              <w:rPr>
                <w:rFonts w:ascii="Segoe UI" w:eastAsia="Times New Roman" w:hAnsi="Segoe UI" w:cs="Segoe UI"/>
                <w:i/>
                <w:color w:val="000000"/>
                <w:sz w:val="16"/>
                <w:szCs w:val="16"/>
                <w:lang w:eastAsia="it-IT"/>
              </w:rPr>
              <w:t>stakeholde</w:t>
            </w:r>
            <w:r w:rsidRPr="00B00980">
              <w:rPr>
                <w:rFonts w:ascii="Segoe UI" w:eastAsia="Times New Roman" w:hAnsi="Segoe UI" w:cs="Segoe UI"/>
                <w:color w:val="000000"/>
                <w:sz w:val="16"/>
                <w:szCs w:val="16"/>
                <w:lang w:eastAsia="it-IT"/>
              </w:rPr>
              <w:t>r.</w:t>
            </w:r>
          </w:p>
        </w:tc>
        <w:tc>
          <w:tcPr>
            <w:tcW w:w="1843" w:type="dxa"/>
          </w:tcPr>
          <w:p w14:paraId="01185D68" w14:textId="0270BAEA" w:rsidR="00A855BE" w:rsidRPr="00B00980" w:rsidRDefault="00A855BE" w:rsidP="00A855BE">
            <w:pPr>
              <w:keepNext/>
              <w:keepLines/>
              <w:spacing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6"/>
                <w:szCs w:val="16"/>
                <w:lang w:eastAsia="it-IT"/>
              </w:rPr>
            </w:pPr>
            <w:r w:rsidRPr="00B00980">
              <w:rPr>
                <w:rFonts w:ascii="Segoe UI" w:eastAsia="Times New Roman" w:hAnsi="Segoe UI" w:cs="Segoe UI"/>
                <w:color w:val="000000"/>
                <w:sz w:val="16"/>
                <w:szCs w:val="16"/>
                <w:lang w:eastAsia="it-IT"/>
              </w:rPr>
              <w:t xml:space="preserve">Un </w:t>
            </w:r>
            <w:r w:rsidRPr="007302F7">
              <w:rPr>
                <w:rFonts w:ascii="Segoe UI" w:eastAsia="Times New Roman" w:hAnsi="Segoe UI" w:cs="Segoe UI"/>
                <w:i/>
                <w:color w:val="000000"/>
                <w:sz w:val="16"/>
                <w:szCs w:val="16"/>
                <w:lang w:eastAsia="it-IT"/>
              </w:rPr>
              <w:t>report</w:t>
            </w:r>
            <w:r w:rsidRPr="00B00980">
              <w:rPr>
                <w:rFonts w:ascii="Segoe UI" w:eastAsia="Times New Roman" w:hAnsi="Segoe UI" w:cs="Segoe UI"/>
                <w:color w:val="000000"/>
                <w:sz w:val="16"/>
                <w:szCs w:val="16"/>
                <w:lang w:eastAsia="it-IT"/>
              </w:rPr>
              <w:t xml:space="preserve"> integrato deve </w:t>
            </w:r>
            <w:r>
              <w:rPr>
                <w:rFonts w:ascii="Segoe UI" w:eastAsia="Times New Roman" w:hAnsi="Segoe UI" w:cs="Segoe UI"/>
                <w:color w:val="000000"/>
                <w:sz w:val="16"/>
                <w:szCs w:val="16"/>
                <w:lang w:eastAsia="it-IT"/>
              </w:rPr>
              <w:t xml:space="preserve">fornire </w:t>
            </w:r>
            <w:r w:rsidRPr="00B00980">
              <w:rPr>
                <w:rFonts w:ascii="Segoe UI" w:eastAsia="Times New Roman" w:hAnsi="Segoe UI" w:cs="Segoe UI"/>
                <w:color w:val="000000"/>
                <w:sz w:val="16"/>
                <w:szCs w:val="16"/>
                <w:lang w:eastAsia="it-IT"/>
              </w:rPr>
              <w:t>le informazion</w:t>
            </w:r>
            <w:r>
              <w:rPr>
                <w:rFonts w:ascii="Segoe UI" w:eastAsia="Times New Roman" w:hAnsi="Segoe UI" w:cs="Segoe UI"/>
                <w:color w:val="000000"/>
                <w:sz w:val="16"/>
                <w:szCs w:val="16"/>
                <w:lang w:eastAsia="it-IT"/>
              </w:rPr>
              <w:t>i</w:t>
            </w:r>
            <w:r w:rsidRPr="00B00980">
              <w:rPr>
                <w:rFonts w:ascii="Segoe UI" w:eastAsia="Times New Roman" w:hAnsi="Segoe UI" w:cs="Segoe UI"/>
                <w:color w:val="000000"/>
                <w:sz w:val="16"/>
                <w:szCs w:val="16"/>
                <w:lang w:eastAsia="it-IT"/>
              </w:rPr>
              <w:t xml:space="preserve"> sugli aspetti che sostanzialmente impattano sulla capacità dell</w:t>
            </w:r>
            <w:r>
              <w:rPr>
                <w:rFonts w:ascii="Segoe UI" w:eastAsia="Times New Roman" w:hAnsi="Segoe UI" w:cs="Segoe UI"/>
                <w:color w:val="000000"/>
                <w:sz w:val="16"/>
                <w:szCs w:val="16"/>
                <w:lang w:eastAsia="it-IT"/>
              </w:rPr>
              <w:t>’</w:t>
            </w:r>
            <w:r w:rsidRPr="00B00980">
              <w:rPr>
                <w:rFonts w:ascii="Segoe UI" w:eastAsia="Times New Roman" w:hAnsi="Segoe UI" w:cs="Segoe UI"/>
                <w:color w:val="000000"/>
                <w:sz w:val="16"/>
                <w:szCs w:val="16"/>
                <w:lang w:eastAsia="it-IT"/>
              </w:rPr>
              <w:t>organizzazione di creare valore nel breve, medio e lungo periodo</w:t>
            </w:r>
            <w:r>
              <w:rPr>
                <w:rFonts w:ascii="Segoe UI" w:eastAsia="Times New Roman" w:hAnsi="Segoe UI" w:cs="Segoe UI"/>
                <w:color w:val="000000"/>
                <w:sz w:val="16"/>
                <w:szCs w:val="16"/>
                <w:lang w:eastAsia="it-IT"/>
              </w:rPr>
              <w:t>.</w:t>
            </w:r>
          </w:p>
        </w:tc>
        <w:tc>
          <w:tcPr>
            <w:tcW w:w="1734" w:type="dxa"/>
          </w:tcPr>
          <w:p w14:paraId="1EC41196" w14:textId="39BF53A3" w:rsidR="00A855BE" w:rsidRPr="00B00980" w:rsidRDefault="00A855BE" w:rsidP="00A855BE">
            <w:pPr>
              <w:keepNext/>
              <w:keepLines/>
              <w:spacing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6"/>
                <w:szCs w:val="16"/>
                <w:lang w:eastAsia="it-IT"/>
              </w:rPr>
            </w:pPr>
            <w:r>
              <w:rPr>
                <w:rFonts w:ascii="Segoe UI" w:eastAsia="Times New Roman" w:hAnsi="Segoe UI" w:cs="Segoe UI"/>
                <w:color w:val="000000"/>
                <w:sz w:val="16"/>
                <w:szCs w:val="16"/>
                <w:lang w:eastAsia="it-IT"/>
              </w:rPr>
              <w:t xml:space="preserve">Il report deve descrivere </w:t>
            </w:r>
            <w:r w:rsidRPr="00B00980">
              <w:rPr>
                <w:rFonts w:ascii="Segoe UI" w:eastAsia="Times New Roman" w:hAnsi="Segoe UI" w:cs="Segoe UI"/>
                <w:color w:val="000000"/>
                <w:sz w:val="16"/>
                <w:szCs w:val="16"/>
                <w:lang w:eastAsia="it-IT"/>
              </w:rPr>
              <w:t xml:space="preserve">gli </w:t>
            </w:r>
            <w:r w:rsidRPr="007302F7">
              <w:rPr>
                <w:rFonts w:ascii="Segoe UI" w:eastAsia="Times New Roman" w:hAnsi="Segoe UI" w:cs="Segoe UI"/>
                <w:i/>
                <w:color w:val="000000"/>
                <w:sz w:val="16"/>
                <w:szCs w:val="16"/>
                <w:lang w:eastAsia="it-IT"/>
              </w:rPr>
              <w:t>input</w:t>
            </w:r>
            <w:r w:rsidRPr="00B00980">
              <w:rPr>
                <w:rFonts w:ascii="Segoe UI" w:eastAsia="Times New Roman" w:hAnsi="Segoe UI" w:cs="Segoe UI"/>
                <w:color w:val="000000"/>
                <w:sz w:val="16"/>
                <w:szCs w:val="16"/>
                <w:lang w:eastAsia="it-IT"/>
              </w:rPr>
              <w:t xml:space="preserve"> e </w:t>
            </w:r>
            <w:r>
              <w:rPr>
                <w:rFonts w:ascii="Segoe UI" w:eastAsia="Times New Roman" w:hAnsi="Segoe UI" w:cs="Segoe UI"/>
                <w:color w:val="000000"/>
                <w:sz w:val="16"/>
                <w:szCs w:val="16"/>
                <w:lang w:eastAsia="it-IT"/>
              </w:rPr>
              <w:t xml:space="preserve">gli </w:t>
            </w:r>
            <w:r w:rsidRPr="007302F7">
              <w:rPr>
                <w:rFonts w:ascii="Segoe UI" w:eastAsia="Times New Roman" w:hAnsi="Segoe UI" w:cs="Segoe UI"/>
                <w:i/>
                <w:color w:val="000000"/>
                <w:sz w:val="16"/>
                <w:szCs w:val="16"/>
                <w:lang w:eastAsia="it-IT"/>
              </w:rPr>
              <w:t>output</w:t>
            </w:r>
            <w:r w:rsidRPr="00B00980">
              <w:rPr>
                <w:rFonts w:ascii="Segoe UI" w:eastAsia="Times New Roman" w:hAnsi="Segoe UI" w:cs="Segoe UI"/>
                <w:color w:val="000000"/>
                <w:sz w:val="16"/>
                <w:szCs w:val="16"/>
                <w:lang w:eastAsia="it-IT"/>
              </w:rPr>
              <w:t xml:space="preserve"> </w:t>
            </w:r>
            <w:r>
              <w:rPr>
                <w:rFonts w:ascii="Segoe UI" w:eastAsia="Times New Roman" w:hAnsi="Segoe UI" w:cs="Segoe UI"/>
                <w:color w:val="000000"/>
                <w:sz w:val="16"/>
                <w:szCs w:val="16"/>
                <w:lang w:eastAsia="it-IT"/>
              </w:rPr>
              <w:t xml:space="preserve">materiali </w:t>
            </w:r>
            <w:r w:rsidRPr="00B00980">
              <w:rPr>
                <w:rFonts w:ascii="Segoe UI" w:eastAsia="Times New Roman" w:hAnsi="Segoe UI" w:cs="Segoe UI"/>
                <w:color w:val="000000"/>
                <w:sz w:val="16"/>
                <w:szCs w:val="16"/>
                <w:lang w:eastAsia="it-IT"/>
              </w:rPr>
              <w:t>ai fini del processo di creazione del valore</w:t>
            </w:r>
            <w:r>
              <w:rPr>
                <w:rFonts w:ascii="Segoe UI" w:eastAsia="Times New Roman" w:hAnsi="Segoe UI" w:cs="Segoe UI"/>
                <w:color w:val="000000"/>
                <w:sz w:val="16"/>
                <w:szCs w:val="16"/>
                <w:lang w:eastAsia="it-IT"/>
              </w:rPr>
              <w:t>.</w:t>
            </w:r>
          </w:p>
        </w:tc>
      </w:tr>
    </w:tbl>
    <w:p w14:paraId="5B30D1F4" w14:textId="77777777" w:rsidR="00B25723" w:rsidRPr="00D20ED0" w:rsidRDefault="00B25723" w:rsidP="00B25723">
      <w:pPr>
        <w:pStyle w:val="NormaleWeb"/>
        <w:tabs>
          <w:tab w:val="left" w:pos="567"/>
        </w:tabs>
        <w:spacing w:before="120" w:beforeAutospacing="0" w:after="120" w:afterAutospacing="0"/>
        <w:jc w:val="both"/>
        <w:rPr>
          <w:rFonts w:ascii="Segoe UI" w:hAnsi="Segoe UI" w:cs="Segoe UI"/>
          <w:sz w:val="22"/>
          <w:szCs w:val="22"/>
        </w:rPr>
      </w:pPr>
    </w:p>
    <w:p w14:paraId="37A4A039" w14:textId="77777777" w:rsidR="00973D51" w:rsidRPr="00D20ED0" w:rsidRDefault="00973D51" w:rsidP="00973D51">
      <w:pPr>
        <w:pStyle w:val="NormaleWeb"/>
        <w:tabs>
          <w:tab w:val="left" w:pos="567"/>
        </w:tabs>
        <w:spacing w:before="120" w:beforeAutospacing="0" w:after="120" w:afterAutospacing="0"/>
        <w:jc w:val="both"/>
        <w:rPr>
          <w:rFonts w:ascii="Segoe UI" w:hAnsi="Segoe UI" w:cs="Segoe UI"/>
          <w:sz w:val="22"/>
          <w:szCs w:val="22"/>
        </w:rPr>
      </w:pPr>
    </w:p>
    <w:p w14:paraId="41A373EA" w14:textId="746168FC" w:rsidR="00973D51" w:rsidRPr="00D20ED0" w:rsidRDefault="00973D51" w:rsidP="00973D51">
      <w:pPr>
        <w:pStyle w:val="NormaleWeb"/>
        <w:tabs>
          <w:tab w:val="left" w:pos="567"/>
        </w:tabs>
        <w:spacing w:before="120" w:beforeAutospacing="0" w:after="120" w:afterAutospacing="0"/>
        <w:jc w:val="both"/>
        <w:rPr>
          <w:rFonts w:ascii="Segoe UI" w:hAnsi="Segoe UI" w:cs="Segoe UI"/>
          <w:sz w:val="22"/>
          <w:szCs w:val="22"/>
        </w:rPr>
      </w:pPr>
      <w:r w:rsidRPr="00D20ED0">
        <w:rPr>
          <w:rFonts w:ascii="Segoe UI" w:hAnsi="Segoe UI" w:cs="Segoe UI"/>
          <w:sz w:val="22"/>
          <w:szCs w:val="22"/>
        </w:rPr>
        <w:t xml:space="preserve">Il confronto delle singole fasi degli approcci proposti può aiutare a verificare efficacia applicativa dei processi di determinazione della materialità. In generale, un procedimento eccessivamente articolato, puntuale e composto da numerose fasi (ad esempio, che preveda uno </w:t>
      </w:r>
      <w:r w:rsidRPr="00D20ED0">
        <w:rPr>
          <w:rFonts w:ascii="Segoe UI" w:hAnsi="Segoe UI" w:cs="Segoe UI"/>
          <w:i/>
          <w:sz w:val="22"/>
          <w:szCs w:val="22"/>
        </w:rPr>
        <w:t>stakeholder engag</w:t>
      </w:r>
      <w:r w:rsidR="00D20ED0" w:rsidRPr="00D20ED0">
        <w:rPr>
          <w:rFonts w:ascii="Segoe UI" w:hAnsi="Segoe UI" w:cs="Segoe UI"/>
          <w:i/>
          <w:sz w:val="22"/>
          <w:szCs w:val="22"/>
        </w:rPr>
        <w:t>e</w:t>
      </w:r>
      <w:r w:rsidRPr="00D20ED0">
        <w:rPr>
          <w:rFonts w:ascii="Segoe UI" w:hAnsi="Segoe UI" w:cs="Segoe UI"/>
          <w:i/>
          <w:sz w:val="22"/>
          <w:szCs w:val="22"/>
        </w:rPr>
        <w:t xml:space="preserve">ment </w:t>
      </w:r>
      <w:r w:rsidRPr="00D20ED0">
        <w:rPr>
          <w:rFonts w:ascii="Segoe UI" w:hAnsi="Segoe UI" w:cs="Segoe UI"/>
          <w:sz w:val="22"/>
          <w:szCs w:val="22"/>
        </w:rPr>
        <w:t xml:space="preserve">in ogni sua fase) potrebbe risultare ridondante e/o eccessivamente oneroso (anche in termini temporali) rispetto agli obiettivi della </w:t>
      </w:r>
      <w:r w:rsidRPr="00D20ED0">
        <w:rPr>
          <w:rFonts w:ascii="Segoe UI" w:hAnsi="Segoe UI" w:cs="Segoe UI"/>
          <w:i/>
          <w:sz w:val="22"/>
          <w:szCs w:val="22"/>
        </w:rPr>
        <w:t>disclosure</w:t>
      </w:r>
      <w:r w:rsidRPr="00D20ED0">
        <w:rPr>
          <w:rFonts w:ascii="Segoe UI" w:hAnsi="Segoe UI" w:cs="Segoe UI"/>
          <w:sz w:val="22"/>
          <w:szCs w:val="22"/>
        </w:rPr>
        <w:t>, tanto dal punto dell’ente che del sistema. Parimenti alla materialità delle informazioni, infatti, si ritiene debba risultare “materiale” anche il processo per la loro determinazione e le fasi di cui si compone.</w:t>
      </w:r>
    </w:p>
    <w:p w14:paraId="36A2ABA1" w14:textId="75D745F6" w:rsidR="00973D51" w:rsidRPr="00D20ED0" w:rsidRDefault="00973D51" w:rsidP="00D20ED0">
      <w:pPr>
        <w:pStyle w:val="NormaleWeb"/>
        <w:keepNext/>
        <w:keepLines/>
        <w:tabs>
          <w:tab w:val="left" w:pos="567"/>
        </w:tabs>
        <w:spacing w:before="120" w:beforeAutospacing="0" w:after="120" w:afterAutospacing="0"/>
        <w:jc w:val="both"/>
        <w:rPr>
          <w:rFonts w:ascii="Segoe UI" w:hAnsi="Segoe UI" w:cs="Segoe UI"/>
          <w:sz w:val="22"/>
          <w:szCs w:val="22"/>
        </w:rPr>
      </w:pPr>
      <w:r w:rsidRPr="00D20ED0">
        <w:rPr>
          <w:rFonts w:ascii="Segoe UI" w:hAnsi="Segoe UI" w:cs="Segoe UI"/>
          <w:sz w:val="22"/>
          <w:szCs w:val="22"/>
        </w:rPr>
        <w:t>Dal confronto degli elementi contenuti nelle definizioni emergono le seguenti differenze:</w:t>
      </w:r>
    </w:p>
    <w:p w14:paraId="199F0E3E" w14:textId="3AB193B5" w:rsidR="00973D51" w:rsidRPr="00D20ED0" w:rsidRDefault="00D20ED0" w:rsidP="00F67B0F">
      <w:pPr>
        <w:pStyle w:val="NormaleWeb"/>
        <w:numPr>
          <w:ilvl w:val="0"/>
          <w:numId w:val="45"/>
        </w:numPr>
        <w:tabs>
          <w:tab w:val="left" w:pos="567"/>
        </w:tabs>
        <w:spacing w:before="120" w:beforeAutospacing="0" w:after="120" w:afterAutospacing="0"/>
        <w:ind w:left="419" w:hanging="357"/>
        <w:contextualSpacing/>
        <w:jc w:val="both"/>
        <w:rPr>
          <w:rFonts w:ascii="Segoe UI" w:hAnsi="Segoe UI" w:cs="Segoe UI"/>
          <w:sz w:val="22"/>
          <w:szCs w:val="22"/>
        </w:rPr>
      </w:pPr>
      <w:r>
        <w:rPr>
          <w:rFonts w:ascii="Segoe UI" w:hAnsi="Segoe UI" w:cs="Segoe UI"/>
          <w:i/>
          <w:sz w:val="22"/>
          <w:szCs w:val="22"/>
        </w:rPr>
        <w:t>a</w:t>
      </w:r>
      <w:r w:rsidR="00973D51" w:rsidRPr="00D20ED0">
        <w:rPr>
          <w:rFonts w:ascii="Segoe UI" w:hAnsi="Segoe UI" w:cs="Segoe UI"/>
          <w:i/>
          <w:sz w:val="22"/>
          <w:szCs w:val="22"/>
        </w:rPr>
        <w:t>udience</w:t>
      </w:r>
      <w:r w:rsidR="00973D51" w:rsidRPr="00D20ED0">
        <w:rPr>
          <w:rFonts w:ascii="Segoe UI" w:hAnsi="Segoe UI" w:cs="Segoe UI"/>
          <w:sz w:val="22"/>
          <w:szCs w:val="22"/>
        </w:rPr>
        <w:t>: IASB e GRI</w:t>
      </w:r>
      <w:r w:rsidR="009A29E5" w:rsidRPr="00D20ED0">
        <w:rPr>
          <w:rFonts w:ascii="Segoe UI" w:hAnsi="Segoe UI" w:cs="Segoe UI"/>
          <w:sz w:val="22"/>
          <w:szCs w:val="22"/>
        </w:rPr>
        <w:t xml:space="preserve"> sviluppano il proprio approccio con l’obiettivo di massimizzare la fruibilità della </w:t>
      </w:r>
      <w:r w:rsidR="009A29E5" w:rsidRPr="00D20ED0">
        <w:rPr>
          <w:rFonts w:ascii="Segoe UI" w:hAnsi="Segoe UI" w:cs="Segoe UI"/>
          <w:i/>
          <w:sz w:val="22"/>
          <w:szCs w:val="22"/>
        </w:rPr>
        <w:t>disclosure</w:t>
      </w:r>
      <w:r w:rsidR="009A29E5" w:rsidRPr="00D20ED0">
        <w:rPr>
          <w:rFonts w:ascii="Segoe UI" w:hAnsi="Segoe UI" w:cs="Segoe UI"/>
          <w:sz w:val="22"/>
          <w:szCs w:val="22"/>
        </w:rPr>
        <w:t xml:space="preserve"> per gli </w:t>
      </w:r>
      <w:r w:rsidR="009A29E5" w:rsidRPr="00F47D0E">
        <w:rPr>
          <w:rFonts w:ascii="Segoe UI" w:hAnsi="Segoe UI" w:cs="Segoe UI"/>
          <w:i/>
          <w:sz w:val="22"/>
          <w:szCs w:val="22"/>
        </w:rPr>
        <w:t>stakeholder</w:t>
      </w:r>
      <w:r w:rsidR="009A29E5" w:rsidRPr="00D20ED0">
        <w:rPr>
          <w:rFonts w:ascii="Segoe UI" w:hAnsi="Segoe UI" w:cs="Segoe UI"/>
          <w:sz w:val="22"/>
          <w:szCs w:val="22"/>
        </w:rPr>
        <w:t xml:space="preserve"> di riferimento dell’organizzazione; I</w:t>
      </w:r>
      <w:r w:rsidR="00424D60" w:rsidRPr="00D20ED0">
        <w:rPr>
          <w:rFonts w:ascii="Segoe UI" w:hAnsi="Segoe UI" w:cs="Segoe UI"/>
          <w:sz w:val="22"/>
          <w:szCs w:val="22"/>
        </w:rPr>
        <w:t>IRC</w:t>
      </w:r>
      <w:r w:rsidR="00973D51" w:rsidRPr="00D20ED0">
        <w:rPr>
          <w:rFonts w:ascii="Segoe UI" w:hAnsi="Segoe UI" w:cs="Segoe UI"/>
          <w:sz w:val="22"/>
          <w:szCs w:val="22"/>
        </w:rPr>
        <w:t xml:space="preserve">, invece, orienta la </w:t>
      </w:r>
      <w:r w:rsidR="00973D51" w:rsidRPr="00D20ED0">
        <w:rPr>
          <w:rFonts w:ascii="Segoe UI" w:hAnsi="Segoe UI" w:cs="Segoe UI"/>
          <w:i/>
          <w:sz w:val="22"/>
          <w:szCs w:val="22"/>
        </w:rPr>
        <w:t>di</w:t>
      </w:r>
      <w:r w:rsidR="00424D60" w:rsidRPr="00D20ED0">
        <w:rPr>
          <w:rFonts w:ascii="Segoe UI" w:hAnsi="Segoe UI" w:cs="Segoe UI"/>
          <w:i/>
          <w:sz w:val="22"/>
          <w:szCs w:val="22"/>
        </w:rPr>
        <w:t>s</w:t>
      </w:r>
      <w:r w:rsidR="00973D51" w:rsidRPr="00D20ED0">
        <w:rPr>
          <w:rFonts w:ascii="Segoe UI" w:hAnsi="Segoe UI" w:cs="Segoe UI"/>
          <w:i/>
          <w:sz w:val="22"/>
          <w:szCs w:val="22"/>
        </w:rPr>
        <w:t>closure</w:t>
      </w:r>
      <w:r w:rsidR="00973D51" w:rsidRPr="00D20ED0">
        <w:rPr>
          <w:rFonts w:ascii="Segoe UI" w:hAnsi="Segoe UI" w:cs="Segoe UI"/>
          <w:sz w:val="22"/>
          <w:szCs w:val="22"/>
        </w:rPr>
        <w:t xml:space="preserve"> non finanziaria </w:t>
      </w:r>
      <w:r w:rsidR="00424D60" w:rsidRPr="00D20ED0">
        <w:rPr>
          <w:rFonts w:ascii="Segoe UI" w:hAnsi="Segoe UI" w:cs="Segoe UI"/>
          <w:sz w:val="22"/>
          <w:szCs w:val="22"/>
        </w:rPr>
        <w:t xml:space="preserve">con l’obiettivo, </w:t>
      </w:r>
      <w:r w:rsidR="00424D60" w:rsidRPr="00D20ED0">
        <w:rPr>
          <w:rFonts w:ascii="Segoe UI" w:hAnsi="Segoe UI" w:cs="Segoe UI"/>
          <w:i/>
          <w:sz w:val="22"/>
          <w:szCs w:val="22"/>
        </w:rPr>
        <w:t>in primis</w:t>
      </w:r>
      <w:r w:rsidR="00424D60" w:rsidRPr="00D20ED0">
        <w:rPr>
          <w:rFonts w:ascii="Segoe UI" w:hAnsi="Segoe UI" w:cs="Segoe UI"/>
          <w:sz w:val="22"/>
          <w:szCs w:val="22"/>
        </w:rPr>
        <w:t>, di or</w:t>
      </w:r>
      <w:r w:rsidR="00973D51" w:rsidRPr="00D20ED0">
        <w:rPr>
          <w:rFonts w:ascii="Segoe UI" w:hAnsi="Segoe UI" w:cs="Segoe UI"/>
          <w:sz w:val="22"/>
          <w:szCs w:val="22"/>
        </w:rPr>
        <w:t xml:space="preserve">ientare le scelte degli investitori; </w:t>
      </w:r>
      <w:r w:rsidR="00424D60" w:rsidRPr="00D20ED0">
        <w:rPr>
          <w:rFonts w:ascii="Segoe UI" w:hAnsi="Segoe UI" w:cs="Segoe UI"/>
          <w:sz w:val="22"/>
          <w:szCs w:val="22"/>
        </w:rPr>
        <w:t>diversamente dalle precedenti,</w:t>
      </w:r>
      <w:r w:rsidR="00973D51" w:rsidRPr="00D20ED0">
        <w:rPr>
          <w:rFonts w:ascii="Segoe UI" w:hAnsi="Segoe UI" w:cs="Segoe UI"/>
          <w:sz w:val="22"/>
          <w:szCs w:val="22"/>
        </w:rPr>
        <w:t xml:space="preserve"> AE non fornisce </w:t>
      </w:r>
      <w:r w:rsidR="00424D60" w:rsidRPr="00D20ED0">
        <w:rPr>
          <w:rFonts w:ascii="Segoe UI" w:hAnsi="Segoe UI" w:cs="Segoe UI"/>
          <w:sz w:val="22"/>
          <w:szCs w:val="22"/>
        </w:rPr>
        <w:t xml:space="preserve">alcuna </w:t>
      </w:r>
      <w:r w:rsidR="00973D51" w:rsidRPr="00D20ED0">
        <w:rPr>
          <w:rFonts w:ascii="Segoe UI" w:hAnsi="Segoe UI" w:cs="Segoe UI"/>
          <w:sz w:val="22"/>
          <w:szCs w:val="22"/>
        </w:rPr>
        <w:t xml:space="preserve">definizione specifica dell’audience cui è rivolta l’informativa non finanziaria (cosa che potrebbe indurre a pensare che possa trattarsi della generalità degli </w:t>
      </w:r>
      <w:r w:rsidR="00973D51" w:rsidRPr="00D20ED0">
        <w:rPr>
          <w:rFonts w:ascii="Segoe UI" w:hAnsi="Segoe UI" w:cs="Segoe UI"/>
          <w:i/>
          <w:sz w:val="22"/>
          <w:szCs w:val="22"/>
        </w:rPr>
        <w:t>stakeholder</w:t>
      </w:r>
      <w:r w:rsidR="00973D51" w:rsidRPr="00D20ED0">
        <w:rPr>
          <w:rFonts w:ascii="Segoe UI" w:hAnsi="Segoe UI" w:cs="Segoe UI"/>
          <w:sz w:val="22"/>
          <w:szCs w:val="22"/>
        </w:rPr>
        <w:t>).</w:t>
      </w:r>
    </w:p>
    <w:p w14:paraId="05F21055" w14:textId="08C45CC2" w:rsidR="00973D51" w:rsidRPr="00D20ED0" w:rsidRDefault="00D20ED0" w:rsidP="00F67B0F">
      <w:pPr>
        <w:pStyle w:val="NormaleWeb"/>
        <w:numPr>
          <w:ilvl w:val="0"/>
          <w:numId w:val="45"/>
        </w:numPr>
        <w:tabs>
          <w:tab w:val="left" w:pos="567"/>
        </w:tabs>
        <w:spacing w:before="120" w:beforeAutospacing="0" w:after="120" w:afterAutospacing="0"/>
        <w:ind w:left="419" w:hanging="357"/>
        <w:jc w:val="both"/>
        <w:rPr>
          <w:rFonts w:ascii="Segoe UI" w:hAnsi="Segoe UI" w:cs="Segoe UI"/>
          <w:sz w:val="22"/>
          <w:szCs w:val="22"/>
        </w:rPr>
      </w:pPr>
      <w:r>
        <w:rPr>
          <w:rFonts w:ascii="Segoe UI" w:hAnsi="Segoe UI" w:cs="Segoe UI"/>
          <w:sz w:val="22"/>
          <w:szCs w:val="22"/>
        </w:rPr>
        <w:t>s</w:t>
      </w:r>
      <w:r w:rsidR="00973D51" w:rsidRPr="00D20ED0">
        <w:rPr>
          <w:rFonts w:ascii="Segoe UI" w:hAnsi="Segoe UI" w:cs="Segoe UI"/>
          <w:sz w:val="22"/>
          <w:szCs w:val="22"/>
        </w:rPr>
        <w:t>copo delle informazioni: il GRI focalizza il processo di determinazione della materialità al fine di individuare informazioni in merito alla portata degli impatti economici, sociali e ambientali (c.d. impatti di sostenibilità); IIRC e AE focalizzano l’attenzione sulla capacità delle informazioni di contribuire alla descrizione e comprensione del processo di creazione del valore per l’organizzazione.</w:t>
      </w:r>
    </w:p>
    <w:p w14:paraId="7AF35800" w14:textId="77777777" w:rsidR="00B25723" w:rsidRDefault="00B25723" w:rsidP="00B25723">
      <w:pPr>
        <w:pStyle w:val="NormaleWeb"/>
        <w:tabs>
          <w:tab w:val="left" w:pos="567"/>
        </w:tabs>
        <w:spacing w:before="120" w:beforeAutospacing="0" w:after="120" w:afterAutospacing="0"/>
        <w:jc w:val="both"/>
        <w:rPr>
          <w:rFonts w:ascii="Segoe UI" w:hAnsi="Segoe UI" w:cs="Segoe UI"/>
          <w:sz w:val="22"/>
          <w:szCs w:val="22"/>
        </w:rPr>
      </w:pPr>
    </w:p>
    <w:p w14:paraId="16A16C64" w14:textId="73AA0E4D" w:rsidR="00AF33CD" w:rsidRDefault="00AF33CD" w:rsidP="00AF33CD">
      <w:pPr>
        <w:pStyle w:val="NormaleWeb"/>
        <w:tabs>
          <w:tab w:val="left" w:pos="567"/>
        </w:tabs>
        <w:spacing w:before="120" w:beforeAutospacing="0" w:after="120" w:afterAutospacing="0"/>
        <w:jc w:val="both"/>
        <w:rPr>
          <w:rFonts w:ascii="Segoe UI" w:hAnsi="Segoe UI" w:cs="Segoe UI"/>
          <w:sz w:val="22"/>
          <w:szCs w:val="22"/>
        </w:rPr>
      </w:pPr>
      <w:r>
        <w:rPr>
          <w:rFonts w:ascii="Segoe UI" w:hAnsi="Segoe UI" w:cs="Segoe UI"/>
          <w:sz w:val="22"/>
          <w:szCs w:val="22"/>
        </w:rPr>
        <w:t>La tabella che segue riporta, in maniera sintetica, le fasi dei processi per la determinazione della materialità proposti da</w:t>
      </w:r>
      <w:r w:rsidR="00907F5F">
        <w:rPr>
          <w:rFonts w:ascii="Segoe UI" w:hAnsi="Segoe UI" w:cs="Segoe UI"/>
          <w:sz w:val="22"/>
          <w:szCs w:val="22"/>
        </w:rPr>
        <w:t xml:space="preserve"> </w:t>
      </w:r>
      <w:r>
        <w:rPr>
          <w:rFonts w:ascii="Segoe UI" w:hAnsi="Segoe UI" w:cs="Segoe UI"/>
          <w:sz w:val="22"/>
          <w:szCs w:val="22"/>
        </w:rPr>
        <w:t>IASB</w:t>
      </w:r>
      <w:r w:rsidR="00907F5F">
        <w:rPr>
          <w:rFonts w:ascii="Segoe UI" w:hAnsi="Segoe UI" w:cs="Segoe UI"/>
          <w:sz w:val="22"/>
          <w:szCs w:val="22"/>
        </w:rPr>
        <w:t>,</w:t>
      </w:r>
      <w:r>
        <w:rPr>
          <w:rFonts w:ascii="Segoe UI" w:hAnsi="Segoe UI" w:cs="Segoe UI"/>
          <w:sz w:val="22"/>
          <w:szCs w:val="22"/>
        </w:rPr>
        <w:t xml:space="preserve"> GRI, IIRC e AE</w:t>
      </w:r>
      <w:r w:rsidR="00907F5F">
        <w:rPr>
          <w:rFonts w:ascii="Segoe UI" w:hAnsi="Segoe UI" w:cs="Segoe UI"/>
          <w:sz w:val="22"/>
          <w:szCs w:val="22"/>
        </w:rPr>
        <w:t>.</w:t>
      </w:r>
    </w:p>
    <w:p w14:paraId="3ABD8497" w14:textId="77777777" w:rsidR="00B25723" w:rsidRDefault="00B25723" w:rsidP="00B25723">
      <w:pPr>
        <w:pStyle w:val="NormaleWeb"/>
        <w:tabs>
          <w:tab w:val="left" w:pos="567"/>
        </w:tabs>
        <w:spacing w:before="120" w:beforeAutospacing="0" w:after="120" w:afterAutospacing="0"/>
        <w:jc w:val="both"/>
        <w:rPr>
          <w:rFonts w:ascii="Segoe UI" w:hAnsi="Segoe UI" w:cs="Segoe UI"/>
          <w:sz w:val="22"/>
          <w:szCs w:val="22"/>
        </w:rPr>
      </w:pPr>
    </w:p>
    <w:p w14:paraId="637EF393" w14:textId="77777777" w:rsidR="003C4D46" w:rsidRDefault="003C4D46" w:rsidP="00B25723">
      <w:pPr>
        <w:pStyle w:val="NormaleWeb"/>
        <w:tabs>
          <w:tab w:val="left" w:pos="567"/>
        </w:tabs>
        <w:spacing w:before="120" w:beforeAutospacing="0" w:after="120" w:afterAutospacing="0"/>
        <w:jc w:val="both"/>
        <w:rPr>
          <w:rFonts w:ascii="Segoe UI" w:hAnsi="Segoe UI" w:cs="Segoe UI"/>
          <w:sz w:val="22"/>
          <w:szCs w:val="22"/>
        </w:rPr>
        <w:sectPr w:rsidR="003C4D46" w:rsidSect="00793FE3">
          <w:pgSz w:w="11906" w:h="16838" w:code="9"/>
          <w:pgMar w:top="1985" w:right="1134" w:bottom="1134" w:left="1134" w:header="709" w:footer="709" w:gutter="0"/>
          <w:cols w:space="708"/>
          <w:docGrid w:linePitch="360"/>
        </w:sectPr>
      </w:pPr>
    </w:p>
    <w:p w14:paraId="6B1969E4" w14:textId="03FCF370" w:rsidR="003C4D46" w:rsidRPr="00B00980" w:rsidRDefault="003C4D46" w:rsidP="001E439A">
      <w:pPr>
        <w:pStyle w:val="NormaleWeb"/>
        <w:keepNext/>
        <w:keepLines/>
        <w:tabs>
          <w:tab w:val="left" w:pos="567"/>
        </w:tabs>
        <w:spacing w:before="120" w:beforeAutospacing="0" w:after="120" w:afterAutospacing="0"/>
        <w:jc w:val="center"/>
        <w:rPr>
          <w:rFonts w:ascii="Segoe UI" w:hAnsi="Segoe UI" w:cs="Segoe UI"/>
          <w:sz w:val="22"/>
          <w:szCs w:val="22"/>
        </w:rPr>
      </w:pPr>
      <w:r w:rsidRPr="00FA36CD">
        <w:rPr>
          <w:rFonts w:ascii="Segoe UI" w:hAnsi="Segoe UI" w:cs="Segoe UI"/>
          <w:bCs/>
          <w:iCs/>
          <w:color w:val="000000"/>
        </w:rPr>
        <w:t xml:space="preserve">Tabella </w:t>
      </w:r>
      <w:r>
        <w:rPr>
          <w:rFonts w:ascii="Segoe UI" w:hAnsi="Segoe UI" w:cs="Segoe UI"/>
          <w:bCs/>
          <w:iCs/>
          <w:color w:val="000000"/>
        </w:rPr>
        <w:t xml:space="preserve">2: </w:t>
      </w:r>
      <w:r w:rsidRPr="00FA36CD">
        <w:rPr>
          <w:rFonts w:ascii="Segoe UI" w:hAnsi="Segoe UI" w:cs="Segoe UI"/>
          <w:bCs/>
          <w:iCs/>
          <w:color w:val="000000"/>
        </w:rPr>
        <w:t xml:space="preserve">Processi per la determinazione della </w:t>
      </w:r>
      <w:r>
        <w:rPr>
          <w:rFonts w:ascii="Segoe UI" w:hAnsi="Segoe UI" w:cs="Segoe UI"/>
          <w:bCs/>
          <w:iCs/>
          <w:color w:val="000000"/>
        </w:rPr>
        <w:t>materialità</w:t>
      </w:r>
      <w:r w:rsidR="00572021">
        <w:rPr>
          <w:rFonts w:ascii="Segoe UI" w:hAnsi="Segoe UI" w:cs="Segoe UI"/>
          <w:bCs/>
          <w:iCs/>
          <w:color w:val="000000"/>
        </w:rPr>
        <w:t>: fasi</w:t>
      </w:r>
    </w:p>
    <w:tbl>
      <w:tblPr>
        <w:tblStyle w:val="Tabellagriglia2-colore3"/>
        <w:tblW w:w="9639" w:type="dxa"/>
        <w:tblLayout w:type="fixed"/>
        <w:tblLook w:val="04A0" w:firstRow="1" w:lastRow="0" w:firstColumn="1" w:lastColumn="0" w:noHBand="0" w:noVBand="1"/>
      </w:tblPr>
      <w:tblGrid>
        <w:gridCol w:w="534"/>
        <w:gridCol w:w="1842"/>
        <w:gridCol w:w="2268"/>
        <w:gridCol w:w="2835"/>
        <w:gridCol w:w="2160"/>
      </w:tblGrid>
      <w:tr w:rsidR="003C4D46" w:rsidRPr="00D553F0" w14:paraId="63D1B2F2" w14:textId="77777777" w:rsidTr="00544C1A">
        <w:trPr>
          <w:cnfStyle w:val="100000000000" w:firstRow="1" w:lastRow="0" w:firstColumn="0" w:lastColumn="0" w:oddVBand="0" w:evenVBand="0" w:oddHBand="0"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534" w:type="dxa"/>
            <w:noWrap/>
            <w:hideMark/>
          </w:tcPr>
          <w:p w14:paraId="49004577" w14:textId="7A1F535C" w:rsidR="003C4D46" w:rsidRPr="00D553F0" w:rsidRDefault="003C4D46" w:rsidP="001E439A">
            <w:pPr>
              <w:spacing w:before="20" w:after="0" w:line="240" w:lineRule="auto"/>
              <w:jc w:val="center"/>
              <w:rPr>
                <w:rFonts w:ascii="Segoe UI" w:eastAsia="Times New Roman" w:hAnsi="Segoe UI" w:cs="Segoe UI"/>
                <w:color w:val="000000"/>
                <w:sz w:val="14"/>
                <w:szCs w:val="14"/>
                <w:lang w:eastAsia="it-IT"/>
              </w:rPr>
            </w:pPr>
          </w:p>
        </w:tc>
        <w:tc>
          <w:tcPr>
            <w:tcW w:w="1842" w:type="dxa"/>
            <w:tcBorders>
              <w:right w:val="single" w:sz="12" w:space="0" w:color="C9C9C9" w:themeColor="accent3" w:themeTint="99"/>
            </w:tcBorders>
            <w:noWrap/>
            <w:hideMark/>
          </w:tcPr>
          <w:p w14:paraId="2A75C6F7" w14:textId="77777777" w:rsidR="003C4D46" w:rsidRPr="00D553F0" w:rsidRDefault="003C4D46" w:rsidP="001E439A">
            <w:pPr>
              <w:spacing w:before="20" w:after="0" w:line="240" w:lineRule="auto"/>
              <w:jc w:val="center"/>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b w:val="0"/>
                <w:i/>
                <w:iCs/>
                <w:color w:val="000000"/>
                <w:sz w:val="14"/>
                <w:szCs w:val="14"/>
                <w:lang w:eastAsia="it-IT"/>
              </w:rPr>
              <w:t>Financial reporting</w:t>
            </w:r>
          </w:p>
        </w:tc>
        <w:tc>
          <w:tcPr>
            <w:tcW w:w="7263" w:type="dxa"/>
            <w:gridSpan w:val="3"/>
            <w:tcBorders>
              <w:left w:val="single" w:sz="12" w:space="0" w:color="C9C9C9" w:themeColor="accent3" w:themeTint="99"/>
            </w:tcBorders>
            <w:noWrap/>
            <w:hideMark/>
          </w:tcPr>
          <w:p w14:paraId="035EB851" w14:textId="77777777" w:rsidR="003C4D46" w:rsidRPr="00D553F0" w:rsidRDefault="003C4D46" w:rsidP="001E439A">
            <w:pPr>
              <w:spacing w:before="20" w:after="0" w:line="240" w:lineRule="auto"/>
              <w:jc w:val="center"/>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b w:val="0"/>
                <w:i/>
                <w:iCs/>
                <w:color w:val="000000"/>
                <w:sz w:val="14"/>
                <w:szCs w:val="14"/>
                <w:lang w:eastAsia="it-IT"/>
              </w:rPr>
              <w:t>Non-financial reporting</w:t>
            </w:r>
          </w:p>
        </w:tc>
      </w:tr>
      <w:tr w:rsidR="003C4D46" w:rsidRPr="00D553F0" w14:paraId="3518A559" w14:textId="77777777" w:rsidTr="00544C1A">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534" w:type="dxa"/>
            <w:noWrap/>
          </w:tcPr>
          <w:p w14:paraId="7ECADE9A" w14:textId="77777777" w:rsidR="003C4D46" w:rsidRPr="00D553F0" w:rsidRDefault="003C4D46" w:rsidP="001E439A">
            <w:pPr>
              <w:spacing w:before="20" w:after="0" w:line="240" w:lineRule="auto"/>
              <w:jc w:val="center"/>
              <w:rPr>
                <w:rFonts w:ascii="Segoe UI" w:eastAsia="Times New Roman" w:hAnsi="Segoe UI" w:cs="Segoe UI"/>
                <w:b w:val="0"/>
                <w:bCs w:val="0"/>
                <w:color w:val="000000"/>
                <w:sz w:val="14"/>
                <w:szCs w:val="14"/>
                <w:lang w:eastAsia="it-IT"/>
              </w:rPr>
            </w:pPr>
            <w:r w:rsidRPr="00D553F0">
              <w:rPr>
                <w:rFonts w:ascii="Segoe UI" w:eastAsia="Times New Roman" w:hAnsi="Segoe UI" w:cs="Segoe UI"/>
                <w:b w:val="0"/>
                <w:bCs w:val="0"/>
                <w:i/>
                <w:iCs/>
                <w:color w:val="000000"/>
                <w:sz w:val="14"/>
                <w:szCs w:val="14"/>
                <w:lang w:eastAsia="it-IT"/>
              </w:rPr>
              <w:t>Fasi</w:t>
            </w:r>
          </w:p>
        </w:tc>
        <w:tc>
          <w:tcPr>
            <w:tcW w:w="1842" w:type="dxa"/>
          </w:tcPr>
          <w:p w14:paraId="47CAC157" w14:textId="77777777" w:rsidR="003C4D46" w:rsidRPr="00D553F0" w:rsidRDefault="003C4D46" w:rsidP="001E439A">
            <w:pPr>
              <w:spacing w:before="20"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Cs/>
                <w:color w:val="000000"/>
                <w:sz w:val="14"/>
                <w:szCs w:val="14"/>
                <w:lang w:eastAsia="it-IT"/>
              </w:rPr>
            </w:pPr>
            <w:r w:rsidRPr="00D553F0">
              <w:rPr>
                <w:rFonts w:ascii="Segoe UI" w:eastAsia="Times New Roman" w:hAnsi="Segoe UI" w:cs="Segoe UI"/>
                <w:bCs/>
                <w:color w:val="000000"/>
                <w:sz w:val="14"/>
                <w:szCs w:val="14"/>
                <w:lang w:eastAsia="it-IT"/>
              </w:rPr>
              <w:t>IASB</w:t>
            </w:r>
          </w:p>
        </w:tc>
        <w:tc>
          <w:tcPr>
            <w:tcW w:w="2268" w:type="dxa"/>
          </w:tcPr>
          <w:p w14:paraId="48680923" w14:textId="77777777" w:rsidR="003C4D46" w:rsidRPr="00D553F0" w:rsidRDefault="003C4D46" w:rsidP="001E439A">
            <w:pPr>
              <w:spacing w:before="20"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Cs/>
                <w:color w:val="000000"/>
                <w:sz w:val="14"/>
                <w:szCs w:val="14"/>
                <w:lang w:eastAsia="it-IT"/>
              </w:rPr>
            </w:pPr>
            <w:r w:rsidRPr="00D553F0">
              <w:rPr>
                <w:rFonts w:ascii="Segoe UI" w:eastAsia="Times New Roman" w:hAnsi="Segoe UI" w:cs="Segoe UI"/>
                <w:bCs/>
                <w:color w:val="000000"/>
                <w:sz w:val="14"/>
                <w:szCs w:val="14"/>
                <w:lang w:eastAsia="it-IT"/>
              </w:rPr>
              <w:t>GRI</w:t>
            </w:r>
          </w:p>
        </w:tc>
        <w:tc>
          <w:tcPr>
            <w:tcW w:w="2835" w:type="dxa"/>
          </w:tcPr>
          <w:p w14:paraId="5A335815" w14:textId="77777777" w:rsidR="003C4D46" w:rsidRPr="00D553F0" w:rsidRDefault="003C4D46" w:rsidP="001E439A">
            <w:pPr>
              <w:spacing w:before="20"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Cs/>
                <w:color w:val="000000"/>
                <w:sz w:val="14"/>
                <w:szCs w:val="14"/>
                <w:lang w:eastAsia="it-IT"/>
              </w:rPr>
            </w:pPr>
            <w:r w:rsidRPr="00D553F0">
              <w:rPr>
                <w:rFonts w:ascii="Segoe UI" w:eastAsia="Times New Roman" w:hAnsi="Segoe UI" w:cs="Segoe UI"/>
                <w:bCs/>
                <w:color w:val="000000"/>
                <w:sz w:val="14"/>
                <w:szCs w:val="14"/>
                <w:lang w:eastAsia="it-IT"/>
              </w:rPr>
              <w:t>IIRC</w:t>
            </w:r>
          </w:p>
        </w:tc>
        <w:tc>
          <w:tcPr>
            <w:tcW w:w="2160" w:type="dxa"/>
          </w:tcPr>
          <w:p w14:paraId="7EC70BB2" w14:textId="1B2E117F" w:rsidR="003C4D46" w:rsidRPr="00D553F0" w:rsidRDefault="003C4D46" w:rsidP="001E439A">
            <w:pPr>
              <w:spacing w:before="20"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Cs/>
                <w:color w:val="000000"/>
                <w:sz w:val="14"/>
                <w:szCs w:val="14"/>
                <w:lang w:eastAsia="it-IT"/>
              </w:rPr>
            </w:pPr>
            <w:r w:rsidRPr="00D553F0">
              <w:rPr>
                <w:rFonts w:ascii="Segoe UI" w:eastAsia="Times New Roman" w:hAnsi="Segoe UI" w:cs="Segoe UI"/>
                <w:bCs/>
                <w:color w:val="000000"/>
                <w:sz w:val="14"/>
                <w:szCs w:val="14"/>
                <w:lang w:eastAsia="it-IT"/>
              </w:rPr>
              <w:t>AE</w:t>
            </w:r>
          </w:p>
        </w:tc>
      </w:tr>
      <w:tr w:rsidR="003C4D46" w:rsidRPr="00D553F0" w14:paraId="7A42436E" w14:textId="77777777" w:rsidTr="00544C1A">
        <w:trPr>
          <w:cantSplit/>
          <w:trHeight w:val="20"/>
        </w:trPr>
        <w:tc>
          <w:tcPr>
            <w:cnfStyle w:val="001000000000" w:firstRow="0" w:lastRow="0" w:firstColumn="1" w:lastColumn="0" w:oddVBand="0" w:evenVBand="0" w:oddHBand="0" w:evenHBand="0" w:firstRowFirstColumn="0" w:firstRowLastColumn="0" w:lastRowFirstColumn="0" w:lastRowLastColumn="0"/>
            <w:tcW w:w="534" w:type="dxa"/>
            <w:noWrap/>
            <w:hideMark/>
          </w:tcPr>
          <w:p w14:paraId="0D8C2093" w14:textId="77777777" w:rsidR="003C4D46" w:rsidRPr="00D553F0" w:rsidRDefault="003C4D46" w:rsidP="001E439A">
            <w:pPr>
              <w:spacing w:before="20" w:after="0" w:line="240" w:lineRule="auto"/>
              <w:jc w:val="center"/>
              <w:rPr>
                <w:rFonts w:ascii="Segoe UI" w:eastAsia="Times New Roman" w:hAnsi="Segoe UI" w:cs="Segoe UI"/>
                <w:b w:val="0"/>
                <w:bCs w:val="0"/>
                <w:color w:val="000000"/>
                <w:sz w:val="14"/>
                <w:szCs w:val="14"/>
                <w:lang w:eastAsia="it-IT"/>
              </w:rPr>
            </w:pPr>
            <w:r w:rsidRPr="00D553F0">
              <w:rPr>
                <w:rFonts w:ascii="Segoe UI" w:eastAsia="Times New Roman" w:hAnsi="Segoe UI" w:cs="Segoe UI"/>
                <w:b w:val="0"/>
                <w:bCs w:val="0"/>
                <w:color w:val="000000"/>
                <w:sz w:val="14"/>
                <w:szCs w:val="14"/>
                <w:lang w:eastAsia="it-IT"/>
              </w:rPr>
              <w:t>1</w:t>
            </w:r>
          </w:p>
        </w:tc>
        <w:tc>
          <w:tcPr>
            <w:tcW w:w="1842" w:type="dxa"/>
            <w:hideMark/>
          </w:tcPr>
          <w:p w14:paraId="53CA67B1"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b/>
                <w:bCs/>
                <w:color w:val="000000"/>
                <w:sz w:val="14"/>
                <w:szCs w:val="14"/>
                <w:lang w:eastAsia="it-IT"/>
              </w:rPr>
              <w:t>Identificazione delle informazioni.</w:t>
            </w:r>
          </w:p>
          <w:p w14:paraId="16F8C54C"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L’azienda individua le informazioni potenzialmente rilevanti utilizzando i requisiti previsti dagli IAS/IFRS.</w:t>
            </w:r>
          </w:p>
        </w:tc>
        <w:tc>
          <w:tcPr>
            <w:tcW w:w="2268" w:type="dxa"/>
            <w:hideMark/>
          </w:tcPr>
          <w:p w14:paraId="60B5BFD6"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b/>
                <w:bCs/>
                <w:color w:val="000000"/>
                <w:sz w:val="14"/>
                <w:szCs w:val="14"/>
                <w:lang w:eastAsia="it-IT"/>
              </w:rPr>
              <w:t>Identificazione degli aspetti rilevanti</w:t>
            </w:r>
            <w:r w:rsidRPr="00D553F0">
              <w:rPr>
                <w:rFonts w:ascii="Segoe UI" w:eastAsia="Times New Roman" w:hAnsi="Segoe UI" w:cs="Segoe UI"/>
                <w:color w:val="000000"/>
                <w:sz w:val="14"/>
                <w:szCs w:val="14"/>
                <w:lang w:eastAsia="it-IT"/>
              </w:rPr>
              <w:t>.</w:t>
            </w:r>
          </w:p>
          <w:p w14:paraId="378D5CAB"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 xml:space="preserve">L’organizzazione procede a individuare gli aspetti che da includere nel </w:t>
            </w:r>
            <w:r w:rsidRPr="00D553F0">
              <w:rPr>
                <w:rFonts w:ascii="Segoe UI" w:eastAsia="Times New Roman" w:hAnsi="Segoe UI" w:cs="Segoe UI"/>
                <w:i/>
                <w:color w:val="000000"/>
                <w:sz w:val="14"/>
                <w:szCs w:val="14"/>
                <w:lang w:eastAsia="it-IT"/>
              </w:rPr>
              <w:t>report</w:t>
            </w:r>
            <w:r w:rsidRPr="00D553F0">
              <w:rPr>
                <w:rFonts w:ascii="Segoe UI" w:eastAsia="Times New Roman" w:hAnsi="Segoe UI" w:cs="Segoe UI"/>
                <w:color w:val="000000"/>
                <w:sz w:val="14"/>
                <w:szCs w:val="14"/>
                <w:lang w:eastAsia="it-IT"/>
              </w:rPr>
              <w:t xml:space="preserve"> e i loro confini sulla base del loro impatto, interno o esterno, con riferimento a tutte le attività istituzionali o di valorizzazione economica e ai suoi prodotti, servizi e relazioni.</w:t>
            </w:r>
          </w:p>
        </w:tc>
        <w:tc>
          <w:tcPr>
            <w:tcW w:w="2835" w:type="dxa"/>
            <w:hideMark/>
          </w:tcPr>
          <w:p w14:paraId="4528E37D"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b/>
                <w:bCs/>
                <w:color w:val="000000"/>
                <w:sz w:val="14"/>
                <w:szCs w:val="14"/>
                <w:lang w:eastAsia="it-IT"/>
              </w:rPr>
              <w:t>Determinazione dei parametri del processo di creazione del valore</w:t>
            </w:r>
            <w:r w:rsidRPr="00D553F0">
              <w:rPr>
                <w:rFonts w:ascii="Segoe UI" w:eastAsia="Times New Roman" w:hAnsi="Segoe UI" w:cs="Segoe UI"/>
                <w:color w:val="000000"/>
                <w:sz w:val="14"/>
                <w:szCs w:val="14"/>
                <w:lang w:eastAsia="it-IT"/>
              </w:rPr>
              <w:t>.</w:t>
            </w:r>
          </w:p>
          <w:p w14:paraId="4CAC044E"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 xml:space="preserve">L’organizzazione identifica le proprie attività e </w:t>
            </w:r>
            <w:r w:rsidRPr="00D553F0">
              <w:rPr>
                <w:rFonts w:ascii="Segoe UI" w:eastAsia="Times New Roman" w:hAnsi="Segoe UI" w:cs="Segoe UI"/>
                <w:i/>
                <w:color w:val="000000"/>
                <w:sz w:val="14"/>
                <w:szCs w:val="14"/>
                <w:lang w:eastAsia="it-IT"/>
              </w:rPr>
              <w:t>performance</w:t>
            </w:r>
            <w:r w:rsidRPr="00D553F0">
              <w:rPr>
                <w:rFonts w:ascii="Segoe UI" w:eastAsia="Times New Roman" w:hAnsi="Segoe UI" w:cs="Segoe UI"/>
                <w:color w:val="000000"/>
                <w:sz w:val="14"/>
                <w:szCs w:val="14"/>
                <w:lang w:eastAsia="it-IT"/>
              </w:rPr>
              <w:t xml:space="preserve"> nell’ambito del </w:t>
            </w:r>
            <w:r w:rsidRPr="00D553F0">
              <w:rPr>
                <w:rFonts w:ascii="Segoe UI" w:eastAsia="Times New Roman" w:hAnsi="Segoe UI" w:cs="Segoe UI"/>
                <w:i/>
                <w:color w:val="000000"/>
                <w:sz w:val="14"/>
                <w:szCs w:val="14"/>
                <w:lang w:eastAsia="it-IT"/>
              </w:rPr>
              <w:t>business model</w:t>
            </w:r>
            <w:r w:rsidRPr="00D553F0">
              <w:rPr>
                <w:rFonts w:ascii="Segoe UI" w:eastAsia="Times New Roman" w:hAnsi="Segoe UI" w:cs="Segoe UI"/>
                <w:color w:val="000000"/>
                <w:sz w:val="14"/>
                <w:szCs w:val="14"/>
                <w:lang w:eastAsia="it-IT"/>
              </w:rPr>
              <w:t xml:space="preserve">, definendo altresì i confini dell’informativa finanziaria e includendo nel perimetro eventuali enti controllati, </w:t>
            </w:r>
            <w:r w:rsidRPr="00D553F0">
              <w:rPr>
                <w:rFonts w:ascii="Segoe UI" w:eastAsia="Times New Roman" w:hAnsi="Segoe UI" w:cs="Segoe UI"/>
                <w:i/>
                <w:color w:val="000000"/>
                <w:sz w:val="14"/>
                <w:szCs w:val="14"/>
                <w:lang w:eastAsia="it-IT"/>
              </w:rPr>
              <w:t>joint venture</w:t>
            </w:r>
            <w:r w:rsidRPr="00D553F0">
              <w:rPr>
                <w:rFonts w:ascii="Segoe UI" w:eastAsia="Times New Roman" w:hAnsi="Segoe UI" w:cs="Segoe UI"/>
                <w:color w:val="000000"/>
                <w:sz w:val="14"/>
                <w:szCs w:val="14"/>
                <w:lang w:eastAsia="it-IT"/>
              </w:rPr>
              <w:t xml:space="preserve"> e attività d’investimento sulle quali esercita un controllo o un’influenza dominante.</w:t>
            </w:r>
          </w:p>
        </w:tc>
        <w:tc>
          <w:tcPr>
            <w:tcW w:w="2160" w:type="dxa"/>
            <w:hideMark/>
          </w:tcPr>
          <w:p w14:paraId="7E2E12A0"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b/>
                <w:bCs/>
                <w:color w:val="000000"/>
                <w:sz w:val="14"/>
                <w:szCs w:val="14"/>
                <w:lang w:eastAsia="it-IT"/>
              </w:rPr>
              <w:t>Identificazione dei confini della materialità.</w:t>
            </w:r>
          </w:p>
          <w:p w14:paraId="488D92B7"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L’organizzazione definisce chiaramente il processo mediante il quale valutare e stabilire la rilevanza delle informazioni.</w:t>
            </w:r>
          </w:p>
        </w:tc>
      </w:tr>
      <w:tr w:rsidR="003C4D46" w:rsidRPr="00D553F0" w14:paraId="798AE4C9" w14:textId="77777777" w:rsidTr="00544C1A">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534" w:type="dxa"/>
            <w:noWrap/>
            <w:hideMark/>
          </w:tcPr>
          <w:p w14:paraId="5B21C1B4" w14:textId="77777777" w:rsidR="003C4D46" w:rsidRPr="00D553F0" w:rsidRDefault="003C4D46" w:rsidP="001E439A">
            <w:pPr>
              <w:spacing w:before="20" w:after="0" w:line="240" w:lineRule="auto"/>
              <w:jc w:val="center"/>
              <w:rPr>
                <w:rFonts w:ascii="Segoe UI" w:eastAsia="Times New Roman" w:hAnsi="Segoe UI" w:cs="Segoe UI"/>
                <w:b w:val="0"/>
                <w:bCs w:val="0"/>
                <w:color w:val="000000"/>
                <w:sz w:val="14"/>
                <w:szCs w:val="14"/>
                <w:lang w:eastAsia="it-IT"/>
              </w:rPr>
            </w:pPr>
            <w:r w:rsidRPr="00D553F0">
              <w:rPr>
                <w:rFonts w:ascii="Segoe UI" w:eastAsia="Times New Roman" w:hAnsi="Segoe UI" w:cs="Segoe UI"/>
                <w:b w:val="0"/>
                <w:bCs w:val="0"/>
                <w:color w:val="000000"/>
                <w:sz w:val="14"/>
                <w:szCs w:val="14"/>
                <w:lang w:eastAsia="it-IT"/>
              </w:rPr>
              <w:t>2</w:t>
            </w:r>
          </w:p>
        </w:tc>
        <w:tc>
          <w:tcPr>
            <w:tcW w:w="1842" w:type="dxa"/>
            <w:hideMark/>
          </w:tcPr>
          <w:p w14:paraId="39110237"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b/>
                <w:bCs/>
                <w:color w:val="000000"/>
                <w:sz w:val="14"/>
                <w:szCs w:val="14"/>
                <w:lang w:eastAsia="it-IT"/>
              </w:rPr>
              <w:t>Definizione delle informazioni rilevanti.</w:t>
            </w:r>
          </w:p>
          <w:p w14:paraId="5C8EBA11"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L’azienda stabilisce se le informazioni identificate nella fase precedente siano rilevanti (</w:t>
            </w:r>
            <w:r w:rsidRPr="00D553F0">
              <w:rPr>
                <w:rFonts w:ascii="Segoe UI" w:eastAsia="Times New Roman" w:hAnsi="Segoe UI" w:cs="Segoe UI"/>
                <w:i/>
                <w:color w:val="000000"/>
                <w:sz w:val="14"/>
                <w:szCs w:val="14"/>
                <w:lang w:eastAsia="it-IT"/>
              </w:rPr>
              <w:t>material</w:t>
            </w:r>
            <w:r w:rsidRPr="00D553F0">
              <w:rPr>
                <w:rFonts w:ascii="Segoe UI" w:eastAsia="Times New Roman" w:hAnsi="Segoe UI" w:cs="Segoe UI"/>
                <w:color w:val="000000"/>
                <w:sz w:val="14"/>
                <w:szCs w:val="14"/>
                <w:lang w:eastAsia="it-IT"/>
              </w:rPr>
              <w:t>), procedendo all'analisi di fattori quantitativi (intensità) e qualitativi (natura).</w:t>
            </w:r>
          </w:p>
        </w:tc>
        <w:tc>
          <w:tcPr>
            <w:tcW w:w="2268" w:type="dxa"/>
            <w:hideMark/>
          </w:tcPr>
          <w:p w14:paraId="6A84FFF4"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b/>
                <w:bCs/>
                <w:color w:val="000000"/>
                <w:sz w:val="14"/>
                <w:szCs w:val="14"/>
                <w:lang w:eastAsia="it-IT"/>
              </w:rPr>
              <w:t>Determinazione delle priorità degli aspetti selezionati</w:t>
            </w:r>
            <w:r w:rsidRPr="00D553F0">
              <w:rPr>
                <w:rFonts w:ascii="Segoe UI" w:eastAsia="Times New Roman" w:hAnsi="Segoe UI" w:cs="Segoe UI"/>
                <w:color w:val="000000"/>
                <w:sz w:val="14"/>
                <w:szCs w:val="14"/>
                <w:lang w:eastAsia="it-IT"/>
              </w:rPr>
              <w:t>.</w:t>
            </w:r>
          </w:p>
          <w:p w14:paraId="0B5C356C"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 xml:space="preserve">Il principio della materialità è implementato attraverso una valutazione degli aspetti e dei temi idonei a generare significativi impatti economici, ambientali e sociale o a influenzare le decisioni degli </w:t>
            </w:r>
            <w:r w:rsidRPr="00D553F0">
              <w:rPr>
                <w:rFonts w:ascii="Segoe UI" w:eastAsia="Times New Roman" w:hAnsi="Segoe UI" w:cs="Segoe UI"/>
                <w:i/>
                <w:color w:val="000000"/>
                <w:sz w:val="14"/>
                <w:szCs w:val="14"/>
                <w:lang w:eastAsia="it-IT"/>
              </w:rPr>
              <w:t>stakeholder</w:t>
            </w:r>
            <w:r w:rsidRPr="00D553F0">
              <w:rPr>
                <w:rFonts w:ascii="Segoe UI" w:eastAsia="Times New Roman" w:hAnsi="Segoe UI" w:cs="Segoe UI"/>
                <w:color w:val="000000"/>
                <w:sz w:val="14"/>
                <w:szCs w:val="14"/>
                <w:lang w:eastAsia="it-IT"/>
              </w:rPr>
              <w:t>.</w:t>
            </w:r>
          </w:p>
        </w:tc>
        <w:tc>
          <w:tcPr>
            <w:tcW w:w="2835" w:type="dxa"/>
            <w:hideMark/>
          </w:tcPr>
          <w:p w14:paraId="6B7A146C"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b/>
                <w:bCs/>
                <w:color w:val="000000"/>
                <w:sz w:val="14"/>
                <w:szCs w:val="14"/>
                <w:lang w:eastAsia="it-IT"/>
              </w:rPr>
              <w:t>Selezione dei temi</w:t>
            </w:r>
            <w:r w:rsidRPr="00D553F0">
              <w:rPr>
                <w:rFonts w:ascii="Segoe UI" w:eastAsia="Times New Roman" w:hAnsi="Segoe UI" w:cs="Segoe UI"/>
                <w:color w:val="000000"/>
                <w:sz w:val="14"/>
                <w:szCs w:val="14"/>
                <w:lang w:eastAsia="it-IT"/>
              </w:rPr>
              <w:t>.</w:t>
            </w:r>
          </w:p>
          <w:p w14:paraId="456E692C"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 xml:space="preserve">L’organizzazione procede a valutare gli aspetti rilevanti idonei a incidere sulla capacità dell’organizzazione di creare valore, in funzione dell’impatto degli sulla strategia, sulla </w:t>
            </w:r>
            <w:r w:rsidRPr="00D553F0">
              <w:rPr>
                <w:rFonts w:ascii="Segoe UI" w:eastAsia="Times New Roman" w:hAnsi="Segoe UI" w:cs="Segoe UI"/>
                <w:i/>
                <w:color w:val="000000"/>
                <w:sz w:val="14"/>
                <w:szCs w:val="14"/>
                <w:lang w:eastAsia="it-IT"/>
              </w:rPr>
              <w:t>governance</w:t>
            </w:r>
            <w:r w:rsidRPr="00D553F0">
              <w:rPr>
                <w:rFonts w:ascii="Segoe UI" w:eastAsia="Times New Roman" w:hAnsi="Segoe UI" w:cs="Segoe UI"/>
                <w:color w:val="000000"/>
                <w:sz w:val="14"/>
                <w:szCs w:val="14"/>
                <w:lang w:eastAsia="it-IT"/>
              </w:rPr>
              <w:t xml:space="preserve">, sulla </w:t>
            </w:r>
            <w:r w:rsidRPr="00D553F0">
              <w:rPr>
                <w:rFonts w:ascii="Segoe UI" w:eastAsia="Times New Roman" w:hAnsi="Segoe UI" w:cs="Segoe UI"/>
                <w:i/>
                <w:color w:val="000000"/>
                <w:sz w:val="14"/>
                <w:szCs w:val="14"/>
                <w:lang w:eastAsia="it-IT"/>
              </w:rPr>
              <w:t xml:space="preserve">performance </w:t>
            </w:r>
            <w:r w:rsidRPr="00D553F0">
              <w:rPr>
                <w:rFonts w:ascii="Segoe UI" w:eastAsia="Times New Roman" w:hAnsi="Segoe UI" w:cs="Segoe UI"/>
                <w:color w:val="000000"/>
                <w:sz w:val="14"/>
                <w:szCs w:val="14"/>
                <w:lang w:eastAsia="it-IT"/>
              </w:rPr>
              <w:t>e sulle prospettive per il futuro.</w:t>
            </w:r>
          </w:p>
        </w:tc>
        <w:tc>
          <w:tcPr>
            <w:tcW w:w="2160" w:type="dxa"/>
            <w:hideMark/>
          </w:tcPr>
          <w:p w14:paraId="37C5933A"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b/>
                <w:bCs/>
                <w:color w:val="000000"/>
                <w:sz w:val="14"/>
                <w:szCs w:val="14"/>
                <w:lang w:eastAsia="it-IT"/>
              </w:rPr>
              <w:t>Identificazione di una soglia finanziaria.</w:t>
            </w:r>
          </w:p>
          <w:p w14:paraId="31ADF488"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L’organizzazione procede a individuare criteri e parametri finanziari che contraddistinguano la categoria delle informazioni rilevanti.</w:t>
            </w:r>
          </w:p>
        </w:tc>
      </w:tr>
      <w:tr w:rsidR="003C4D46" w:rsidRPr="00D553F0" w14:paraId="6BF60BE6" w14:textId="77777777" w:rsidTr="00544C1A">
        <w:trPr>
          <w:cantSplit/>
          <w:trHeight w:val="20"/>
        </w:trPr>
        <w:tc>
          <w:tcPr>
            <w:cnfStyle w:val="001000000000" w:firstRow="0" w:lastRow="0" w:firstColumn="1" w:lastColumn="0" w:oddVBand="0" w:evenVBand="0" w:oddHBand="0" w:evenHBand="0" w:firstRowFirstColumn="0" w:firstRowLastColumn="0" w:lastRowFirstColumn="0" w:lastRowLastColumn="0"/>
            <w:tcW w:w="534" w:type="dxa"/>
            <w:noWrap/>
            <w:hideMark/>
          </w:tcPr>
          <w:p w14:paraId="6077FBFD" w14:textId="77777777" w:rsidR="003C4D46" w:rsidRPr="00D553F0" w:rsidRDefault="003C4D46" w:rsidP="001E439A">
            <w:pPr>
              <w:spacing w:before="20" w:after="0" w:line="240" w:lineRule="auto"/>
              <w:jc w:val="center"/>
              <w:rPr>
                <w:rFonts w:ascii="Segoe UI" w:eastAsia="Times New Roman" w:hAnsi="Segoe UI" w:cs="Segoe UI"/>
                <w:b w:val="0"/>
                <w:bCs w:val="0"/>
                <w:color w:val="000000"/>
                <w:sz w:val="14"/>
                <w:szCs w:val="14"/>
                <w:lang w:eastAsia="it-IT"/>
              </w:rPr>
            </w:pPr>
            <w:r w:rsidRPr="00D553F0">
              <w:rPr>
                <w:rFonts w:ascii="Segoe UI" w:eastAsia="Times New Roman" w:hAnsi="Segoe UI" w:cs="Segoe UI"/>
                <w:b w:val="0"/>
                <w:bCs w:val="0"/>
                <w:color w:val="000000"/>
                <w:sz w:val="14"/>
                <w:szCs w:val="14"/>
                <w:lang w:eastAsia="it-IT"/>
              </w:rPr>
              <w:t>3</w:t>
            </w:r>
          </w:p>
        </w:tc>
        <w:tc>
          <w:tcPr>
            <w:tcW w:w="1842" w:type="dxa"/>
            <w:hideMark/>
          </w:tcPr>
          <w:p w14:paraId="760AF43F"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b/>
                <w:bCs/>
                <w:color w:val="000000"/>
                <w:sz w:val="14"/>
                <w:szCs w:val="14"/>
                <w:lang w:eastAsia="it-IT"/>
              </w:rPr>
              <w:t>Esposizione delle informazioni.</w:t>
            </w:r>
          </w:p>
          <w:p w14:paraId="1D48FED6"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 xml:space="preserve">L’azienda procede a esporre le informazioni nei bilanci attraverso una </w:t>
            </w:r>
            <w:r w:rsidRPr="00D553F0">
              <w:rPr>
                <w:rFonts w:ascii="Segoe UI" w:eastAsia="Times New Roman" w:hAnsi="Segoe UI" w:cs="Segoe UI"/>
                <w:i/>
                <w:color w:val="000000"/>
                <w:sz w:val="14"/>
                <w:szCs w:val="14"/>
                <w:lang w:eastAsia="it-IT"/>
              </w:rPr>
              <w:t>disclosure</w:t>
            </w:r>
            <w:r w:rsidRPr="00D553F0">
              <w:rPr>
                <w:rFonts w:ascii="Segoe UI" w:eastAsia="Times New Roman" w:hAnsi="Segoe UI" w:cs="Segoe UI"/>
                <w:color w:val="000000"/>
                <w:sz w:val="14"/>
                <w:szCs w:val="14"/>
                <w:lang w:eastAsia="it-IT"/>
              </w:rPr>
              <w:t xml:space="preserve"> chiara e concisa.</w:t>
            </w:r>
          </w:p>
        </w:tc>
        <w:tc>
          <w:tcPr>
            <w:tcW w:w="2268" w:type="dxa"/>
            <w:hideMark/>
          </w:tcPr>
          <w:p w14:paraId="14652B97"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b/>
                <w:bCs/>
                <w:color w:val="000000"/>
                <w:sz w:val="14"/>
                <w:szCs w:val="14"/>
                <w:lang w:eastAsia="it-IT"/>
              </w:rPr>
              <w:t>Convalida</w:t>
            </w:r>
            <w:r w:rsidRPr="00D553F0">
              <w:rPr>
                <w:rFonts w:ascii="Segoe UI" w:eastAsia="Times New Roman" w:hAnsi="Segoe UI" w:cs="Segoe UI"/>
                <w:color w:val="000000"/>
                <w:sz w:val="14"/>
                <w:szCs w:val="14"/>
                <w:lang w:eastAsia="it-IT"/>
              </w:rPr>
              <w:t>.</w:t>
            </w:r>
          </w:p>
          <w:p w14:paraId="0845FD27"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 xml:space="preserve">L’organizzazione procede alla convalida delle informazioni incluse nel </w:t>
            </w:r>
            <w:r w:rsidRPr="00D553F0">
              <w:rPr>
                <w:rFonts w:ascii="Segoe UI" w:eastAsia="Times New Roman" w:hAnsi="Segoe UI" w:cs="Segoe UI"/>
                <w:i/>
                <w:color w:val="000000"/>
                <w:sz w:val="14"/>
                <w:szCs w:val="14"/>
                <w:lang w:eastAsia="it-IT"/>
              </w:rPr>
              <w:t>report</w:t>
            </w:r>
            <w:r w:rsidRPr="00D553F0">
              <w:rPr>
                <w:rFonts w:ascii="Segoe UI" w:eastAsia="Times New Roman" w:hAnsi="Segoe UI" w:cs="Segoe UI"/>
                <w:color w:val="000000"/>
                <w:sz w:val="14"/>
                <w:szCs w:val="14"/>
                <w:lang w:eastAsia="it-IT"/>
              </w:rPr>
              <w:t xml:space="preserve">, al fine di assicurare che esso fornisca una ragionevole e bilanciata rappresentazione degli impatti e della </w:t>
            </w:r>
            <w:r w:rsidRPr="00D553F0">
              <w:rPr>
                <w:rFonts w:ascii="Segoe UI" w:eastAsia="Times New Roman" w:hAnsi="Segoe UI" w:cs="Segoe UI"/>
                <w:i/>
                <w:color w:val="000000"/>
                <w:sz w:val="14"/>
                <w:szCs w:val="14"/>
                <w:lang w:eastAsia="it-IT"/>
              </w:rPr>
              <w:t>performanc</w:t>
            </w:r>
            <w:r w:rsidRPr="00D553F0">
              <w:rPr>
                <w:rFonts w:ascii="Segoe UI" w:eastAsia="Times New Roman" w:hAnsi="Segoe UI" w:cs="Segoe UI"/>
                <w:color w:val="000000"/>
                <w:sz w:val="14"/>
                <w:szCs w:val="14"/>
                <w:lang w:eastAsia="it-IT"/>
              </w:rPr>
              <w:t>e di sostenibilità.</w:t>
            </w:r>
          </w:p>
        </w:tc>
        <w:tc>
          <w:tcPr>
            <w:tcW w:w="2835" w:type="dxa"/>
            <w:hideMark/>
          </w:tcPr>
          <w:p w14:paraId="000D649D"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b/>
                <w:bCs/>
                <w:color w:val="000000"/>
                <w:sz w:val="14"/>
                <w:szCs w:val="14"/>
                <w:lang w:eastAsia="it-IT"/>
              </w:rPr>
              <w:t>Valutazione dell’importanza degli aspetti rilevanti.</w:t>
            </w:r>
          </w:p>
          <w:p w14:paraId="1CD98B4B"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L’organizzazione procede alla individuazione degli aspetti materiali da comunicare esternamente, attribuendo agli aspetti rilevanti una gerarchia di priorità in funzione dell’effetto sulla creazione di valore, la cui natura è analizzata alla luce di vari fattori, tra i quali l’effetto finanziario e l’effetto operativo.</w:t>
            </w:r>
          </w:p>
        </w:tc>
        <w:tc>
          <w:tcPr>
            <w:tcW w:w="2160" w:type="dxa"/>
            <w:hideMark/>
          </w:tcPr>
          <w:p w14:paraId="60C16ED3"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b/>
                <w:color w:val="000000"/>
                <w:sz w:val="14"/>
                <w:szCs w:val="14"/>
                <w:lang w:eastAsia="it-IT"/>
              </w:rPr>
            </w:pPr>
            <w:r w:rsidRPr="00D553F0">
              <w:rPr>
                <w:rFonts w:ascii="Segoe UI" w:eastAsia="Times New Roman" w:hAnsi="Segoe UI" w:cs="Segoe UI"/>
                <w:b/>
                <w:bCs/>
                <w:color w:val="000000"/>
                <w:sz w:val="14"/>
                <w:szCs w:val="14"/>
                <w:lang w:eastAsia="it-IT"/>
              </w:rPr>
              <w:t>Filtraggio delle informazion</w:t>
            </w:r>
            <w:r w:rsidRPr="00D553F0">
              <w:rPr>
                <w:rFonts w:ascii="Segoe UI" w:eastAsia="Times New Roman" w:hAnsi="Segoe UI" w:cs="Segoe UI"/>
                <w:b/>
                <w:color w:val="000000"/>
                <w:sz w:val="14"/>
                <w:szCs w:val="14"/>
                <w:lang w:eastAsia="it-IT"/>
              </w:rPr>
              <w:t>i.</w:t>
            </w:r>
          </w:p>
          <w:p w14:paraId="77C56D11"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L’organizzazione seleziona le informazioni in base alla loro significatività, ponderata in funzione della loro importanza, anche al fine di attribuire alle stesse una specifica posizione in una scala di priorità.</w:t>
            </w:r>
          </w:p>
        </w:tc>
      </w:tr>
      <w:tr w:rsidR="003C4D46" w:rsidRPr="00D553F0" w14:paraId="02043EC1" w14:textId="77777777" w:rsidTr="00544C1A">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534" w:type="dxa"/>
            <w:noWrap/>
            <w:hideMark/>
          </w:tcPr>
          <w:p w14:paraId="593377F4" w14:textId="77777777" w:rsidR="003C4D46" w:rsidRPr="00D553F0" w:rsidRDefault="003C4D46" w:rsidP="001E439A">
            <w:pPr>
              <w:spacing w:before="20" w:after="0" w:line="240" w:lineRule="auto"/>
              <w:jc w:val="center"/>
              <w:rPr>
                <w:rFonts w:ascii="Segoe UI" w:eastAsia="Times New Roman" w:hAnsi="Segoe UI" w:cs="Segoe UI"/>
                <w:b w:val="0"/>
                <w:bCs w:val="0"/>
                <w:color w:val="000000"/>
                <w:sz w:val="14"/>
                <w:szCs w:val="14"/>
                <w:lang w:eastAsia="it-IT"/>
              </w:rPr>
            </w:pPr>
            <w:r w:rsidRPr="00D553F0">
              <w:rPr>
                <w:rFonts w:ascii="Segoe UI" w:eastAsia="Times New Roman" w:hAnsi="Segoe UI" w:cs="Segoe UI"/>
                <w:b w:val="0"/>
                <w:bCs w:val="0"/>
                <w:color w:val="000000"/>
                <w:sz w:val="14"/>
                <w:szCs w:val="14"/>
                <w:lang w:eastAsia="it-IT"/>
              </w:rPr>
              <w:t>4</w:t>
            </w:r>
          </w:p>
        </w:tc>
        <w:tc>
          <w:tcPr>
            <w:tcW w:w="1842" w:type="dxa"/>
            <w:hideMark/>
          </w:tcPr>
          <w:p w14:paraId="268DC028"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b/>
                <w:bCs/>
                <w:color w:val="000000"/>
                <w:sz w:val="14"/>
                <w:szCs w:val="14"/>
                <w:lang w:eastAsia="it-IT"/>
              </w:rPr>
              <w:t>Revisione delle informazioni.</w:t>
            </w:r>
          </w:p>
          <w:p w14:paraId="27118351"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 xml:space="preserve">L’azienda rianalizza le informazioni inserite nei </w:t>
            </w:r>
            <w:r w:rsidRPr="00D553F0">
              <w:rPr>
                <w:rFonts w:ascii="Segoe UI" w:eastAsia="Times New Roman" w:hAnsi="Segoe UI" w:cs="Segoe UI"/>
                <w:i/>
                <w:color w:val="000000"/>
                <w:sz w:val="14"/>
                <w:szCs w:val="14"/>
                <w:lang w:eastAsia="it-IT"/>
              </w:rPr>
              <w:t>report</w:t>
            </w:r>
            <w:r w:rsidRPr="00D553F0">
              <w:rPr>
                <w:rFonts w:ascii="Segoe UI" w:eastAsia="Times New Roman" w:hAnsi="Segoe UI" w:cs="Segoe UI"/>
                <w:color w:val="000000"/>
                <w:sz w:val="14"/>
                <w:szCs w:val="14"/>
                <w:lang w:eastAsia="it-IT"/>
              </w:rPr>
              <w:t xml:space="preserve"> finanziari, stabilendo se tali informazioni siano rilevanti in forma autonoma o in connessione con altre informazioni fornite.</w:t>
            </w:r>
          </w:p>
        </w:tc>
        <w:tc>
          <w:tcPr>
            <w:tcW w:w="2268" w:type="dxa"/>
            <w:hideMark/>
          </w:tcPr>
          <w:p w14:paraId="65E78A86"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b/>
                <w:bCs/>
                <w:color w:val="000000"/>
                <w:sz w:val="14"/>
                <w:szCs w:val="14"/>
                <w:lang w:eastAsia="it-IT"/>
              </w:rPr>
              <w:t>Riesame</w:t>
            </w:r>
            <w:r w:rsidRPr="00D553F0">
              <w:rPr>
                <w:rFonts w:ascii="Segoe UI" w:eastAsia="Times New Roman" w:hAnsi="Segoe UI" w:cs="Segoe UI"/>
                <w:color w:val="000000"/>
                <w:sz w:val="14"/>
                <w:szCs w:val="14"/>
                <w:lang w:eastAsia="it-IT"/>
              </w:rPr>
              <w:t>.</w:t>
            </w:r>
          </w:p>
          <w:p w14:paraId="7EBA172F"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 xml:space="preserve">L’organizzazione procede a una revisione dei temi materiali inclusi nei </w:t>
            </w:r>
            <w:r w:rsidRPr="00D553F0">
              <w:rPr>
                <w:rFonts w:ascii="Segoe UI" w:eastAsia="Times New Roman" w:hAnsi="Segoe UI" w:cs="Segoe UI"/>
                <w:i/>
                <w:color w:val="000000"/>
                <w:sz w:val="14"/>
                <w:szCs w:val="14"/>
                <w:lang w:eastAsia="it-IT"/>
              </w:rPr>
              <w:t>report</w:t>
            </w:r>
            <w:r w:rsidRPr="00D553F0">
              <w:rPr>
                <w:rFonts w:ascii="Segoe UI" w:eastAsia="Times New Roman" w:hAnsi="Segoe UI" w:cs="Segoe UI"/>
                <w:color w:val="000000"/>
                <w:sz w:val="14"/>
                <w:szCs w:val="14"/>
                <w:lang w:eastAsia="it-IT"/>
              </w:rPr>
              <w:t xml:space="preserve"> di sostenibilità dei periodi precedenti al fine di considerare in modo adeguato i </w:t>
            </w:r>
            <w:r w:rsidRPr="00D553F0">
              <w:rPr>
                <w:rFonts w:ascii="Segoe UI" w:eastAsia="Times New Roman" w:hAnsi="Segoe UI" w:cs="Segoe UI"/>
                <w:i/>
                <w:color w:val="000000"/>
                <w:sz w:val="14"/>
                <w:szCs w:val="14"/>
                <w:lang w:eastAsia="it-IT"/>
              </w:rPr>
              <w:t>feedback</w:t>
            </w:r>
            <w:r w:rsidRPr="00D553F0">
              <w:rPr>
                <w:rFonts w:ascii="Segoe UI" w:eastAsia="Times New Roman" w:hAnsi="Segoe UI" w:cs="Segoe UI"/>
                <w:color w:val="000000"/>
                <w:sz w:val="14"/>
                <w:szCs w:val="14"/>
                <w:lang w:eastAsia="it-IT"/>
              </w:rPr>
              <w:t xml:space="preserve"> degli </w:t>
            </w:r>
            <w:r w:rsidRPr="00D553F0">
              <w:rPr>
                <w:rFonts w:ascii="Segoe UI" w:eastAsia="Times New Roman" w:hAnsi="Segoe UI" w:cs="Segoe UI"/>
                <w:i/>
                <w:color w:val="000000"/>
                <w:sz w:val="14"/>
                <w:szCs w:val="14"/>
                <w:lang w:eastAsia="it-IT"/>
              </w:rPr>
              <w:t>stakeholder</w:t>
            </w:r>
            <w:r w:rsidRPr="00D553F0">
              <w:rPr>
                <w:rFonts w:ascii="Segoe UI" w:eastAsia="Times New Roman" w:hAnsi="Segoe UI" w:cs="Segoe UI"/>
                <w:color w:val="000000"/>
                <w:sz w:val="14"/>
                <w:szCs w:val="14"/>
                <w:lang w:eastAsia="it-IT"/>
              </w:rPr>
              <w:t>.</w:t>
            </w:r>
          </w:p>
        </w:tc>
        <w:tc>
          <w:tcPr>
            <w:tcW w:w="2835" w:type="dxa"/>
            <w:hideMark/>
          </w:tcPr>
          <w:p w14:paraId="4418647A"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b/>
                <w:bCs/>
                <w:color w:val="000000"/>
                <w:sz w:val="14"/>
                <w:szCs w:val="14"/>
                <w:lang w:eastAsia="it-IT"/>
              </w:rPr>
              <w:t>Assegnazione delle priorità agli aspetti rilevanti</w:t>
            </w:r>
            <w:r w:rsidRPr="00D553F0">
              <w:rPr>
                <w:rFonts w:ascii="Segoe UI" w:eastAsia="Times New Roman" w:hAnsi="Segoe UI" w:cs="Segoe UI"/>
                <w:color w:val="000000"/>
                <w:sz w:val="14"/>
                <w:szCs w:val="14"/>
                <w:lang w:eastAsia="it-IT"/>
              </w:rPr>
              <w:t>.</w:t>
            </w:r>
          </w:p>
          <w:p w14:paraId="76D386A4"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 xml:space="preserve">L’IR Framework stabilisce che, una volta identificato l’insieme degli aspetti materiali, le relative priorità siano assegnate in funzione della loro portata, così da focalizzarsi su quelli contraddistinti da potenziali, maggiori criticità nella implementazione della </w:t>
            </w:r>
            <w:r w:rsidRPr="00D553F0">
              <w:rPr>
                <w:rFonts w:ascii="Segoe UI" w:eastAsia="Times New Roman" w:hAnsi="Segoe UI" w:cs="Segoe UI"/>
                <w:i/>
                <w:color w:val="000000"/>
                <w:sz w:val="14"/>
                <w:szCs w:val="14"/>
                <w:lang w:eastAsia="it-IT"/>
              </w:rPr>
              <w:t>disclosure</w:t>
            </w:r>
            <w:r w:rsidRPr="00D553F0">
              <w:rPr>
                <w:rFonts w:ascii="Segoe UI" w:eastAsia="Times New Roman" w:hAnsi="Segoe UI" w:cs="Segoe UI"/>
                <w:color w:val="000000"/>
                <w:sz w:val="14"/>
                <w:szCs w:val="14"/>
                <w:lang w:eastAsia="it-IT"/>
              </w:rPr>
              <w:t>.</w:t>
            </w:r>
          </w:p>
        </w:tc>
        <w:tc>
          <w:tcPr>
            <w:tcW w:w="2160" w:type="dxa"/>
            <w:hideMark/>
          </w:tcPr>
          <w:p w14:paraId="2BE1381E"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b/>
                <w:bCs/>
                <w:color w:val="000000"/>
                <w:sz w:val="14"/>
                <w:szCs w:val="14"/>
                <w:lang w:eastAsia="it-IT"/>
              </w:rPr>
              <w:t>Identificazione dell'</w:t>
            </w:r>
            <w:r w:rsidRPr="00D553F0">
              <w:rPr>
                <w:rFonts w:ascii="Segoe UI" w:eastAsia="Times New Roman" w:hAnsi="Segoe UI" w:cs="Segoe UI"/>
                <w:b/>
                <w:bCs/>
                <w:i/>
                <w:color w:val="000000"/>
                <w:sz w:val="14"/>
                <w:szCs w:val="14"/>
                <w:lang w:eastAsia="it-IT"/>
              </w:rPr>
              <w:t>audience</w:t>
            </w:r>
            <w:r w:rsidRPr="00D553F0">
              <w:rPr>
                <w:rFonts w:ascii="Segoe UI" w:eastAsia="Times New Roman" w:hAnsi="Segoe UI" w:cs="Segoe UI"/>
                <w:b/>
                <w:bCs/>
                <w:color w:val="000000"/>
                <w:sz w:val="14"/>
                <w:szCs w:val="14"/>
                <w:lang w:eastAsia="it-IT"/>
              </w:rPr>
              <w:t xml:space="preserve"> di riferimento.</w:t>
            </w:r>
          </w:p>
          <w:p w14:paraId="7A329828"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Cs/>
                <w:color w:val="000000"/>
                <w:sz w:val="14"/>
                <w:szCs w:val="14"/>
                <w:lang w:eastAsia="it-IT"/>
              </w:rPr>
            </w:pPr>
            <w:r w:rsidRPr="00D553F0">
              <w:rPr>
                <w:rFonts w:ascii="Segoe UI" w:eastAsia="Times New Roman" w:hAnsi="Segoe UI" w:cs="Segoe UI"/>
                <w:color w:val="000000"/>
                <w:sz w:val="14"/>
                <w:szCs w:val="14"/>
                <w:lang w:eastAsia="it-IT"/>
              </w:rPr>
              <w:t xml:space="preserve">L’organizzazione procede a individuare con precisione gli utilizzatori del </w:t>
            </w:r>
            <w:r w:rsidRPr="00D553F0">
              <w:rPr>
                <w:rFonts w:ascii="Segoe UI" w:eastAsia="Times New Roman" w:hAnsi="Segoe UI" w:cs="Segoe UI"/>
                <w:i/>
                <w:color w:val="000000"/>
                <w:sz w:val="14"/>
                <w:szCs w:val="14"/>
                <w:lang w:eastAsia="it-IT"/>
              </w:rPr>
              <w:t>report</w:t>
            </w:r>
            <w:r w:rsidRPr="00D553F0">
              <w:rPr>
                <w:rFonts w:ascii="Segoe UI" w:eastAsia="Times New Roman" w:hAnsi="Segoe UI" w:cs="Segoe UI"/>
                <w:color w:val="000000"/>
                <w:sz w:val="14"/>
                <w:szCs w:val="14"/>
                <w:lang w:eastAsia="it-IT"/>
              </w:rPr>
              <w:t xml:space="preserve"> in modo da acquisire elementi utili per calibrarne i contenuti nell’esercizio successivo</w:t>
            </w:r>
            <w:r w:rsidRPr="00D553F0">
              <w:rPr>
                <w:rFonts w:ascii="Segoe UI" w:eastAsia="Times New Roman" w:hAnsi="Segoe UI" w:cs="Segoe UI"/>
                <w:bCs/>
                <w:color w:val="000000"/>
                <w:sz w:val="14"/>
                <w:szCs w:val="14"/>
                <w:lang w:eastAsia="it-IT"/>
              </w:rPr>
              <w:t>.</w:t>
            </w:r>
          </w:p>
        </w:tc>
      </w:tr>
      <w:tr w:rsidR="003C4D46" w:rsidRPr="00D553F0" w14:paraId="6C37B60E" w14:textId="77777777" w:rsidTr="00544C1A">
        <w:trPr>
          <w:cantSplit/>
          <w:trHeight w:val="20"/>
        </w:trPr>
        <w:tc>
          <w:tcPr>
            <w:cnfStyle w:val="001000000000" w:firstRow="0" w:lastRow="0" w:firstColumn="1" w:lastColumn="0" w:oddVBand="0" w:evenVBand="0" w:oddHBand="0" w:evenHBand="0" w:firstRowFirstColumn="0" w:firstRowLastColumn="0" w:lastRowFirstColumn="0" w:lastRowLastColumn="0"/>
            <w:tcW w:w="534" w:type="dxa"/>
            <w:noWrap/>
            <w:hideMark/>
          </w:tcPr>
          <w:p w14:paraId="77E82E47" w14:textId="77777777" w:rsidR="003C4D46" w:rsidRPr="00D553F0" w:rsidRDefault="003C4D46" w:rsidP="001E439A">
            <w:pPr>
              <w:spacing w:before="20" w:after="0" w:line="240" w:lineRule="auto"/>
              <w:jc w:val="center"/>
              <w:rPr>
                <w:rFonts w:ascii="Segoe UI" w:eastAsia="Times New Roman" w:hAnsi="Segoe UI" w:cs="Segoe UI"/>
                <w:b w:val="0"/>
                <w:bCs w:val="0"/>
                <w:color w:val="000000"/>
                <w:sz w:val="14"/>
                <w:szCs w:val="14"/>
                <w:lang w:eastAsia="it-IT"/>
              </w:rPr>
            </w:pPr>
            <w:r w:rsidRPr="00D553F0">
              <w:rPr>
                <w:rFonts w:ascii="Segoe UI" w:eastAsia="Times New Roman" w:hAnsi="Segoe UI" w:cs="Segoe UI"/>
                <w:b w:val="0"/>
                <w:bCs w:val="0"/>
                <w:color w:val="000000"/>
                <w:sz w:val="14"/>
                <w:szCs w:val="14"/>
                <w:lang w:eastAsia="it-IT"/>
              </w:rPr>
              <w:t>5</w:t>
            </w:r>
          </w:p>
        </w:tc>
        <w:tc>
          <w:tcPr>
            <w:tcW w:w="1842" w:type="dxa"/>
            <w:noWrap/>
            <w:hideMark/>
          </w:tcPr>
          <w:p w14:paraId="21445488"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p>
        </w:tc>
        <w:tc>
          <w:tcPr>
            <w:tcW w:w="2268" w:type="dxa"/>
            <w:noWrap/>
            <w:hideMark/>
          </w:tcPr>
          <w:p w14:paraId="556B9DD4"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b/>
                <w:bCs/>
                <w:color w:val="000000"/>
                <w:sz w:val="14"/>
                <w:szCs w:val="14"/>
                <w:lang w:eastAsia="it-IT"/>
              </w:rPr>
            </w:pPr>
          </w:p>
        </w:tc>
        <w:tc>
          <w:tcPr>
            <w:tcW w:w="2835" w:type="dxa"/>
            <w:hideMark/>
          </w:tcPr>
          <w:p w14:paraId="1C929F3E"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b/>
                <w:bCs/>
                <w:color w:val="000000"/>
                <w:sz w:val="14"/>
                <w:szCs w:val="14"/>
                <w:lang w:eastAsia="it-IT"/>
              </w:rPr>
              <w:t>Definizione del perimetro di rendicontazione</w:t>
            </w:r>
            <w:r w:rsidRPr="00D553F0">
              <w:rPr>
                <w:rFonts w:ascii="Segoe UI" w:eastAsia="Times New Roman" w:hAnsi="Segoe UI" w:cs="Segoe UI"/>
                <w:color w:val="000000"/>
                <w:sz w:val="14"/>
                <w:szCs w:val="14"/>
                <w:lang w:eastAsia="it-IT"/>
              </w:rPr>
              <w:t>.</w:t>
            </w:r>
          </w:p>
          <w:p w14:paraId="3FF3BD1A"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 xml:space="preserve">L’organizzazione circoscrive il perimetro di </w:t>
            </w:r>
            <w:r w:rsidRPr="00D553F0">
              <w:rPr>
                <w:rFonts w:ascii="Segoe UI" w:eastAsia="Times New Roman" w:hAnsi="Segoe UI" w:cs="Segoe UI"/>
                <w:i/>
                <w:color w:val="000000"/>
                <w:sz w:val="14"/>
                <w:szCs w:val="14"/>
                <w:lang w:eastAsia="it-IT"/>
              </w:rPr>
              <w:t>disclosure</w:t>
            </w:r>
            <w:r w:rsidRPr="00D553F0">
              <w:rPr>
                <w:rFonts w:ascii="Segoe UI" w:eastAsia="Times New Roman" w:hAnsi="Segoe UI" w:cs="Segoe UI"/>
                <w:color w:val="000000"/>
                <w:sz w:val="14"/>
                <w:szCs w:val="14"/>
                <w:lang w:eastAsia="it-IT"/>
              </w:rPr>
              <w:t xml:space="preserve"> in funzione di: temi inerenti al </w:t>
            </w:r>
            <w:r w:rsidRPr="00D553F0">
              <w:rPr>
                <w:rFonts w:ascii="Segoe UI" w:eastAsia="Times New Roman" w:hAnsi="Segoe UI" w:cs="Segoe UI"/>
                <w:i/>
                <w:color w:val="000000"/>
                <w:sz w:val="14"/>
                <w:szCs w:val="14"/>
                <w:lang w:eastAsia="it-IT"/>
              </w:rPr>
              <w:t>reporting</w:t>
            </w:r>
            <w:r w:rsidRPr="00D553F0">
              <w:rPr>
                <w:rFonts w:ascii="Segoe UI" w:eastAsia="Times New Roman" w:hAnsi="Segoe UI" w:cs="Segoe UI"/>
                <w:color w:val="000000"/>
                <w:sz w:val="14"/>
                <w:szCs w:val="14"/>
                <w:lang w:eastAsia="it-IT"/>
              </w:rPr>
              <w:t xml:space="preserve"> finanziario (perimetro di rendicontazione finanziaria); rischi, opportunità e </w:t>
            </w:r>
            <w:r w:rsidRPr="00D553F0">
              <w:rPr>
                <w:rFonts w:ascii="Segoe UI" w:eastAsia="Times New Roman" w:hAnsi="Segoe UI" w:cs="Segoe UI"/>
                <w:i/>
                <w:color w:val="000000"/>
                <w:sz w:val="14"/>
                <w:szCs w:val="14"/>
                <w:lang w:eastAsia="it-IT"/>
              </w:rPr>
              <w:t>outcome</w:t>
            </w:r>
            <w:r w:rsidRPr="00D553F0">
              <w:rPr>
                <w:rFonts w:ascii="Segoe UI" w:eastAsia="Times New Roman" w:hAnsi="Segoe UI" w:cs="Segoe UI"/>
                <w:color w:val="000000"/>
                <w:sz w:val="14"/>
                <w:szCs w:val="14"/>
                <w:lang w:eastAsia="it-IT"/>
              </w:rPr>
              <w:t xml:space="preserve"> attribuibili ad altre entità o </w:t>
            </w:r>
            <w:r w:rsidRPr="00D553F0">
              <w:rPr>
                <w:rFonts w:ascii="Segoe UI" w:eastAsia="Times New Roman" w:hAnsi="Segoe UI" w:cs="Segoe UI"/>
                <w:i/>
                <w:color w:val="000000"/>
                <w:sz w:val="14"/>
                <w:szCs w:val="14"/>
                <w:lang w:eastAsia="it-IT"/>
              </w:rPr>
              <w:t>stakeholder</w:t>
            </w:r>
            <w:r w:rsidRPr="00D553F0">
              <w:rPr>
                <w:rFonts w:ascii="Segoe UI" w:eastAsia="Times New Roman" w:hAnsi="Segoe UI" w:cs="Segoe UI"/>
                <w:color w:val="000000"/>
                <w:sz w:val="14"/>
                <w:szCs w:val="14"/>
                <w:lang w:eastAsia="it-IT"/>
              </w:rPr>
              <w:t>, che influiscano in modo significativo sulla capacità di creare valore.</w:t>
            </w:r>
          </w:p>
        </w:tc>
        <w:tc>
          <w:tcPr>
            <w:tcW w:w="2160" w:type="dxa"/>
            <w:hideMark/>
          </w:tcPr>
          <w:p w14:paraId="04AA7567"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b/>
                <w:bCs/>
                <w:color w:val="000000"/>
                <w:sz w:val="14"/>
                <w:szCs w:val="14"/>
                <w:lang w:eastAsia="it-IT"/>
              </w:rPr>
              <w:t xml:space="preserve">Definizione dei confini del </w:t>
            </w:r>
            <w:r w:rsidRPr="00D553F0">
              <w:rPr>
                <w:rFonts w:ascii="Segoe UI" w:eastAsia="Times New Roman" w:hAnsi="Segoe UI" w:cs="Segoe UI"/>
                <w:b/>
                <w:bCs/>
                <w:i/>
                <w:color w:val="000000"/>
                <w:sz w:val="14"/>
                <w:szCs w:val="14"/>
                <w:lang w:eastAsia="it-IT"/>
              </w:rPr>
              <w:t>report</w:t>
            </w:r>
            <w:r w:rsidRPr="00D553F0">
              <w:rPr>
                <w:rFonts w:ascii="Segoe UI" w:eastAsia="Times New Roman" w:hAnsi="Segoe UI" w:cs="Segoe UI"/>
                <w:b/>
                <w:bCs/>
                <w:color w:val="000000"/>
                <w:sz w:val="14"/>
                <w:szCs w:val="14"/>
                <w:lang w:eastAsia="it-IT"/>
              </w:rPr>
              <w:t>.</w:t>
            </w:r>
          </w:p>
          <w:p w14:paraId="1A669390"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color w:val="000000"/>
                <w:sz w:val="14"/>
                <w:szCs w:val="14"/>
                <w:lang w:eastAsia="it-IT"/>
              </w:rPr>
              <w:t xml:space="preserve">L’organizzazione procede a individuare i confini della </w:t>
            </w:r>
            <w:r w:rsidRPr="00D553F0">
              <w:rPr>
                <w:rFonts w:ascii="Segoe UI" w:eastAsia="Times New Roman" w:hAnsi="Segoe UI" w:cs="Segoe UI"/>
                <w:i/>
                <w:color w:val="000000"/>
                <w:sz w:val="14"/>
                <w:szCs w:val="14"/>
                <w:lang w:eastAsia="it-IT"/>
              </w:rPr>
              <w:t>disclosure</w:t>
            </w:r>
            <w:r w:rsidRPr="00D553F0">
              <w:rPr>
                <w:rFonts w:ascii="Segoe UI" w:eastAsia="Times New Roman" w:hAnsi="Segoe UI" w:cs="Segoe UI"/>
                <w:color w:val="000000"/>
                <w:sz w:val="14"/>
                <w:szCs w:val="14"/>
                <w:lang w:eastAsia="it-IT"/>
              </w:rPr>
              <w:t xml:space="preserve"> rispetto a ciascun </w:t>
            </w:r>
            <w:r w:rsidRPr="00D553F0">
              <w:rPr>
                <w:rFonts w:ascii="Segoe UI" w:eastAsia="Times New Roman" w:hAnsi="Segoe UI" w:cs="Segoe UI"/>
                <w:i/>
                <w:color w:val="000000"/>
                <w:sz w:val="14"/>
                <w:szCs w:val="14"/>
                <w:lang w:eastAsia="it-IT"/>
              </w:rPr>
              <w:t>sustainability matter</w:t>
            </w:r>
            <w:r w:rsidRPr="00D553F0">
              <w:rPr>
                <w:rFonts w:ascii="Segoe UI" w:eastAsia="Times New Roman" w:hAnsi="Segoe UI" w:cs="Segoe UI"/>
                <w:color w:val="000000"/>
                <w:sz w:val="14"/>
                <w:szCs w:val="14"/>
                <w:lang w:eastAsia="it-IT"/>
              </w:rPr>
              <w:t>.</w:t>
            </w:r>
          </w:p>
        </w:tc>
      </w:tr>
      <w:tr w:rsidR="003C4D46" w:rsidRPr="00D553F0" w14:paraId="6AC98009" w14:textId="77777777" w:rsidTr="00544C1A">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534" w:type="dxa"/>
            <w:noWrap/>
            <w:hideMark/>
          </w:tcPr>
          <w:p w14:paraId="30502083" w14:textId="77777777" w:rsidR="003C4D46" w:rsidRPr="00D553F0" w:rsidRDefault="003C4D46" w:rsidP="001E439A">
            <w:pPr>
              <w:spacing w:before="20" w:after="0" w:line="240" w:lineRule="auto"/>
              <w:jc w:val="center"/>
              <w:rPr>
                <w:rFonts w:ascii="Segoe UI" w:eastAsia="Times New Roman" w:hAnsi="Segoe UI" w:cs="Segoe UI"/>
                <w:b w:val="0"/>
                <w:bCs w:val="0"/>
                <w:color w:val="000000"/>
                <w:sz w:val="14"/>
                <w:szCs w:val="14"/>
                <w:lang w:eastAsia="it-IT"/>
              </w:rPr>
            </w:pPr>
            <w:r w:rsidRPr="00D553F0">
              <w:rPr>
                <w:rFonts w:ascii="Segoe UI" w:eastAsia="Times New Roman" w:hAnsi="Segoe UI" w:cs="Segoe UI"/>
                <w:b w:val="0"/>
                <w:bCs w:val="0"/>
                <w:color w:val="000000"/>
                <w:sz w:val="14"/>
                <w:szCs w:val="14"/>
                <w:lang w:eastAsia="it-IT"/>
              </w:rPr>
              <w:t>6</w:t>
            </w:r>
          </w:p>
        </w:tc>
        <w:tc>
          <w:tcPr>
            <w:tcW w:w="1842" w:type="dxa"/>
            <w:noWrap/>
            <w:hideMark/>
          </w:tcPr>
          <w:p w14:paraId="0CFC0AF3"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p>
        </w:tc>
        <w:tc>
          <w:tcPr>
            <w:tcW w:w="2268" w:type="dxa"/>
            <w:noWrap/>
            <w:hideMark/>
          </w:tcPr>
          <w:p w14:paraId="3C3CB916"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p>
        </w:tc>
        <w:tc>
          <w:tcPr>
            <w:tcW w:w="2835" w:type="dxa"/>
            <w:hideMark/>
          </w:tcPr>
          <w:p w14:paraId="00954C4D"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b/>
                <w:bCs/>
                <w:color w:val="000000"/>
                <w:sz w:val="14"/>
                <w:szCs w:val="14"/>
                <w:lang w:eastAsia="it-IT"/>
              </w:rPr>
              <w:t xml:space="preserve">Esplicitazione della </w:t>
            </w:r>
            <w:r w:rsidRPr="00D553F0">
              <w:rPr>
                <w:rFonts w:ascii="Segoe UI" w:eastAsia="Times New Roman" w:hAnsi="Segoe UI" w:cs="Segoe UI"/>
                <w:b/>
                <w:bCs/>
                <w:i/>
                <w:color w:val="000000"/>
                <w:sz w:val="14"/>
                <w:szCs w:val="14"/>
                <w:lang w:eastAsia="it-IT"/>
              </w:rPr>
              <w:t>disclosure</w:t>
            </w:r>
            <w:r w:rsidRPr="00D553F0">
              <w:rPr>
                <w:rFonts w:ascii="Segoe UI" w:eastAsia="Times New Roman" w:hAnsi="Segoe UI" w:cs="Segoe UI"/>
                <w:color w:val="000000"/>
                <w:sz w:val="14"/>
                <w:szCs w:val="14"/>
                <w:lang w:eastAsia="it-IT"/>
              </w:rPr>
              <w:t>.</w:t>
            </w:r>
          </w:p>
          <w:p w14:paraId="7A9CC823"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color w:val="000000"/>
                <w:sz w:val="14"/>
                <w:szCs w:val="14"/>
                <w:lang w:eastAsia="it-IT"/>
              </w:rPr>
            </w:pPr>
            <w:r w:rsidRPr="00D553F0">
              <w:rPr>
                <w:rFonts w:ascii="Segoe UI" w:eastAsia="Times New Roman" w:hAnsi="Segoe UI" w:cs="Segoe UI"/>
                <w:color w:val="000000"/>
                <w:sz w:val="14"/>
                <w:szCs w:val="14"/>
                <w:lang w:eastAsia="it-IT"/>
              </w:rPr>
              <w:t>Il</w:t>
            </w:r>
            <w:r w:rsidRPr="00D553F0">
              <w:rPr>
                <w:rFonts w:ascii="Segoe UI" w:eastAsia="Times New Roman" w:hAnsi="Segoe UI" w:cs="Segoe UI"/>
                <w:i/>
                <w:color w:val="000000"/>
                <w:sz w:val="14"/>
                <w:szCs w:val="14"/>
                <w:lang w:eastAsia="it-IT"/>
              </w:rPr>
              <w:t xml:space="preserve"> report</w:t>
            </w:r>
            <w:r w:rsidRPr="00D553F0">
              <w:rPr>
                <w:rFonts w:ascii="Segoe UI" w:eastAsia="Times New Roman" w:hAnsi="Segoe UI" w:cs="Segoe UI"/>
                <w:color w:val="000000"/>
                <w:sz w:val="14"/>
                <w:szCs w:val="14"/>
                <w:lang w:eastAsia="it-IT"/>
              </w:rPr>
              <w:t xml:space="preserve"> integrato (</w:t>
            </w:r>
            <w:r w:rsidRPr="00D553F0">
              <w:rPr>
                <w:rFonts w:ascii="Segoe UI" w:eastAsia="Times New Roman" w:hAnsi="Segoe UI" w:cs="Segoe UI"/>
                <w:i/>
                <w:color w:val="000000"/>
                <w:sz w:val="14"/>
                <w:szCs w:val="14"/>
                <w:lang w:eastAsia="it-IT"/>
              </w:rPr>
              <w:t>output</w:t>
            </w:r>
            <w:r w:rsidRPr="00D553F0">
              <w:rPr>
                <w:rFonts w:ascii="Segoe UI" w:eastAsia="Times New Roman" w:hAnsi="Segoe UI" w:cs="Segoe UI"/>
                <w:color w:val="000000"/>
                <w:sz w:val="14"/>
                <w:szCs w:val="14"/>
                <w:lang w:eastAsia="it-IT"/>
              </w:rPr>
              <w:t xml:space="preserve"> del processo) deve includere una descrizione sintetica del processo utilizzato per identificare e valutare la portata dei temi rilevanti e per restringere la selezione alle informazioni materiali, in cui si espliciti il ruolo assegnato ai componenti della</w:t>
            </w:r>
            <w:r w:rsidRPr="00D553F0">
              <w:rPr>
                <w:rFonts w:ascii="Segoe UI" w:eastAsia="Times New Roman" w:hAnsi="Segoe UI" w:cs="Segoe UI"/>
                <w:i/>
                <w:color w:val="000000"/>
                <w:sz w:val="14"/>
                <w:szCs w:val="14"/>
                <w:lang w:eastAsia="it-IT"/>
              </w:rPr>
              <w:t xml:space="preserve"> governance</w:t>
            </w:r>
            <w:r w:rsidRPr="00D553F0">
              <w:rPr>
                <w:rFonts w:ascii="Segoe UI" w:eastAsia="Times New Roman" w:hAnsi="Segoe UI" w:cs="Segoe UI"/>
                <w:color w:val="000000"/>
                <w:sz w:val="14"/>
                <w:szCs w:val="14"/>
                <w:lang w:eastAsia="it-IT"/>
              </w:rPr>
              <w:t xml:space="preserve"> e alle figure coinvolte nel processo di determinazione della materialità dei temi.</w:t>
            </w:r>
          </w:p>
        </w:tc>
        <w:tc>
          <w:tcPr>
            <w:tcW w:w="2160" w:type="dxa"/>
            <w:hideMark/>
          </w:tcPr>
          <w:p w14:paraId="6BB6E053"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b/>
                <w:bCs/>
                <w:color w:val="000000"/>
                <w:sz w:val="14"/>
                <w:szCs w:val="14"/>
                <w:lang w:eastAsia="it-IT"/>
              </w:rPr>
              <w:t xml:space="preserve">Definizione degli obiettivi della </w:t>
            </w:r>
            <w:r w:rsidRPr="00D553F0">
              <w:rPr>
                <w:rFonts w:ascii="Segoe UI" w:eastAsia="Times New Roman" w:hAnsi="Segoe UI" w:cs="Segoe UI"/>
                <w:b/>
                <w:bCs/>
                <w:i/>
                <w:color w:val="000000"/>
                <w:sz w:val="14"/>
                <w:szCs w:val="14"/>
                <w:lang w:eastAsia="it-IT"/>
              </w:rPr>
              <w:t>disclosure</w:t>
            </w:r>
            <w:r w:rsidRPr="00D553F0">
              <w:rPr>
                <w:rFonts w:ascii="Segoe UI" w:eastAsia="Times New Roman" w:hAnsi="Segoe UI" w:cs="Segoe UI"/>
                <w:b/>
                <w:bCs/>
                <w:color w:val="000000"/>
                <w:sz w:val="14"/>
                <w:szCs w:val="14"/>
                <w:lang w:eastAsia="it-IT"/>
              </w:rPr>
              <w:t>.</w:t>
            </w:r>
          </w:p>
          <w:p w14:paraId="61C8AE09" w14:textId="77777777" w:rsidR="003C4D46" w:rsidRPr="00D553F0" w:rsidRDefault="003C4D46" w:rsidP="001E439A">
            <w:pPr>
              <w:spacing w:before="20" w:after="0" w:line="240" w:lineRule="auto"/>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color w:val="000000"/>
                <w:sz w:val="14"/>
                <w:szCs w:val="14"/>
                <w:lang w:eastAsia="it-IT"/>
              </w:rPr>
              <w:t xml:space="preserve">L’organizzazione identifica i principali obiettivi cui la </w:t>
            </w:r>
            <w:r w:rsidRPr="00D553F0">
              <w:rPr>
                <w:rFonts w:ascii="Segoe UI" w:eastAsia="Times New Roman" w:hAnsi="Segoe UI" w:cs="Segoe UI"/>
                <w:i/>
                <w:color w:val="000000"/>
                <w:sz w:val="14"/>
                <w:szCs w:val="14"/>
                <w:lang w:eastAsia="it-IT"/>
              </w:rPr>
              <w:t>disclosure</w:t>
            </w:r>
            <w:r w:rsidRPr="00D553F0">
              <w:rPr>
                <w:rFonts w:ascii="Segoe UI" w:eastAsia="Times New Roman" w:hAnsi="Segoe UI" w:cs="Segoe UI"/>
                <w:color w:val="000000"/>
                <w:sz w:val="14"/>
                <w:szCs w:val="14"/>
                <w:lang w:eastAsia="it-IT"/>
              </w:rPr>
              <w:t xml:space="preserve"> deve essere rivolta.</w:t>
            </w:r>
          </w:p>
        </w:tc>
      </w:tr>
      <w:tr w:rsidR="003C4D46" w:rsidRPr="00D553F0" w14:paraId="06A2232D" w14:textId="77777777" w:rsidTr="00544C1A">
        <w:trPr>
          <w:cantSplit/>
          <w:trHeight w:val="20"/>
        </w:trPr>
        <w:tc>
          <w:tcPr>
            <w:cnfStyle w:val="001000000000" w:firstRow="0" w:lastRow="0" w:firstColumn="1" w:lastColumn="0" w:oddVBand="0" w:evenVBand="0" w:oddHBand="0" w:evenHBand="0" w:firstRowFirstColumn="0" w:firstRowLastColumn="0" w:lastRowFirstColumn="0" w:lastRowLastColumn="0"/>
            <w:tcW w:w="534" w:type="dxa"/>
            <w:noWrap/>
            <w:hideMark/>
          </w:tcPr>
          <w:p w14:paraId="4F41C145" w14:textId="77777777" w:rsidR="003C4D46" w:rsidRPr="00D553F0" w:rsidRDefault="003C4D46" w:rsidP="001E439A">
            <w:pPr>
              <w:spacing w:before="20" w:after="0" w:line="240" w:lineRule="auto"/>
              <w:jc w:val="center"/>
              <w:rPr>
                <w:rFonts w:ascii="Segoe UI" w:eastAsia="Times New Roman" w:hAnsi="Segoe UI" w:cs="Segoe UI"/>
                <w:b w:val="0"/>
                <w:bCs w:val="0"/>
                <w:color w:val="000000"/>
                <w:sz w:val="14"/>
                <w:szCs w:val="14"/>
                <w:lang w:eastAsia="it-IT"/>
              </w:rPr>
            </w:pPr>
            <w:r w:rsidRPr="00D553F0">
              <w:rPr>
                <w:rFonts w:ascii="Segoe UI" w:eastAsia="Times New Roman" w:hAnsi="Segoe UI" w:cs="Segoe UI"/>
                <w:b w:val="0"/>
                <w:bCs w:val="0"/>
                <w:color w:val="000000"/>
                <w:sz w:val="14"/>
                <w:szCs w:val="14"/>
                <w:lang w:eastAsia="it-IT"/>
              </w:rPr>
              <w:t>7</w:t>
            </w:r>
          </w:p>
        </w:tc>
        <w:tc>
          <w:tcPr>
            <w:tcW w:w="1842" w:type="dxa"/>
            <w:noWrap/>
            <w:hideMark/>
          </w:tcPr>
          <w:p w14:paraId="28A05267"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p>
        </w:tc>
        <w:tc>
          <w:tcPr>
            <w:tcW w:w="2268" w:type="dxa"/>
            <w:noWrap/>
            <w:hideMark/>
          </w:tcPr>
          <w:p w14:paraId="29860732"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p>
        </w:tc>
        <w:tc>
          <w:tcPr>
            <w:tcW w:w="2835" w:type="dxa"/>
            <w:noWrap/>
            <w:hideMark/>
          </w:tcPr>
          <w:p w14:paraId="15CED179"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color w:val="000000"/>
                <w:sz w:val="14"/>
                <w:szCs w:val="14"/>
                <w:lang w:eastAsia="it-IT"/>
              </w:rPr>
            </w:pPr>
          </w:p>
        </w:tc>
        <w:tc>
          <w:tcPr>
            <w:tcW w:w="2160" w:type="dxa"/>
            <w:noWrap/>
            <w:hideMark/>
          </w:tcPr>
          <w:p w14:paraId="3A46CD4C"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b/>
                <w:bCs/>
                <w:color w:val="000000"/>
                <w:sz w:val="14"/>
                <w:szCs w:val="14"/>
                <w:lang w:eastAsia="it-IT"/>
              </w:rPr>
              <w:t xml:space="preserve">Stabilire la struttura della </w:t>
            </w:r>
            <w:r w:rsidRPr="00D553F0">
              <w:rPr>
                <w:rFonts w:ascii="Segoe UI" w:eastAsia="Times New Roman" w:hAnsi="Segoe UI" w:cs="Segoe UI"/>
                <w:b/>
                <w:bCs/>
                <w:i/>
                <w:color w:val="000000"/>
                <w:sz w:val="14"/>
                <w:szCs w:val="14"/>
                <w:lang w:eastAsia="it-IT"/>
              </w:rPr>
              <w:t>disclosure</w:t>
            </w:r>
            <w:r w:rsidRPr="00D553F0">
              <w:rPr>
                <w:rFonts w:ascii="Segoe UI" w:eastAsia="Times New Roman" w:hAnsi="Segoe UI" w:cs="Segoe UI"/>
                <w:b/>
                <w:bCs/>
                <w:color w:val="000000"/>
                <w:sz w:val="14"/>
                <w:szCs w:val="14"/>
                <w:lang w:eastAsia="it-IT"/>
              </w:rPr>
              <w:t>.</w:t>
            </w:r>
          </w:p>
          <w:p w14:paraId="493EBB3E" w14:textId="77777777" w:rsidR="003C4D46" w:rsidRPr="00D553F0" w:rsidRDefault="003C4D46" w:rsidP="001E439A">
            <w:pPr>
              <w:spacing w:before="20" w:after="0" w:line="240" w:lineRule="auto"/>
              <w:cnfStyle w:val="000000000000" w:firstRow="0" w:lastRow="0" w:firstColumn="0" w:lastColumn="0" w:oddVBand="0" w:evenVBand="0" w:oddHBand="0" w:evenHBand="0" w:firstRowFirstColumn="0" w:firstRowLastColumn="0" w:lastRowFirstColumn="0" w:lastRowLastColumn="0"/>
              <w:rPr>
                <w:rFonts w:ascii="Segoe UI" w:eastAsia="Times New Roman" w:hAnsi="Segoe UI" w:cs="Segoe UI"/>
                <w:b/>
                <w:bCs/>
                <w:color w:val="000000"/>
                <w:sz w:val="14"/>
                <w:szCs w:val="14"/>
                <w:lang w:eastAsia="it-IT"/>
              </w:rPr>
            </w:pPr>
            <w:r w:rsidRPr="00D553F0">
              <w:rPr>
                <w:rFonts w:ascii="Segoe UI" w:eastAsia="Times New Roman" w:hAnsi="Segoe UI" w:cs="Segoe UI"/>
                <w:color w:val="000000"/>
                <w:sz w:val="14"/>
                <w:szCs w:val="14"/>
                <w:lang w:eastAsia="it-IT"/>
              </w:rPr>
              <w:t xml:space="preserve">L’organizzazione articola la </w:t>
            </w:r>
            <w:r w:rsidRPr="00D553F0">
              <w:rPr>
                <w:rFonts w:ascii="Segoe UI" w:eastAsia="Times New Roman" w:hAnsi="Segoe UI" w:cs="Segoe UI"/>
                <w:i/>
                <w:color w:val="000000"/>
                <w:sz w:val="14"/>
                <w:szCs w:val="14"/>
                <w:lang w:eastAsia="it-IT"/>
              </w:rPr>
              <w:t>disclosure</w:t>
            </w:r>
            <w:r w:rsidRPr="00D553F0">
              <w:rPr>
                <w:rFonts w:ascii="Segoe UI" w:eastAsia="Times New Roman" w:hAnsi="Segoe UI" w:cs="Segoe UI"/>
                <w:color w:val="000000"/>
                <w:sz w:val="14"/>
                <w:szCs w:val="14"/>
                <w:lang w:eastAsia="it-IT"/>
              </w:rPr>
              <w:t xml:space="preserve"> avvalendosi di strumenti adeguati al perseguimento degli obiettivi ai quali è rivolta.</w:t>
            </w:r>
          </w:p>
        </w:tc>
      </w:tr>
    </w:tbl>
    <w:p w14:paraId="04C949F6" w14:textId="77777777" w:rsidR="001E439A" w:rsidRDefault="001E439A" w:rsidP="00B25723">
      <w:pPr>
        <w:pStyle w:val="NormaleWeb"/>
        <w:tabs>
          <w:tab w:val="left" w:pos="567"/>
        </w:tabs>
        <w:spacing w:before="120" w:beforeAutospacing="0" w:after="120" w:afterAutospacing="0"/>
        <w:jc w:val="both"/>
        <w:rPr>
          <w:rFonts w:ascii="Segoe UI" w:hAnsi="Segoe UI" w:cs="Segoe UI"/>
          <w:sz w:val="22"/>
          <w:szCs w:val="22"/>
        </w:rPr>
        <w:sectPr w:rsidR="001E439A" w:rsidSect="001E439A">
          <w:pgSz w:w="11906" w:h="16838" w:code="9"/>
          <w:pgMar w:top="1134" w:right="1134" w:bottom="1134" w:left="1134" w:header="709" w:footer="709" w:gutter="0"/>
          <w:cols w:space="708"/>
          <w:docGrid w:linePitch="360"/>
        </w:sectPr>
      </w:pPr>
    </w:p>
    <w:p w14:paraId="79F0AF8C" w14:textId="77F344B6" w:rsidR="008D664F" w:rsidRDefault="007D6956" w:rsidP="00B56323">
      <w:pPr>
        <w:pStyle w:val="NormaleWeb"/>
        <w:tabs>
          <w:tab w:val="left" w:pos="567"/>
        </w:tabs>
        <w:spacing w:before="120" w:beforeAutospacing="0" w:after="120" w:afterAutospacing="0"/>
        <w:jc w:val="both"/>
        <w:rPr>
          <w:rFonts w:ascii="Segoe UI" w:hAnsi="Segoe UI" w:cs="Segoe UI"/>
          <w:sz w:val="22"/>
          <w:szCs w:val="22"/>
        </w:rPr>
      </w:pPr>
      <w:r>
        <w:rPr>
          <w:rFonts w:ascii="Segoe UI" w:hAnsi="Segoe UI" w:cs="Segoe UI"/>
          <w:sz w:val="22"/>
          <w:szCs w:val="22"/>
        </w:rPr>
        <w:t>Come si evince dal confronto</w:t>
      </w:r>
      <w:r w:rsidR="00E01E7C">
        <w:rPr>
          <w:rFonts w:ascii="Segoe UI" w:hAnsi="Segoe UI" w:cs="Segoe UI"/>
          <w:sz w:val="22"/>
          <w:szCs w:val="22"/>
        </w:rPr>
        <w:t xml:space="preserve"> degli approcci di rendicontazione non finanziaria, nella prima fase il GRI propone, coerentemente con una distinzione dei concetti di rilevanza e materialità, l’identificazione degli aspetti (e non specificatamente delle informazioni), diversamente, l’IIRC identifica come punto di partenza di attività, </w:t>
      </w:r>
      <w:r w:rsidR="00E01E7C" w:rsidRPr="00EC02B4">
        <w:rPr>
          <w:rFonts w:ascii="Segoe UI" w:hAnsi="Segoe UI" w:cs="Segoe UI"/>
          <w:i/>
          <w:sz w:val="22"/>
          <w:szCs w:val="22"/>
        </w:rPr>
        <w:t>performance</w:t>
      </w:r>
      <w:r w:rsidR="00E01E7C">
        <w:rPr>
          <w:rFonts w:ascii="Segoe UI" w:hAnsi="Segoe UI" w:cs="Segoe UI"/>
          <w:sz w:val="22"/>
          <w:szCs w:val="22"/>
        </w:rPr>
        <w:t xml:space="preserve"> e impatti dell’informativa</w:t>
      </w:r>
      <w:r w:rsidR="007565BC">
        <w:rPr>
          <w:rFonts w:ascii="Segoe UI" w:hAnsi="Segoe UI" w:cs="Segoe UI"/>
          <w:sz w:val="22"/>
          <w:szCs w:val="22"/>
        </w:rPr>
        <w:t xml:space="preserve"> che risultino significativi.</w:t>
      </w:r>
      <w:r w:rsidR="00257AE7">
        <w:rPr>
          <w:rFonts w:ascii="Segoe UI" w:hAnsi="Segoe UI" w:cs="Segoe UI"/>
          <w:sz w:val="22"/>
          <w:szCs w:val="22"/>
        </w:rPr>
        <w:t xml:space="preserve"> L’approccio proposto da AE parla genericamente di identificazione di informazioni rilevanti, senza fornire, in tale contesto, contributi utili alla conoscenza degli elementi in esame.</w:t>
      </w:r>
    </w:p>
    <w:p w14:paraId="547E369A" w14:textId="36DAAF84" w:rsidR="000E7CF1" w:rsidRDefault="00B63820" w:rsidP="00B25723">
      <w:pPr>
        <w:pStyle w:val="NormaleWeb"/>
        <w:tabs>
          <w:tab w:val="left" w:pos="567"/>
        </w:tabs>
        <w:spacing w:before="120" w:beforeAutospacing="0" w:after="120" w:afterAutospacing="0"/>
        <w:jc w:val="both"/>
        <w:rPr>
          <w:rFonts w:ascii="Segoe UI" w:hAnsi="Segoe UI" w:cs="Segoe UI"/>
          <w:sz w:val="22"/>
          <w:szCs w:val="22"/>
        </w:rPr>
      </w:pPr>
      <w:r>
        <w:rPr>
          <w:rFonts w:ascii="Segoe UI" w:hAnsi="Segoe UI" w:cs="Segoe UI"/>
          <w:sz w:val="22"/>
          <w:szCs w:val="22"/>
        </w:rPr>
        <w:t xml:space="preserve">Nella fase di determinazione delle priorità dei temi rilevanti, ancora una volta, si evincono differenze nell’attribuzione del peso ai singoli elementi: il GRI propone una valutazione degli aspetti e dei temi avvalendosi del concetto di </w:t>
      </w:r>
      <w:r w:rsidR="00EE7CCF">
        <w:rPr>
          <w:rFonts w:ascii="Segoe UI" w:hAnsi="Segoe UI" w:cs="Segoe UI"/>
          <w:sz w:val="22"/>
          <w:szCs w:val="22"/>
        </w:rPr>
        <w:t xml:space="preserve">materialità </w:t>
      </w:r>
      <w:r>
        <w:rPr>
          <w:rFonts w:ascii="Segoe UI" w:hAnsi="Segoe UI" w:cs="Segoe UI"/>
          <w:sz w:val="22"/>
          <w:szCs w:val="22"/>
        </w:rPr>
        <w:t xml:space="preserve">come </w:t>
      </w:r>
      <w:r w:rsidR="00412FC4">
        <w:rPr>
          <w:rFonts w:ascii="Segoe UI" w:hAnsi="Segoe UI" w:cs="Segoe UI"/>
          <w:sz w:val="22"/>
          <w:szCs w:val="22"/>
        </w:rPr>
        <w:t xml:space="preserve">definito nel paragrafo precedente; l’IIRC, associando la </w:t>
      </w:r>
      <w:r w:rsidR="00EE7CCF">
        <w:rPr>
          <w:rFonts w:ascii="Segoe UI" w:hAnsi="Segoe UI" w:cs="Segoe UI"/>
          <w:sz w:val="22"/>
          <w:szCs w:val="22"/>
        </w:rPr>
        <w:t>materialità</w:t>
      </w:r>
      <w:r w:rsidR="00412FC4">
        <w:rPr>
          <w:rFonts w:ascii="Segoe UI" w:hAnsi="Segoe UI" w:cs="Segoe UI"/>
          <w:sz w:val="22"/>
          <w:szCs w:val="22"/>
        </w:rPr>
        <w:t xml:space="preserve"> alla creazione di valore, ritiene debba essere determinata considerando l’impatto degli elementi sulla strategia, la </w:t>
      </w:r>
      <w:r w:rsidR="00412FC4" w:rsidRPr="00890908">
        <w:rPr>
          <w:rFonts w:ascii="Segoe UI" w:hAnsi="Segoe UI" w:cs="Segoe UI"/>
          <w:i/>
          <w:sz w:val="22"/>
          <w:szCs w:val="22"/>
        </w:rPr>
        <w:t>governance</w:t>
      </w:r>
      <w:r w:rsidR="00412FC4">
        <w:rPr>
          <w:rFonts w:ascii="Segoe UI" w:hAnsi="Segoe UI" w:cs="Segoe UI"/>
          <w:sz w:val="22"/>
          <w:szCs w:val="22"/>
        </w:rPr>
        <w:t xml:space="preserve">, le </w:t>
      </w:r>
      <w:r w:rsidR="00412FC4" w:rsidRPr="00EC02B4">
        <w:rPr>
          <w:rFonts w:ascii="Segoe UI" w:hAnsi="Segoe UI" w:cs="Segoe UI"/>
          <w:i/>
          <w:sz w:val="22"/>
          <w:szCs w:val="22"/>
        </w:rPr>
        <w:t>performance</w:t>
      </w:r>
      <w:r w:rsidR="00412FC4">
        <w:rPr>
          <w:rFonts w:ascii="Segoe UI" w:hAnsi="Segoe UI" w:cs="Segoe UI"/>
          <w:sz w:val="22"/>
          <w:szCs w:val="22"/>
        </w:rPr>
        <w:t xml:space="preserve"> e le prospettive per il futuro (risulta evidente la complessità di quanto proposto, con particolare riferimento alle </w:t>
      </w:r>
      <w:r w:rsidR="00412FC4" w:rsidRPr="00EE7CCF">
        <w:rPr>
          <w:rFonts w:ascii="Segoe UI" w:hAnsi="Segoe UI" w:cs="Segoe UI"/>
          <w:i/>
          <w:sz w:val="22"/>
          <w:szCs w:val="22"/>
        </w:rPr>
        <w:t>performance</w:t>
      </w:r>
      <w:r w:rsidR="00412FC4">
        <w:rPr>
          <w:rFonts w:ascii="Segoe UI" w:hAnsi="Segoe UI" w:cs="Segoe UI"/>
          <w:sz w:val="22"/>
          <w:szCs w:val="22"/>
        </w:rPr>
        <w:t xml:space="preserve"> </w:t>
      </w:r>
      <w:r w:rsidR="00EE7CCF">
        <w:rPr>
          <w:rFonts w:ascii="Segoe UI" w:hAnsi="Segoe UI" w:cs="Segoe UI"/>
          <w:sz w:val="22"/>
          <w:szCs w:val="22"/>
        </w:rPr>
        <w:t xml:space="preserve">rispetto </w:t>
      </w:r>
      <w:r w:rsidR="00412FC4">
        <w:rPr>
          <w:rFonts w:ascii="Segoe UI" w:hAnsi="Segoe UI" w:cs="Segoe UI"/>
          <w:sz w:val="22"/>
          <w:szCs w:val="22"/>
        </w:rPr>
        <w:t>alla visione prospettica dell’organizzazione)</w:t>
      </w:r>
      <w:r w:rsidR="00F55FF8">
        <w:rPr>
          <w:rFonts w:ascii="Segoe UI" w:hAnsi="Segoe UI" w:cs="Segoe UI"/>
          <w:sz w:val="22"/>
          <w:szCs w:val="22"/>
        </w:rPr>
        <w:t>; AE addirittura suggerisce di identificare</w:t>
      </w:r>
      <w:r w:rsidR="00890908">
        <w:rPr>
          <w:rFonts w:ascii="Segoe UI" w:hAnsi="Segoe UI" w:cs="Segoe UI"/>
          <w:sz w:val="22"/>
          <w:szCs w:val="22"/>
        </w:rPr>
        <w:t xml:space="preserve"> una “soglia finanziari</w:t>
      </w:r>
      <w:r w:rsidR="00EE7CCF">
        <w:rPr>
          <w:rFonts w:ascii="Segoe UI" w:hAnsi="Segoe UI" w:cs="Segoe UI"/>
          <w:sz w:val="22"/>
          <w:szCs w:val="22"/>
        </w:rPr>
        <w:t>a</w:t>
      </w:r>
      <w:r w:rsidR="00890908">
        <w:rPr>
          <w:rFonts w:ascii="Segoe UI" w:hAnsi="Segoe UI" w:cs="Segoe UI"/>
          <w:sz w:val="22"/>
          <w:szCs w:val="22"/>
        </w:rPr>
        <w:t>”</w:t>
      </w:r>
      <w:r w:rsidR="00F55FF8">
        <w:rPr>
          <w:rFonts w:ascii="Segoe UI" w:hAnsi="Segoe UI" w:cs="Segoe UI"/>
          <w:sz w:val="22"/>
          <w:szCs w:val="22"/>
        </w:rPr>
        <w:t>, in modo non meglio specificato, per individuare tale tipologia di informazioni.</w:t>
      </w:r>
      <w:r w:rsidR="00890908">
        <w:rPr>
          <w:rFonts w:ascii="Segoe UI" w:hAnsi="Segoe UI" w:cs="Segoe UI"/>
          <w:sz w:val="22"/>
          <w:szCs w:val="22"/>
        </w:rPr>
        <w:t xml:space="preserve"> In quest’ultimo caso, appare chiaro come il più delle volte risulti impossibile trasformare un </w:t>
      </w:r>
      <w:r w:rsidR="00EE5FD9" w:rsidRPr="00EE7CCF">
        <w:rPr>
          <w:rFonts w:ascii="Segoe UI" w:hAnsi="Segoe UI" w:cs="Segoe UI"/>
          <w:i/>
          <w:sz w:val="22"/>
          <w:szCs w:val="22"/>
        </w:rPr>
        <w:t>output</w:t>
      </w:r>
      <w:r w:rsidR="00EE5FD9">
        <w:rPr>
          <w:rFonts w:ascii="Segoe UI" w:hAnsi="Segoe UI" w:cs="Segoe UI"/>
          <w:sz w:val="22"/>
          <w:szCs w:val="22"/>
        </w:rPr>
        <w:t xml:space="preserve"> (anche quantitativo) di sostenibilità in un corrispondente valore finanziario.</w:t>
      </w:r>
    </w:p>
    <w:p w14:paraId="036D301A" w14:textId="04B9ECE4" w:rsidR="007465C7" w:rsidRPr="0050519E" w:rsidRDefault="008179D4" w:rsidP="00B25723">
      <w:pPr>
        <w:pStyle w:val="NormaleWeb"/>
        <w:tabs>
          <w:tab w:val="left" w:pos="567"/>
        </w:tabs>
        <w:spacing w:before="120" w:beforeAutospacing="0" w:after="120" w:afterAutospacing="0"/>
        <w:jc w:val="both"/>
        <w:rPr>
          <w:rFonts w:ascii="Segoe UI" w:hAnsi="Segoe UI" w:cs="Segoe UI"/>
          <w:sz w:val="22"/>
          <w:szCs w:val="22"/>
        </w:rPr>
      </w:pPr>
      <w:r>
        <w:rPr>
          <w:rFonts w:ascii="Segoe UI" w:hAnsi="Segoe UI" w:cs="Segoe UI"/>
          <w:sz w:val="22"/>
          <w:szCs w:val="22"/>
        </w:rPr>
        <w:t>Al di là di ulteriori elementi distintivi tra gli approcci come</w:t>
      </w:r>
      <w:r w:rsidR="00EE7CCF">
        <w:rPr>
          <w:rFonts w:ascii="Segoe UI" w:hAnsi="Segoe UI" w:cs="Segoe UI"/>
          <w:sz w:val="22"/>
          <w:szCs w:val="22"/>
        </w:rPr>
        <w:t>,</w:t>
      </w:r>
      <w:r>
        <w:rPr>
          <w:rFonts w:ascii="Segoe UI" w:hAnsi="Segoe UI" w:cs="Segoe UI"/>
          <w:sz w:val="22"/>
          <w:szCs w:val="22"/>
        </w:rPr>
        <w:t xml:space="preserve"> ad esempio</w:t>
      </w:r>
      <w:r w:rsidR="00EE7CCF">
        <w:rPr>
          <w:rFonts w:ascii="Segoe UI" w:hAnsi="Segoe UI" w:cs="Segoe UI"/>
          <w:sz w:val="22"/>
          <w:szCs w:val="22"/>
        </w:rPr>
        <w:t>,</w:t>
      </w:r>
      <w:r>
        <w:rPr>
          <w:rFonts w:ascii="Segoe UI" w:hAnsi="Segoe UI" w:cs="Segoe UI"/>
          <w:sz w:val="22"/>
          <w:szCs w:val="22"/>
        </w:rPr>
        <w:t xml:space="preserve"> la definizione del perimetro di rendicontazione e la descrizione metodologica del perseguimento degli obiettivi della </w:t>
      </w:r>
      <w:r w:rsidRPr="00EE7CCF">
        <w:rPr>
          <w:rFonts w:ascii="Segoe UI" w:hAnsi="Segoe UI" w:cs="Segoe UI"/>
          <w:i/>
          <w:sz w:val="22"/>
          <w:szCs w:val="22"/>
        </w:rPr>
        <w:t>disclosure</w:t>
      </w:r>
      <w:r>
        <w:rPr>
          <w:rFonts w:ascii="Segoe UI" w:hAnsi="Segoe UI" w:cs="Segoe UI"/>
          <w:sz w:val="22"/>
          <w:szCs w:val="22"/>
        </w:rPr>
        <w:t xml:space="preserve">, cui </w:t>
      </w:r>
      <w:r w:rsidR="00EE7CCF">
        <w:rPr>
          <w:rFonts w:ascii="Segoe UI" w:hAnsi="Segoe UI" w:cs="Segoe UI"/>
          <w:sz w:val="22"/>
          <w:szCs w:val="22"/>
        </w:rPr>
        <w:t>l’</w:t>
      </w:r>
      <w:r>
        <w:rPr>
          <w:rFonts w:ascii="Segoe UI" w:hAnsi="Segoe UI" w:cs="Segoe UI"/>
          <w:sz w:val="22"/>
          <w:szCs w:val="22"/>
        </w:rPr>
        <w:t xml:space="preserve">IIRC e AE attribuiscono grande rilievo, un momento particolarmente importante che dovrebbe contraddistinguere qualunque approccio è l’attribuzione di pesi o </w:t>
      </w:r>
      <w:r w:rsidR="00EE7CCF">
        <w:rPr>
          <w:rFonts w:ascii="Segoe UI" w:hAnsi="Segoe UI" w:cs="Segoe UI"/>
          <w:sz w:val="22"/>
          <w:szCs w:val="22"/>
        </w:rPr>
        <w:t xml:space="preserve">l’individuazione di una gerarchia di </w:t>
      </w:r>
      <w:r>
        <w:rPr>
          <w:rFonts w:ascii="Segoe UI" w:hAnsi="Segoe UI" w:cs="Segoe UI"/>
          <w:sz w:val="22"/>
          <w:szCs w:val="22"/>
        </w:rPr>
        <w:t>priorità ai singoli temi/aspetti per individuare le informazioni materiali da includere nella rendicontazione.</w:t>
      </w:r>
      <w:r w:rsidR="00654CFB">
        <w:rPr>
          <w:rFonts w:ascii="Segoe UI" w:hAnsi="Segoe UI" w:cs="Segoe UI"/>
          <w:sz w:val="22"/>
          <w:szCs w:val="22"/>
        </w:rPr>
        <w:t xml:space="preserve"> In questo senso, infatti, non è sempre auspicabile lasciare </w:t>
      </w:r>
      <w:r w:rsidR="00EE7CCF">
        <w:rPr>
          <w:rFonts w:ascii="Segoe UI" w:hAnsi="Segoe UI" w:cs="Segoe UI"/>
          <w:sz w:val="22"/>
          <w:szCs w:val="22"/>
        </w:rPr>
        <w:t xml:space="preserve">totale </w:t>
      </w:r>
      <w:r w:rsidR="00654CFB">
        <w:rPr>
          <w:rFonts w:ascii="Segoe UI" w:hAnsi="Segoe UI" w:cs="Segoe UI"/>
          <w:sz w:val="22"/>
          <w:szCs w:val="22"/>
        </w:rPr>
        <w:t>discrezionalità alla singola organizzazione</w:t>
      </w:r>
      <w:r w:rsidR="001A002B">
        <w:rPr>
          <w:rFonts w:ascii="Segoe UI" w:hAnsi="Segoe UI" w:cs="Segoe UI"/>
          <w:sz w:val="22"/>
          <w:szCs w:val="22"/>
        </w:rPr>
        <w:t xml:space="preserve"> nello stabilire cosa sia rilevante e/o materiale.</w:t>
      </w:r>
    </w:p>
    <w:p w14:paraId="72BA5AB2" w14:textId="65E1D583" w:rsidR="007465C7" w:rsidRPr="0050519E" w:rsidRDefault="007465C7" w:rsidP="00B25723">
      <w:pPr>
        <w:pStyle w:val="NormaleWeb"/>
        <w:tabs>
          <w:tab w:val="left" w:pos="567"/>
        </w:tabs>
        <w:spacing w:before="120" w:beforeAutospacing="0" w:after="120" w:afterAutospacing="0"/>
        <w:jc w:val="both"/>
        <w:rPr>
          <w:rFonts w:ascii="Segoe UI" w:hAnsi="Segoe UI" w:cs="Segoe UI"/>
          <w:sz w:val="22"/>
          <w:szCs w:val="22"/>
        </w:rPr>
      </w:pPr>
      <w:r w:rsidRPr="0050519E">
        <w:rPr>
          <w:rFonts w:ascii="Segoe UI" w:hAnsi="Segoe UI" w:cs="Segoe UI"/>
          <w:sz w:val="22"/>
          <w:szCs w:val="22"/>
        </w:rPr>
        <w:t xml:space="preserve">Nei </w:t>
      </w:r>
      <w:r w:rsidRPr="0050519E">
        <w:rPr>
          <w:rFonts w:ascii="Segoe UI" w:hAnsi="Segoe UI" w:cs="Segoe UI"/>
          <w:i/>
          <w:sz w:val="22"/>
          <w:szCs w:val="22"/>
        </w:rPr>
        <w:t>report</w:t>
      </w:r>
      <w:r w:rsidRPr="0050519E">
        <w:rPr>
          <w:rFonts w:ascii="Segoe UI" w:hAnsi="Segoe UI" w:cs="Segoe UI"/>
          <w:sz w:val="22"/>
          <w:szCs w:val="22"/>
        </w:rPr>
        <w:t xml:space="preserve"> redatti anche sulla base degli </w:t>
      </w:r>
      <w:r w:rsidRPr="0050519E">
        <w:rPr>
          <w:rFonts w:ascii="Segoe UI" w:hAnsi="Segoe UI" w:cs="Segoe UI"/>
          <w:i/>
          <w:sz w:val="22"/>
          <w:szCs w:val="22"/>
        </w:rPr>
        <w:t>standard</w:t>
      </w:r>
      <w:r w:rsidRPr="0050519E">
        <w:rPr>
          <w:rFonts w:ascii="Segoe UI" w:hAnsi="Segoe UI" w:cs="Segoe UI"/>
          <w:sz w:val="22"/>
          <w:szCs w:val="22"/>
        </w:rPr>
        <w:t xml:space="preserve"> di rendicontazione esaminati, nella sezione</w:t>
      </w:r>
      <w:r w:rsidR="001C64D6">
        <w:rPr>
          <w:rFonts w:ascii="Segoe UI" w:hAnsi="Segoe UI" w:cs="Segoe UI"/>
          <w:sz w:val="22"/>
          <w:szCs w:val="22"/>
        </w:rPr>
        <w:t xml:space="preserve"> </w:t>
      </w:r>
      <w:r w:rsidR="001C64D6" w:rsidRPr="0050519E">
        <w:rPr>
          <w:rFonts w:ascii="Segoe UI" w:hAnsi="Segoe UI" w:cs="Segoe UI"/>
          <w:sz w:val="22"/>
          <w:szCs w:val="22"/>
        </w:rPr>
        <w:t>(ove presente)</w:t>
      </w:r>
      <w:r w:rsidRPr="0050519E">
        <w:rPr>
          <w:rFonts w:ascii="Segoe UI" w:hAnsi="Segoe UI" w:cs="Segoe UI"/>
          <w:sz w:val="22"/>
          <w:szCs w:val="22"/>
        </w:rPr>
        <w:t xml:space="preserve"> in cui si illustra il processo di determinazione della materialità, è spesso riportata (</w:t>
      </w:r>
      <w:r w:rsidR="00AC7EC2">
        <w:rPr>
          <w:rFonts w:ascii="Segoe UI" w:hAnsi="Segoe UI" w:cs="Segoe UI"/>
          <w:sz w:val="22"/>
          <w:szCs w:val="22"/>
        </w:rPr>
        <w:t>sol</w:t>
      </w:r>
      <w:r w:rsidR="00480ECF">
        <w:rPr>
          <w:rFonts w:ascii="Segoe UI" w:hAnsi="Segoe UI" w:cs="Segoe UI"/>
          <w:sz w:val="22"/>
          <w:szCs w:val="22"/>
        </w:rPr>
        <w:t>tanto</w:t>
      </w:r>
      <w:r w:rsidRPr="0050519E">
        <w:rPr>
          <w:rFonts w:ascii="Segoe UI" w:hAnsi="Segoe UI" w:cs="Segoe UI"/>
          <w:sz w:val="22"/>
          <w:szCs w:val="22"/>
        </w:rPr>
        <w:t>)</w:t>
      </w:r>
      <w:r w:rsidR="00480ECF">
        <w:rPr>
          <w:rFonts w:ascii="Segoe UI" w:hAnsi="Segoe UI" w:cs="Segoe UI"/>
          <w:sz w:val="22"/>
          <w:szCs w:val="22"/>
        </w:rPr>
        <w:t xml:space="preserve"> </w:t>
      </w:r>
      <w:r w:rsidRPr="0050519E">
        <w:rPr>
          <w:rFonts w:ascii="Segoe UI" w:hAnsi="Segoe UI" w:cs="Segoe UI"/>
          <w:sz w:val="22"/>
          <w:szCs w:val="22"/>
        </w:rPr>
        <w:t>la c.d. matrice di materialità – che, peraltro, una matrice non è, bensì una rappresentazione grafica</w:t>
      </w:r>
      <w:r w:rsidR="00D61D14">
        <w:rPr>
          <w:rFonts w:ascii="Segoe UI" w:hAnsi="Segoe UI" w:cs="Segoe UI"/>
          <w:sz w:val="22"/>
          <w:szCs w:val="22"/>
        </w:rPr>
        <w:t>,</w:t>
      </w:r>
      <w:r w:rsidRPr="0050519E">
        <w:rPr>
          <w:rFonts w:ascii="Segoe UI" w:hAnsi="Segoe UI" w:cs="Segoe UI"/>
          <w:sz w:val="22"/>
          <w:szCs w:val="22"/>
        </w:rPr>
        <w:t xml:space="preserve"> tramite un piano cartesiano</w:t>
      </w:r>
      <w:r w:rsidR="00D61D14">
        <w:rPr>
          <w:rFonts w:ascii="Segoe UI" w:hAnsi="Segoe UI" w:cs="Segoe UI"/>
          <w:sz w:val="22"/>
          <w:szCs w:val="22"/>
        </w:rPr>
        <w:t>,</w:t>
      </w:r>
      <w:r w:rsidRPr="0050519E">
        <w:rPr>
          <w:rFonts w:ascii="Segoe UI" w:hAnsi="Segoe UI" w:cs="Segoe UI"/>
          <w:sz w:val="22"/>
          <w:szCs w:val="22"/>
        </w:rPr>
        <w:t xml:space="preserve"> del risultato di un processo a monte – in cui si indicano specifici temi e aspetti la cui “posizione” nel piano (rilevanza) è determinata in base ai valori assunti rispetto alle due variabili: a) importanza dell’aspetto per l’organizzazione; b) importanza dell’aspetto per gli </w:t>
      </w:r>
      <w:r w:rsidRPr="0050519E">
        <w:rPr>
          <w:rFonts w:ascii="Segoe UI" w:hAnsi="Segoe UI" w:cs="Segoe UI"/>
          <w:i/>
          <w:sz w:val="22"/>
          <w:szCs w:val="22"/>
        </w:rPr>
        <w:t>stakeholder</w:t>
      </w:r>
      <w:r w:rsidRPr="0050519E">
        <w:rPr>
          <w:rFonts w:ascii="Segoe UI" w:hAnsi="Segoe UI" w:cs="Segoe UI"/>
          <w:sz w:val="22"/>
          <w:szCs w:val="22"/>
        </w:rPr>
        <w:t xml:space="preserve">. Subito tre osservazioni. Prima osservazione: in genere, nel </w:t>
      </w:r>
      <w:r w:rsidRPr="0050519E">
        <w:rPr>
          <w:rFonts w:ascii="Segoe UI" w:hAnsi="Segoe UI" w:cs="Segoe UI"/>
          <w:i/>
          <w:sz w:val="22"/>
          <w:szCs w:val="22"/>
        </w:rPr>
        <w:t>report</w:t>
      </w:r>
      <w:r w:rsidRPr="0050519E">
        <w:rPr>
          <w:rFonts w:ascii="Segoe UI" w:hAnsi="Segoe UI" w:cs="Segoe UI"/>
          <w:sz w:val="22"/>
          <w:szCs w:val="22"/>
        </w:rPr>
        <w:t xml:space="preserve"> che se ne avvale, è riportata un’unica figura di rappresentazione del</w:t>
      </w:r>
      <w:r w:rsidR="00AB3BDE">
        <w:rPr>
          <w:rFonts w:ascii="Segoe UI" w:hAnsi="Segoe UI" w:cs="Segoe UI"/>
          <w:sz w:val="22"/>
          <w:szCs w:val="22"/>
        </w:rPr>
        <w:t xml:space="preserve"> risultato del</w:t>
      </w:r>
      <w:r w:rsidRPr="0050519E">
        <w:rPr>
          <w:rFonts w:ascii="Segoe UI" w:hAnsi="Segoe UI" w:cs="Segoe UI"/>
          <w:sz w:val="22"/>
          <w:szCs w:val="22"/>
        </w:rPr>
        <w:t xml:space="preserve"> processo,</w:t>
      </w:r>
      <w:r w:rsidR="00AB3BDE">
        <w:rPr>
          <w:rFonts w:ascii="Segoe UI" w:hAnsi="Segoe UI" w:cs="Segoe UI"/>
          <w:sz w:val="22"/>
          <w:szCs w:val="22"/>
        </w:rPr>
        <w:t xml:space="preserve"> </w:t>
      </w:r>
      <w:r w:rsidRPr="0050519E">
        <w:rPr>
          <w:rFonts w:ascii="Segoe UI" w:hAnsi="Segoe UI" w:cs="Segoe UI"/>
          <w:sz w:val="22"/>
          <w:szCs w:val="22"/>
        </w:rPr>
        <w:t xml:space="preserve">di cui uno degli assi, come appena detto, riporta i valori attribuiti all’“importanza dei temi per gli </w:t>
      </w:r>
      <w:r w:rsidRPr="0050519E">
        <w:rPr>
          <w:rFonts w:ascii="Segoe UI" w:hAnsi="Segoe UI" w:cs="Segoe UI"/>
          <w:i/>
          <w:sz w:val="22"/>
          <w:szCs w:val="22"/>
        </w:rPr>
        <w:t>stakeholder</w:t>
      </w:r>
      <w:r w:rsidRPr="0050519E">
        <w:rPr>
          <w:rFonts w:ascii="Segoe UI" w:hAnsi="Segoe UI" w:cs="Segoe UI"/>
          <w:sz w:val="22"/>
          <w:szCs w:val="22"/>
        </w:rPr>
        <w:t xml:space="preserve">” (ovvero, si presume, la generalità degli </w:t>
      </w:r>
      <w:r w:rsidRPr="0050519E">
        <w:rPr>
          <w:rFonts w:ascii="Segoe UI" w:hAnsi="Segoe UI" w:cs="Segoe UI"/>
          <w:i/>
          <w:sz w:val="22"/>
          <w:szCs w:val="22"/>
        </w:rPr>
        <w:t>stakeholder</w:t>
      </w:r>
      <w:r w:rsidRPr="0050519E">
        <w:rPr>
          <w:rFonts w:ascii="Segoe UI" w:hAnsi="Segoe UI" w:cs="Segoe UI"/>
          <w:sz w:val="22"/>
          <w:szCs w:val="22"/>
        </w:rPr>
        <w:t xml:space="preserve"> di riferimento </w:t>
      </w:r>
      <w:r w:rsidR="00AB3BDE">
        <w:rPr>
          <w:rFonts w:ascii="Segoe UI" w:hAnsi="Segoe UI" w:cs="Segoe UI"/>
          <w:sz w:val="22"/>
          <w:szCs w:val="22"/>
        </w:rPr>
        <w:t>dell’</w:t>
      </w:r>
      <w:r w:rsidRPr="0050519E">
        <w:rPr>
          <w:rFonts w:ascii="Segoe UI" w:hAnsi="Segoe UI" w:cs="Segoe UI"/>
          <w:sz w:val="22"/>
          <w:szCs w:val="22"/>
        </w:rPr>
        <w:t>organizzazione);</w:t>
      </w:r>
      <w:r w:rsidR="00AB3BDE">
        <w:rPr>
          <w:rFonts w:ascii="Segoe UI" w:hAnsi="Segoe UI" w:cs="Segoe UI"/>
          <w:sz w:val="22"/>
          <w:szCs w:val="22"/>
        </w:rPr>
        <w:t xml:space="preserve"> </w:t>
      </w:r>
      <w:r w:rsidRPr="0050519E">
        <w:rPr>
          <w:rFonts w:ascii="Segoe UI" w:hAnsi="Segoe UI" w:cs="Segoe UI"/>
          <w:sz w:val="22"/>
          <w:szCs w:val="22"/>
        </w:rPr>
        <w:t xml:space="preserve">ma è evidente che ciascun tema possa acquisire rilevanza per più di una categoria di </w:t>
      </w:r>
      <w:r w:rsidRPr="0050519E">
        <w:rPr>
          <w:rFonts w:ascii="Segoe UI" w:hAnsi="Segoe UI" w:cs="Segoe UI"/>
          <w:i/>
          <w:sz w:val="22"/>
          <w:szCs w:val="22"/>
        </w:rPr>
        <w:t>stakeholder</w:t>
      </w:r>
      <w:r w:rsidRPr="0050519E">
        <w:rPr>
          <w:rFonts w:ascii="Segoe UI" w:hAnsi="Segoe UI" w:cs="Segoe UI"/>
          <w:sz w:val="22"/>
          <w:szCs w:val="22"/>
        </w:rPr>
        <w:t xml:space="preserve"> il cui peso, in questa valutazione, viene (o andrebbe) calibrato in rapporto al grado di priorità </w:t>
      </w:r>
      <w:r w:rsidR="00B20271">
        <w:rPr>
          <w:rFonts w:ascii="Segoe UI" w:hAnsi="Segoe UI" w:cs="Segoe UI"/>
          <w:sz w:val="22"/>
          <w:szCs w:val="22"/>
        </w:rPr>
        <w:t xml:space="preserve">occupato da quella categoria </w:t>
      </w:r>
      <w:r w:rsidRPr="0050519E">
        <w:rPr>
          <w:rFonts w:ascii="Segoe UI" w:hAnsi="Segoe UI" w:cs="Segoe UI"/>
          <w:sz w:val="22"/>
          <w:szCs w:val="22"/>
        </w:rPr>
        <w:t xml:space="preserve">nello </w:t>
      </w:r>
      <w:r w:rsidRPr="0050519E">
        <w:rPr>
          <w:rFonts w:ascii="Segoe UI" w:hAnsi="Segoe UI" w:cs="Segoe UI"/>
          <w:i/>
          <w:sz w:val="22"/>
          <w:szCs w:val="22"/>
        </w:rPr>
        <w:t>stakeholder management</w:t>
      </w:r>
      <w:r w:rsidRPr="0050519E">
        <w:rPr>
          <w:rFonts w:ascii="Segoe UI" w:hAnsi="Segoe UI" w:cs="Segoe UI"/>
          <w:sz w:val="22"/>
          <w:szCs w:val="22"/>
        </w:rPr>
        <w:t xml:space="preserve"> dell’organizzazione; la “matrice”, tuttavia, così come è </w:t>
      </w:r>
      <w:r w:rsidRPr="008B5679">
        <w:rPr>
          <w:rFonts w:ascii="Segoe UI" w:hAnsi="Segoe UI" w:cs="Segoe UI"/>
          <w:sz w:val="22"/>
          <w:szCs w:val="22"/>
        </w:rPr>
        <w:t xml:space="preserve">costruita (ovvero </w:t>
      </w:r>
      <w:r w:rsidR="008B5679" w:rsidRPr="008B5679">
        <w:rPr>
          <w:rFonts w:ascii="Segoe UI" w:hAnsi="Segoe UI" w:cs="Segoe UI"/>
          <w:sz w:val="22"/>
          <w:szCs w:val="22"/>
        </w:rPr>
        <w:t>in</w:t>
      </w:r>
      <w:r w:rsidRPr="008B5679">
        <w:rPr>
          <w:rFonts w:ascii="Segoe UI" w:hAnsi="Segoe UI" w:cs="Segoe UI"/>
          <w:sz w:val="22"/>
          <w:szCs w:val="22"/>
        </w:rPr>
        <w:t xml:space="preserve"> due sole dimensioni),</w:t>
      </w:r>
      <w:r w:rsidRPr="0050519E">
        <w:rPr>
          <w:rFonts w:ascii="Segoe UI" w:hAnsi="Segoe UI" w:cs="Segoe UI"/>
          <w:sz w:val="22"/>
          <w:szCs w:val="22"/>
        </w:rPr>
        <w:t xml:space="preserve"> nulla dice rispetto all’importanza di ciascun tema </w:t>
      </w:r>
      <w:r w:rsidR="008B0B7F">
        <w:rPr>
          <w:rFonts w:ascii="Segoe UI" w:hAnsi="Segoe UI" w:cs="Segoe UI"/>
          <w:sz w:val="22"/>
          <w:szCs w:val="22"/>
        </w:rPr>
        <w:t xml:space="preserve">per </w:t>
      </w:r>
      <w:r w:rsidRPr="0050519E">
        <w:rPr>
          <w:rFonts w:ascii="Segoe UI" w:hAnsi="Segoe UI" w:cs="Segoe UI"/>
          <w:sz w:val="22"/>
          <w:szCs w:val="22"/>
        </w:rPr>
        <w:t xml:space="preserve">i singoli </w:t>
      </w:r>
      <w:r w:rsidRPr="0050519E">
        <w:rPr>
          <w:rFonts w:ascii="Segoe UI" w:hAnsi="Segoe UI" w:cs="Segoe UI"/>
          <w:i/>
          <w:sz w:val="22"/>
          <w:szCs w:val="22"/>
        </w:rPr>
        <w:t>stakeholder</w:t>
      </w:r>
      <w:r w:rsidR="006C2C1E">
        <w:rPr>
          <w:rFonts w:ascii="Segoe UI" w:hAnsi="Segoe UI" w:cs="Segoe UI"/>
          <w:sz w:val="22"/>
          <w:szCs w:val="22"/>
        </w:rPr>
        <w:t xml:space="preserve"> </w:t>
      </w:r>
      <w:r w:rsidR="008B0B7F">
        <w:rPr>
          <w:rFonts w:ascii="Segoe UI" w:hAnsi="Segoe UI" w:cs="Segoe UI"/>
          <w:sz w:val="22"/>
          <w:szCs w:val="22"/>
        </w:rPr>
        <w:t>(</w:t>
      </w:r>
      <w:r w:rsidR="006C2C1E">
        <w:rPr>
          <w:rFonts w:ascii="Segoe UI" w:hAnsi="Segoe UI" w:cs="Segoe UI"/>
          <w:sz w:val="22"/>
          <w:szCs w:val="22"/>
        </w:rPr>
        <w:t xml:space="preserve">né </w:t>
      </w:r>
      <w:r w:rsidR="008B0B7F">
        <w:rPr>
          <w:rFonts w:ascii="Segoe UI" w:hAnsi="Segoe UI" w:cs="Segoe UI"/>
          <w:sz w:val="22"/>
          <w:szCs w:val="22"/>
        </w:rPr>
        <w:t xml:space="preserve">rispetto all’importanza </w:t>
      </w:r>
      <w:r w:rsidR="006C2C1E">
        <w:rPr>
          <w:rFonts w:ascii="Segoe UI" w:hAnsi="Segoe UI" w:cs="Segoe UI"/>
          <w:sz w:val="22"/>
          <w:szCs w:val="22"/>
        </w:rPr>
        <w:t xml:space="preserve">di ciascuna tipologia di </w:t>
      </w:r>
      <w:r w:rsidR="006C2C1E" w:rsidRPr="008B0B7F">
        <w:rPr>
          <w:rFonts w:ascii="Segoe UI" w:hAnsi="Segoe UI" w:cs="Segoe UI"/>
          <w:i/>
          <w:sz w:val="22"/>
          <w:szCs w:val="22"/>
        </w:rPr>
        <w:t>stakeholder</w:t>
      </w:r>
      <w:r w:rsidR="006C2C1E">
        <w:rPr>
          <w:rFonts w:ascii="Segoe UI" w:hAnsi="Segoe UI" w:cs="Segoe UI"/>
          <w:sz w:val="22"/>
          <w:szCs w:val="22"/>
        </w:rPr>
        <w:t xml:space="preserve"> per l’organizz</w:t>
      </w:r>
      <w:r w:rsidR="008B0B7F">
        <w:rPr>
          <w:rFonts w:ascii="Segoe UI" w:hAnsi="Segoe UI" w:cs="Segoe UI"/>
          <w:sz w:val="22"/>
          <w:szCs w:val="22"/>
        </w:rPr>
        <w:t>az</w:t>
      </w:r>
      <w:r w:rsidR="006C2C1E">
        <w:rPr>
          <w:rFonts w:ascii="Segoe UI" w:hAnsi="Segoe UI" w:cs="Segoe UI"/>
          <w:sz w:val="22"/>
          <w:szCs w:val="22"/>
        </w:rPr>
        <w:t>ione</w:t>
      </w:r>
      <w:r w:rsidR="008B0B7F">
        <w:rPr>
          <w:rFonts w:ascii="Segoe UI" w:hAnsi="Segoe UI" w:cs="Segoe UI"/>
          <w:sz w:val="22"/>
          <w:szCs w:val="22"/>
        </w:rPr>
        <w:t>)</w:t>
      </w:r>
      <w:r w:rsidRPr="0050519E">
        <w:rPr>
          <w:rFonts w:ascii="Segoe UI" w:hAnsi="Segoe UI" w:cs="Segoe UI"/>
          <w:sz w:val="22"/>
          <w:szCs w:val="22"/>
        </w:rPr>
        <w:t xml:space="preserve"> e al loro peso nell’attribuzione del valore sul relativo asse</w:t>
      </w:r>
      <w:r w:rsidRPr="0050519E">
        <w:rPr>
          <w:rStyle w:val="Rimandonotaapidipagina"/>
          <w:rFonts w:cs="Segoe UI"/>
          <w:sz w:val="22"/>
          <w:szCs w:val="22"/>
        </w:rPr>
        <w:footnoteReference w:id="43"/>
      </w:r>
      <w:r w:rsidRPr="0050519E">
        <w:rPr>
          <w:rFonts w:ascii="Segoe UI" w:hAnsi="Segoe UI" w:cs="Segoe UI"/>
          <w:sz w:val="22"/>
          <w:szCs w:val="22"/>
        </w:rPr>
        <w:t xml:space="preserve">. Seconda osservazione: in definitiva, entrambe le valutazioni (l’importanza dell’aspetto per l’organizzazione e l’importanza dell’aspetto per gli </w:t>
      </w:r>
      <w:r w:rsidRPr="0050519E">
        <w:rPr>
          <w:rFonts w:ascii="Segoe UI" w:hAnsi="Segoe UI" w:cs="Segoe UI"/>
          <w:i/>
          <w:sz w:val="22"/>
          <w:szCs w:val="22"/>
        </w:rPr>
        <w:t>stakeholder</w:t>
      </w:r>
      <w:r w:rsidRPr="0050519E">
        <w:rPr>
          <w:rFonts w:ascii="Segoe UI" w:hAnsi="Segoe UI" w:cs="Segoe UI"/>
          <w:sz w:val="22"/>
          <w:szCs w:val="22"/>
        </w:rPr>
        <w:t xml:space="preserve">) sono vagliate e ratificate dagli organi direzionali dell’organizzazione. Terza osservazione: a ben vedere, così come si può agevolmente verificare ripercorrendo i paragrafi precedenti, questa matrice (che spesso appare in </w:t>
      </w:r>
      <w:r w:rsidRPr="0050519E">
        <w:rPr>
          <w:rFonts w:ascii="Segoe UI" w:hAnsi="Segoe UI" w:cs="Segoe UI"/>
          <w:i/>
          <w:sz w:val="22"/>
          <w:szCs w:val="22"/>
        </w:rPr>
        <w:t>report</w:t>
      </w:r>
      <w:r w:rsidRPr="0050519E">
        <w:rPr>
          <w:rFonts w:ascii="Segoe UI" w:hAnsi="Segoe UI" w:cs="Segoe UI"/>
          <w:sz w:val="22"/>
          <w:szCs w:val="22"/>
        </w:rPr>
        <w:t xml:space="preserve"> “</w:t>
      </w:r>
      <w:r w:rsidRPr="0050519E">
        <w:rPr>
          <w:rFonts w:ascii="Segoe UI" w:hAnsi="Segoe UI" w:cs="Segoe UI"/>
          <w:i/>
          <w:sz w:val="22"/>
          <w:szCs w:val="22"/>
        </w:rPr>
        <w:t>GRI compliant</w:t>
      </w:r>
      <w:r w:rsidRPr="0050519E">
        <w:rPr>
          <w:rFonts w:ascii="Segoe UI" w:hAnsi="Segoe UI" w:cs="Segoe UI"/>
          <w:sz w:val="22"/>
          <w:szCs w:val="22"/>
        </w:rPr>
        <w:t>”), costruita sulla base delle due variabili indicate, rappresenta un processo di determinazione della materialità in realtà lontano, per differenti aspetti, tanto dall’approccio del GRI quanto da quello dell’IIRC</w:t>
      </w:r>
      <w:r w:rsidR="00E751F8">
        <w:rPr>
          <w:rFonts w:ascii="Segoe UI" w:hAnsi="Segoe UI" w:cs="Segoe UI"/>
          <w:sz w:val="22"/>
          <w:szCs w:val="22"/>
        </w:rPr>
        <w:t>.</w:t>
      </w:r>
    </w:p>
    <w:p w14:paraId="6C078EC8" w14:textId="59E882BB" w:rsidR="000E7CF1" w:rsidRPr="0050519E" w:rsidRDefault="00331DF4" w:rsidP="000E7CF1">
      <w:pPr>
        <w:pStyle w:val="NormaleWeb"/>
        <w:tabs>
          <w:tab w:val="left" w:pos="567"/>
        </w:tabs>
        <w:spacing w:before="120" w:beforeAutospacing="0" w:after="120" w:afterAutospacing="0"/>
        <w:jc w:val="both"/>
        <w:rPr>
          <w:rFonts w:ascii="Segoe UI" w:hAnsi="Segoe UI" w:cs="Segoe UI"/>
          <w:sz w:val="22"/>
          <w:szCs w:val="22"/>
        </w:rPr>
      </w:pPr>
      <w:r w:rsidRPr="0050519E">
        <w:rPr>
          <w:rFonts w:ascii="Segoe UI" w:hAnsi="Segoe UI" w:cs="Segoe UI"/>
          <w:sz w:val="22"/>
          <w:szCs w:val="22"/>
        </w:rPr>
        <w:t>C</w:t>
      </w:r>
      <w:r w:rsidR="000E7CF1" w:rsidRPr="0050519E">
        <w:rPr>
          <w:rFonts w:ascii="Segoe UI" w:hAnsi="Segoe UI" w:cs="Segoe UI"/>
          <w:sz w:val="22"/>
          <w:szCs w:val="22"/>
        </w:rPr>
        <w:t xml:space="preserve">on l’obiettivo </w:t>
      </w:r>
      <w:r w:rsidRPr="0050519E">
        <w:rPr>
          <w:rFonts w:ascii="Segoe UI" w:hAnsi="Segoe UI" w:cs="Segoe UI"/>
          <w:sz w:val="22"/>
          <w:szCs w:val="22"/>
        </w:rPr>
        <w:t>di chiarire</w:t>
      </w:r>
      <w:r w:rsidR="000E7CF1" w:rsidRPr="0050519E">
        <w:rPr>
          <w:rFonts w:ascii="Segoe UI" w:hAnsi="Segoe UI" w:cs="Segoe UI"/>
          <w:sz w:val="22"/>
          <w:szCs w:val="22"/>
        </w:rPr>
        <w:t xml:space="preserve"> </w:t>
      </w:r>
      <w:r w:rsidRPr="0050519E">
        <w:rPr>
          <w:rFonts w:ascii="Segoe UI" w:hAnsi="Segoe UI" w:cs="Segoe UI"/>
          <w:sz w:val="22"/>
          <w:szCs w:val="22"/>
        </w:rPr>
        <w:t>le problematiche che possono emergere in questo contesto</w:t>
      </w:r>
      <w:r w:rsidR="000E7CF1" w:rsidRPr="0050519E">
        <w:rPr>
          <w:rFonts w:ascii="Segoe UI" w:hAnsi="Segoe UI" w:cs="Segoe UI"/>
          <w:sz w:val="22"/>
          <w:szCs w:val="22"/>
        </w:rPr>
        <w:t xml:space="preserve">, </w:t>
      </w:r>
      <w:r w:rsidRPr="0050519E">
        <w:rPr>
          <w:rFonts w:ascii="Segoe UI" w:hAnsi="Segoe UI" w:cs="Segoe UI"/>
          <w:sz w:val="22"/>
          <w:szCs w:val="22"/>
        </w:rPr>
        <w:t xml:space="preserve">un </w:t>
      </w:r>
      <w:r w:rsidR="000E7CF1" w:rsidRPr="0050519E">
        <w:rPr>
          <w:rFonts w:ascii="Segoe UI" w:hAnsi="Segoe UI" w:cs="Segoe UI"/>
          <w:sz w:val="22"/>
          <w:szCs w:val="22"/>
        </w:rPr>
        <w:t xml:space="preserve">esempio </w:t>
      </w:r>
      <w:r w:rsidRPr="0050519E">
        <w:rPr>
          <w:rFonts w:ascii="Segoe UI" w:hAnsi="Segoe UI" w:cs="Segoe UI"/>
          <w:sz w:val="22"/>
          <w:szCs w:val="22"/>
        </w:rPr>
        <w:t>aiuta a</w:t>
      </w:r>
      <w:r w:rsidR="000E7CF1" w:rsidRPr="0050519E">
        <w:rPr>
          <w:rFonts w:ascii="Segoe UI" w:hAnsi="Segoe UI" w:cs="Segoe UI"/>
          <w:sz w:val="22"/>
          <w:szCs w:val="22"/>
        </w:rPr>
        <w:t xml:space="preserve"> comprendere le asimmetrie informative che possono generarsi nella </w:t>
      </w:r>
      <w:r w:rsidR="000E7CF1" w:rsidRPr="0050519E">
        <w:rPr>
          <w:rFonts w:ascii="Segoe UI" w:hAnsi="Segoe UI" w:cs="Segoe UI"/>
          <w:i/>
          <w:sz w:val="22"/>
          <w:szCs w:val="22"/>
        </w:rPr>
        <w:t>disclosure</w:t>
      </w:r>
      <w:r w:rsidR="000E7CF1" w:rsidRPr="0050519E">
        <w:rPr>
          <w:rFonts w:ascii="Segoe UI" w:hAnsi="Segoe UI" w:cs="Segoe UI"/>
          <w:sz w:val="22"/>
          <w:szCs w:val="22"/>
        </w:rPr>
        <w:t xml:space="preserve"> non finanziaria. </w:t>
      </w:r>
      <w:r w:rsidRPr="0050519E">
        <w:rPr>
          <w:rFonts w:ascii="Segoe UI" w:hAnsi="Segoe UI" w:cs="Segoe UI"/>
          <w:sz w:val="22"/>
          <w:szCs w:val="22"/>
        </w:rPr>
        <w:t>U</w:t>
      </w:r>
      <w:r w:rsidR="000E7CF1" w:rsidRPr="0050519E">
        <w:rPr>
          <w:rFonts w:ascii="Segoe UI" w:hAnsi="Segoe UI" w:cs="Segoe UI"/>
          <w:sz w:val="22"/>
          <w:szCs w:val="22"/>
        </w:rPr>
        <w:t xml:space="preserve">n settore particolarmente </w:t>
      </w:r>
      <w:r w:rsidRPr="0050519E">
        <w:rPr>
          <w:rFonts w:ascii="Segoe UI" w:hAnsi="Segoe UI" w:cs="Segoe UI"/>
          <w:sz w:val="22"/>
          <w:szCs w:val="22"/>
        </w:rPr>
        <w:t>interessante</w:t>
      </w:r>
      <w:r w:rsidR="000E7CF1" w:rsidRPr="0050519E">
        <w:rPr>
          <w:rFonts w:ascii="Segoe UI" w:hAnsi="Segoe UI" w:cs="Segoe UI"/>
          <w:sz w:val="22"/>
          <w:szCs w:val="22"/>
        </w:rPr>
        <w:t xml:space="preserve"> ai fini della nostra trattazione </w:t>
      </w:r>
      <w:r w:rsidR="00B33052" w:rsidRPr="0050519E">
        <w:rPr>
          <w:rFonts w:ascii="Segoe UI" w:hAnsi="Segoe UI" w:cs="Segoe UI"/>
          <w:sz w:val="22"/>
          <w:szCs w:val="22"/>
        </w:rPr>
        <w:t xml:space="preserve">potrebbe essere, ad esempio, </w:t>
      </w:r>
      <w:r w:rsidR="000E7CF1" w:rsidRPr="0050519E">
        <w:rPr>
          <w:rFonts w:ascii="Segoe UI" w:hAnsi="Segoe UI" w:cs="Segoe UI"/>
          <w:sz w:val="22"/>
          <w:szCs w:val="22"/>
        </w:rPr>
        <w:t>il “petrolchimico”</w:t>
      </w:r>
      <w:r w:rsidR="00B33052" w:rsidRPr="0050519E">
        <w:rPr>
          <w:rFonts w:ascii="Segoe UI" w:hAnsi="Segoe UI" w:cs="Segoe UI"/>
          <w:sz w:val="22"/>
          <w:szCs w:val="22"/>
        </w:rPr>
        <w:t>,</w:t>
      </w:r>
      <w:r w:rsidR="000E7CF1" w:rsidRPr="0050519E">
        <w:rPr>
          <w:rFonts w:ascii="Segoe UI" w:hAnsi="Segoe UI" w:cs="Segoe UI"/>
          <w:sz w:val="22"/>
          <w:szCs w:val="22"/>
        </w:rPr>
        <w:t xml:space="preserve"> poiché caratterizzato da elevate esternalità negative ed alto impatto ambientale ed incluso</w:t>
      </w:r>
      <w:r w:rsidR="00B33052" w:rsidRPr="0050519E">
        <w:rPr>
          <w:rFonts w:ascii="Segoe UI" w:hAnsi="Segoe UI" w:cs="Segoe UI"/>
          <w:sz w:val="22"/>
          <w:szCs w:val="22"/>
        </w:rPr>
        <w:t xml:space="preserve">, non a caso, </w:t>
      </w:r>
      <w:r w:rsidRPr="0050519E">
        <w:rPr>
          <w:rFonts w:ascii="Segoe UI" w:hAnsi="Segoe UI" w:cs="Segoe UI"/>
          <w:sz w:val="22"/>
          <w:szCs w:val="22"/>
        </w:rPr>
        <w:t>tra i</w:t>
      </w:r>
      <w:r w:rsidR="000E7CF1" w:rsidRPr="0050519E">
        <w:rPr>
          <w:rFonts w:ascii="Segoe UI" w:hAnsi="Segoe UI" w:cs="Segoe UI"/>
          <w:sz w:val="22"/>
          <w:szCs w:val="22"/>
        </w:rPr>
        <w:t xml:space="preserve"> settori previsti nella distribuzione delle quote di emissione dell’</w:t>
      </w:r>
      <w:r w:rsidR="000E7CF1" w:rsidRPr="0050519E">
        <w:rPr>
          <w:rFonts w:ascii="Segoe UI" w:hAnsi="Segoe UI" w:cs="Segoe UI"/>
          <w:i/>
          <w:sz w:val="22"/>
          <w:szCs w:val="22"/>
        </w:rPr>
        <w:t>Emission Trading Scheme</w:t>
      </w:r>
      <w:r w:rsidR="000E7CF1" w:rsidRPr="0050519E">
        <w:rPr>
          <w:rFonts w:ascii="Segoe UI" w:hAnsi="Segoe UI" w:cs="Segoe UI"/>
          <w:sz w:val="22"/>
          <w:szCs w:val="22"/>
        </w:rPr>
        <w:t xml:space="preserve"> (ETS). </w:t>
      </w:r>
      <w:r w:rsidR="00016290" w:rsidRPr="0050519E">
        <w:rPr>
          <w:rFonts w:ascii="Segoe UI" w:hAnsi="Segoe UI" w:cs="Segoe UI"/>
          <w:sz w:val="22"/>
          <w:szCs w:val="22"/>
        </w:rPr>
        <w:t xml:space="preserve">Prendiamo il caso in cui si siano verificati </w:t>
      </w:r>
      <w:r w:rsidR="000E7CF1" w:rsidRPr="0050519E">
        <w:rPr>
          <w:rFonts w:ascii="Segoe UI" w:hAnsi="Segoe UI" w:cs="Segoe UI"/>
          <w:sz w:val="22"/>
          <w:szCs w:val="22"/>
        </w:rPr>
        <w:t>decessi</w:t>
      </w:r>
      <w:r w:rsidR="00016290" w:rsidRPr="0050519E">
        <w:rPr>
          <w:rFonts w:ascii="Segoe UI" w:hAnsi="Segoe UI" w:cs="Segoe UI"/>
          <w:sz w:val="22"/>
          <w:szCs w:val="22"/>
        </w:rPr>
        <w:t xml:space="preserve"> sul luogo di lavoro nell’esercizio di riferimento.</w:t>
      </w:r>
      <w:r w:rsidR="000E7CF1" w:rsidRPr="0050519E">
        <w:rPr>
          <w:rFonts w:ascii="Segoe UI" w:hAnsi="Segoe UI" w:cs="Segoe UI"/>
          <w:sz w:val="22"/>
          <w:szCs w:val="22"/>
        </w:rPr>
        <w:t xml:space="preserve"> Certamente, l’aspetto (o “</w:t>
      </w:r>
      <w:r w:rsidR="000E7CF1" w:rsidRPr="0050519E">
        <w:rPr>
          <w:rFonts w:ascii="Segoe UI" w:hAnsi="Segoe UI" w:cs="Segoe UI"/>
          <w:i/>
          <w:sz w:val="22"/>
          <w:szCs w:val="22"/>
        </w:rPr>
        <w:t>tema</w:t>
      </w:r>
      <w:r w:rsidR="000E7CF1" w:rsidRPr="0050519E">
        <w:rPr>
          <w:rFonts w:ascii="Segoe UI" w:hAnsi="Segoe UI" w:cs="Segoe UI"/>
          <w:sz w:val="22"/>
          <w:szCs w:val="22"/>
        </w:rPr>
        <w:t xml:space="preserve">” nel dettato normativo) “sicurezza e salute sul lavoro” è </w:t>
      </w:r>
      <w:r w:rsidR="00B33052" w:rsidRPr="0050519E">
        <w:rPr>
          <w:rFonts w:ascii="Segoe UI" w:hAnsi="Segoe UI" w:cs="Segoe UI"/>
          <w:sz w:val="22"/>
          <w:szCs w:val="22"/>
        </w:rPr>
        <w:t xml:space="preserve">da </w:t>
      </w:r>
      <w:r w:rsidR="000E7CF1" w:rsidRPr="0050519E">
        <w:rPr>
          <w:rFonts w:ascii="Segoe UI" w:hAnsi="Segoe UI" w:cs="Segoe UI"/>
          <w:sz w:val="22"/>
          <w:szCs w:val="22"/>
        </w:rPr>
        <w:t>considera</w:t>
      </w:r>
      <w:r w:rsidR="00B33052" w:rsidRPr="0050519E">
        <w:rPr>
          <w:rFonts w:ascii="Segoe UI" w:hAnsi="Segoe UI" w:cs="Segoe UI"/>
          <w:sz w:val="22"/>
          <w:szCs w:val="22"/>
        </w:rPr>
        <w:t>rsi</w:t>
      </w:r>
      <w:r w:rsidR="000E7CF1" w:rsidRPr="0050519E">
        <w:rPr>
          <w:rFonts w:ascii="Segoe UI" w:hAnsi="Segoe UI" w:cs="Segoe UI"/>
          <w:sz w:val="22"/>
          <w:szCs w:val="22"/>
        </w:rPr>
        <w:t xml:space="preserve"> rilevante per questo settore e, di conseguenza</w:t>
      </w:r>
      <w:r w:rsidR="00D65477" w:rsidRPr="0050519E">
        <w:rPr>
          <w:rFonts w:ascii="Segoe UI" w:hAnsi="Segoe UI" w:cs="Segoe UI"/>
          <w:sz w:val="22"/>
          <w:szCs w:val="22"/>
        </w:rPr>
        <w:t xml:space="preserve"> (in virtù dell’analisi esposta nella prima parte del presente documento),</w:t>
      </w:r>
      <w:r w:rsidR="000E7CF1" w:rsidRPr="0050519E">
        <w:rPr>
          <w:rFonts w:ascii="Segoe UI" w:hAnsi="Segoe UI" w:cs="Segoe UI"/>
          <w:sz w:val="22"/>
          <w:szCs w:val="22"/>
        </w:rPr>
        <w:t xml:space="preserve"> la fattispecie obblig</w:t>
      </w:r>
      <w:r w:rsidR="00B33052" w:rsidRPr="0050519E">
        <w:rPr>
          <w:rFonts w:ascii="Segoe UI" w:hAnsi="Segoe UI" w:cs="Segoe UI"/>
          <w:sz w:val="22"/>
          <w:szCs w:val="22"/>
        </w:rPr>
        <w:t>herebbe</w:t>
      </w:r>
      <w:r w:rsidR="000E7CF1" w:rsidRPr="0050519E">
        <w:rPr>
          <w:rFonts w:ascii="Segoe UI" w:hAnsi="Segoe UI" w:cs="Segoe UI"/>
          <w:sz w:val="22"/>
          <w:szCs w:val="22"/>
        </w:rPr>
        <w:t xml:space="preserve"> le organizzazioni a fornire informazioni su</w:t>
      </w:r>
      <w:r w:rsidR="00016290" w:rsidRPr="0050519E">
        <w:rPr>
          <w:rFonts w:ascii="Segoe UI" w:hAnsi="Segoe UI" w:cs="Segoe UI"/>
          <w:sz w:val="22"/>
          <w:szCs w:val="22"/>
        </w:rPr>
        <w:t>ll’evento</w:t>
      </w:r>
      <w:r w:rsidR="00B33052" w:rsidRPr="0050519E">
        <w:rPr>
          <w:rFonts w:ascii="Segoe UI" w:hAnsi="Segoe UI" w:cs="Segoe UI"/>
          <w:sz w:val="22"/>
          <w:szCs w:val="22"/>
        </w:rPr>
        <w:t xml:space="preserve"> </w:t>
      </w:r>
      <w:r w:rsidR="00B33052" w:rsidRPr="0050519E">
        <w:rPr>
          <w:rFonts w:ascii="Segoe UI" w:hAnsi="Segoe UI" w:cs="Segoe UI"/>
          <w:i/>
          <w:sz w:val="22"/>
          <w:szCs w:val="22"/>
        </w:rPr>
        <w:t>ex</w:t>
      </w:r>
      <w:r w:rsidR="00B33052" w:rsidRPr="0050519E">
        <w:rPr>
          <w:rFonts w:ascii="Segoe UI" w:hAnsi="Segoe UI" w:cs="Segoe UI"/>
          <w:sz w:val="22"/>
          <w:szCs w:val="22"/>
        </w:rPr>
        <w:t xml:space="preserve"> d.lg</w:t>
      </w:r>
      <w:r w:rsidR="00730F56" w:rsidRPr="0050519E">
        <w:rPr>
          <w:rFonts w:ascii="Segoe UI" w:hAnsi="Segoe UI" w:cs="Segoe UI"/>
          <w:sz w:val="22"/>
          <w:szCs w:val="22"/>
        </w:rPr>
        <w:t>s. n. 254/2016</w:t>
      </w:r>
      <w:r w:rsidR="000E7CF1" w:rsidRPr="0050519E">
        <w:rPr>
          <w:rFonts w:ascii="Segoe UI" w:hAnsi="Segoe UI" w:cs="Segoe UI"/>
          <w:sz w:val="22"/>
          <w:szCs w:val="22"/>
        </w:rPr>
        <w:t>.</w:t>
      </w:r>
    </w:p>
    <w:p w14:paraId="78FD869D" w14:textId="31A0996F" w:rsidR="000E7CF1" w:rsidRPr="00885B25" w:rsidRDefault="000E7CF1" w:rsidP="001F6527">
      <w:pPr>
        <w:pStyle w:val="NormaleWeb"/>
        <w:keepNext/>
        <w:keepLines/>
        <w:tabs>
          <w:tab w:val="left" w:pos="567"/>
        </w:tabs>
        <w:spacing w:before="120" w:beforeAutospacing="0" w:after="120" w:afterAutospacing="0"/>
        <w:jc w:val="both"/>
        <w:rPr>
          <w:rFonts w:ascii="Segoe UI" w:hAnsi="Segoe UI" w:cs="Segoe UI"/>
          <w:sz w:val="22"/>
          <w:szCs w:val="22"/>
        </w:rPr>
      </w:pPr>
      <w:r w:rsidRPr="00885B25">
        <w:rPr>
          <w:rFonts w:ascii="Segoe UI" w:hAnsi="Segoe UI" w:cs="Segoe UI"/>
          <w:sz w:val="22"/>
          <w:szCs w:val="22"/>
        </w:rPr>
        <w:t>Tuttavia, a seconda dell’interpr</w:t>
      </w:r>
      <w:r>
        <w:rPr>
          <w:rFonts w:ascii="Segoe UI" w:hAnsi="Segoe UI" w:cs="Segoe UI"/>
          <w:sz w:val="22"/>
          <w:szCs w:val="22"/>
        </w:rPr>
        <w:t>etazione che viene attribuita al</w:t>
      </w:r>
      <w:r w:rsidRPr="00885B25">
        <w:rPr>
          <w:rFonts w:ascii="Segoe UI" w:hAnsi="Segoe UI" w:cs="Segoe UI"/>
          <w:sz w:val="22"/>
          <w:szCs w:val="22"/>
        </w:rPr>
        <w:t xml:space="preserve"> concetto di materialità o dello </w:t>
      </w:r>
      <w:r w:rsidRPr="00EC02B4">
        <w:rPr>
          <w:rFonts w:ascii="Segoe UI" w:hAnsi="Segoe UI" w:cs="Segoe UI"/>
          <w:i/>
          <w:sz w:val="22"/>
          <w:szCs w:val="22"/>
        </w:rPr>
        <w:t>standard</w:t>
      </w:r>
      <w:r w:rsidRPr="00885B25">
        <w:rPr>
          <w:rFonts w:ascii="Segoe UI" w:hAnsi="Segoe UI" w:cs="Segoe UI"/>
          <w:sz w:val="22"/>
          <w:szCs w:val="22"/>
        </w:rPr>
        <w:t xml:space="preserve"> di rendicontazione preso come riferimento nel processo di </w:t>
      </w:r>
      <w:r w:rsidRPr="00F9612B">
        <w:rPr>
          <w:rFonts w:ascii="Segoe UI" w:hAnsi="Segoe UI" w:cs="Segoe UI"/>
          <w:i/>
          <w:sz w:val="22"/>
          <w:szCs w:val="22"/>
        </w:rPr>
        <w:t>disclosure</w:t>
      </w:r>
      <w:r w:rsidR="00AB2476">
        <w:rPr>
          <w:rFonts w:ascii="Segoe UI" w:hAnsi="Segoe UI" w:cs="Segoe UI"/>
          <w:sz w:val="22"/>
          <w:szCs w:val="22"/>
        </w:rPr>
        <w:t xml:space="preserve"> (consideriamo, </w:t>
      </w:r>
      <w:r w:rsidR="00423DBB">
        <w:rPr>
          <w:rFonts w:ascii="Segoe UI" w:hAnsi="Segoe UI" w:cs="Segoe UI"/>
          <w:sz w:val="22"/>
          <w:szCs w:val="22"/>
        </w:rPr>
        <w:t xml:space="preserve">ad esempio, </w:t>
      </w:r>
      <w:r w:rsidR="00AB2476">
        <w:rPr>
          <w:rFonts w:ascii="Segoe UI" w:hAnsi="Segoe UI" w:cs="Segoe UI"/>
          <w:sz w:val="22"/>
          <w:szCs w:val="22"/>
        </w:rPr>
        <w:t>l’IR Framework dell’IIRC e le SR Guidelines G4 del GRI)</w:t>
      </w:r>
      <w:r w:rsidRPr="00885B25">
        <w:rPr>
          <w:rFonts w:ascii="Segoe UI" w:hAnsi="Segoe UI" w:cs="Segoe UI"/>
          <w:sz w:val="22"/>
          <w:szCs w:val="22"/>
        </w:rPr>
        <w:t xml:space="preserve">, la fattispecie in esame, </w:t>
      </w:r>
      <w:r w:rsidR="00AB2476">
        <w:rPr>
          <w:rFonts w:ascii="Segoe UI" w:hAnsi="Segoe UI" w:cs="Segoe UI"/>
          <w:sz w:val="22"/>
          <w:szCs w:val="22"/>
        </w:rPr>
        <w:t xml:space="preserve">anche </w:t>
      </w:r>
      <w:r w:rsidRPr="00885B25">
        <w:rPr>
          <w:rFonts w:ascii="Segoe UI" w:hAnsi="Segoe UI" w:cs="Segoe UI"/>
          <w:sz w:val="22"/>
          <w:szCs w:val="22"/>
        </w:rPr>
        <w:t>a causa della soggettività interpretativa della regolamentazione, p</w:t>
      </w:r>
      <w:r w:rsidR="00423DBB">
        <w:rPr>
          <w:rFonts w:ascii="Segoe UI" w:hAnsi="Segoe UI" w:cs="Segoe UI"/>
          <w:sz w:val="22"/>
          <w:szCs w:val="22"/>
        </w:rPr>
        <w:t>otreb</w:t>
      </w:r>
      <w:r w:rsidR="00EE48A5">
        <w:rPr>
          <w:rFonts w:ascii="Segoe UI" w:hAnsi="Segoe UI" w:cs="Segoe UI"/>
          <w:sz w:val="22"/>
          <w:szCs w:val="22"/>
        </w:rPr>
        <w:t>be</w:t>
      </w:r>
      <w:r w:rsidRPr="00885B25">
        <w:rPr>
          <w:rFonts w:ascii="Segoe UI" w:hAnsi="Segoe UI" w:cs="Segoe UI"/>
          <w:sz w:val="22"/>
          <w:szCs w:val="22"/>
        </w:rPr>
        <w:t xml:space="preserve"> assumere due diverse configurazioni:</w:t>
      </w:r>
    </w:p>
    <w:p w14:paraId="31222DE5" w14:textId="4EBCF9BC" w:rsidR="000E7CF1" w:rsidRPr="00885B25" w:rsidRDefault="000E7CF1" w:rsidP="000E7CF1">
      <w:pPr>
        <w:pStyle w:val="NormaleWeb"/>
        <w:numPr>
          <w:ilvl w:val="0"/>
          <w:numId w:val="28"/>
        </w:numPr>
        <w:tabs>
          <w:tab w:val="left" w:pos="567"/>
        </w:tabs>
        <w:spacing w:before="120" w:beforeAutospacing="0" w:after="120" w:afterAutospacing="0"/>
        <w:ind w:left="567" w:hanging="283"/>
        <w:contextualSpacing/>
        <w:jc w:val="both"/>
        <w:rPr>
          <w:rFonts w:ascii="Segoe UI" w:hAnsi="Segoe UI" w:cs="Segoe UI"/>
          <w:sz w:val="22"/>
          <w:szCs w:val="22"/>
        </w:rPr>
      </w:pPr>
      <w:r w:rsidRPr="00885B25">
        <w:rPr>
          <w:rFonts w:ascii="Segoe UI" w:hAnsi="Segoe UI" w:cs="Segoe UI"/>
          <w:sz w:val="22"/>
          <w:szCs w:val="22"/>
        </w:rPr>
        <w:t xml:space="preserve">prendendo in esame l’approccio </w:t>
      </w:r>
      <w:r>
        <w:rPr>
          <w:rFonts w:ascii="Segoe UI" w:hAnsi="Segoe UI" w:cs="Segoe UI"/>
          <w:sz w:val="22"/>
          <w:szCs w:val="22"/>
        </w:rPr>
        <w:t>fornito dall’</w:t>
      </w:r>
      <w:r w:rsidRPr="00885B25">
        <w:rPr>
          <w:rFonts w:ascii="Segoe UI" w:hAnsi="Segoe UI" w:cs="Segoe UI"/>
          <w:sz w:val="22"/>
          <w:szCs w:val="22"/>
        </w:rPr>
        <w:t>IIRC, un</w:t>
      </w:r>
      <w:r>
        <w:rPr>
          <w:rFonts w:ascii="Segoe UI" w:hAnsi="Segoe UI" w:cs="Segoe UI"/>
          <w:sz w:val="22"/>
          <w:szCs w:val="22"/>
        </w:rPr>
        <w:t>’</w:t>
      </w:r>
      <w:r w:rsidRPr="00885B25">
        <w:rPr>
          <w:rFonts w:ascii="Segoe UI" w:hAnsi="Segoe UI" w:cs="Segoe UI"/>
          <w:sz w:val="22"/>
          <w:szCs w:val="22"/>
        </w:rPr>
        <w:t xml:space="preserve">organizzazione potrebbe ritenere di non dover fornire informazioni sul numero di decessi generatesi in incidenti in cui la stessa organizzazione non abbia avuto colpa e/o in cui sia stata accertata la correttezza della predisposizione dei sistemi e degli </w:t>
      </w:r>
      <w:r w:rsidRPr="00EC02B4">
        <w:rPr>
          <w:rFonts w:ascii="Segoe UI" w:hAnsi="Segoe UI" w:cs="Segoe UI"/>
          <w:i/>
          <w:sz w:val="22"/>
          <w:szCs w:val="22"/>
        </w:rPr>
        <w:t>standard</w:t>
      </w:r>
      <w:r w:rsidRPr="00885B25">
        <w:rPr>
          <w:rFonts w:ascii="Segoe UI" w:hAnsi="Segoe UI" w:cs="Segoe UI"/>
          <w:sz w:val="22"/>
          <w:szCs w:val="22"/>
        </w:rPr>
        <w:t xml:space="preserve"> di sicurezza. La mancata </w:t>
      </w:r>
      <w:r w:rsidRPr="00F9612B">
        <w:rPr>
          <w:rFonts w:ascii="Segoe UI" w:hAnsi="Segoe UI" w:cs="Segoe UI"/>
          <w:i/>
          <w:sz w:val="22"/>
          <w:szCs w:val="22"/>
        </w:rPr>
        <w:t>disclosure</w:t>
      </w:r>
      <w:r w:rsidRPr="00885B25">
        <w:rPr>
          <w:rFonts w:ascii="Segoe UI" w:hAnsi="Segoe UI" w:cs="Segoe UI"/>
          <w:sz w:val="22"/>
          <w:szCs w:val="22"/>
        </w:rPr>
        <w:t xml:space="preserve"> dell’evento </w:t>
      </w:r>
      <w:r w:rsidR="000E7E04">
        <w:rPr>
          <w:rFonts w:ascii="Segoe UI" w:hAnsi="Segoe UI" w:cs="Segoe UI"/>
          <w:sz w:val="22"/>
          <w:szCs w:val="22"/>
        </w:rPr>
        <w:t>sarebbe</w:t>
      </w:r>
      <w:r w:rsidRPr="00885B25">
        <w:rPr>
          <w:rFonts w:ascii="Segoe UI" w:hAnsi="Segoe UI" w:cs="Segoe UI"/>
          <w:sz w:val="22"/>
          <w:szCs w:val="22"/>
        </w:rPr>
        <w:t>, in questo caso, collegata alla soggettiva valutazione, da parte dell’organizzazione stessa, dell’incapacità dell’evento di generare un significativo impatto sulla creazione di valore tanto nel breve quanto nel medio-lungo periodo</w:t>
      </w:r>
      <w:r>
        <w:rPr>
          <w:rFonts w:ascii="Segoe UI" w:hAnsi="Segoe UI" w:cs="Segoe UI"/>
          <w:sz w:val="22"/>
          <w:szCs w:val="22"/>
        </w:rPr>
        <w:t>;</w:t>
      </w:r>
    </w:p>
    <w:p w14:paraId="07478396" w14:textId="2A4A414B" w:rsidR="000E7CF1" w:rsidRPr="00885B25" w:rsidRDefault="000E7CF1" w:rsidP="001F6527">
      <w:pPr>
        <w:pStyle w:val="NormaleWeb"/>
        <w:numPr>
          <w:ilvl w:val="0"/>
          <w:numId w:val="28"/>
        </w:numPr>
        <w:tabs>
          <w:tab w:val="left" w:pos="567"/>
        </w:tabs>
        <w:spacing w:before="120" w:beforeAutospacing="0" w:after="120" w:afterAutospacing="0"/>
        <w:ind w:left="568" w:hanging="284"/>
        <w:jc w:val="both"/>
        <w:rPr>
          <w:rFonts w:ascii="Segoe UI" w:hAnsi="Segoe UI" w:cs="Segoe UI"/>
          <w:sz w:val="22"/>
          <w:szCs w:val="22"/>
        </w:rPr>
      </w:pPr>
      <w:r>
        <w:rPr>
          <w:rFonts w:ascii="Segoe UI" w:hAnsi="Segoe UI" w:cs="Segoe UI"/>
          <w:sz w:val="22"/>
          <w:szCs w:val="22"/>
        </w:rPr>
        <w:t>d</w:t>
      </w:r>
      <w:r w:rsidRPr="00885B25">
        <w:rPr>
          <w:rFonts w:ascii="Segoe UI" w:hAnsi="Segoe UI" w:cs="Segoe UI"/>
          <w:sz w:val="22"/>
          <w:szCs w:val="22"/>
        </w:rPr>
        <w:t>i converso, adottando l’approccio GRI, il quale associa il termine “</w:t>
      </w:r>
      <w:r w:rsidRPr="00885B25">
        <w:rPr>
          <w:rFonts w:ascii="Segoe UI" w:hAnsi="Segoe UI" w:cs="Segoe UI"/>
          <w:i/>
          <w:sz w:val="22"/>
          <w:szCs w:val="22"/>
        </w:rPr>
        <w:t>material</w:t>
      </w:r>
      <w:r w:rsidRPr="00885B25">
        <w:rPr>
          <w:rFonts w:ascii="Segoe UI" w:hAnsi="Segoe UI" w:cs="Segoe UI"/>
          <w:sz w:val="22"/>
          <w:szCs w:val="22"/>
        </w:rPr>
        <w:t>” alla capacità di un</w:t>
      </w:r>
      <w:r>
        <w:rPr>
          <w:rFonts w:ascii="Segoe UI" w:hAnsi="Segoe UI" w:cs="Segoe UI"/>
          <w:sz w:val="22"/>
          <w:szCs w:val="22"/>
        </w:rPr>
        <w:t>’</w:t>
      </w:r>
      <w:r w:rsidRPr="00885B25">
        <w:rPr>
          <w:rFonts w:ascii="Segoe UI" w:hAnsi="Segoe UI" w:cs="Segoe UI"/>
          <w:sz w:val="22"/>
          <w:szCs w:val="22"/>
        </w:rPr>
        <w:t>informazione di influenzare in modo sostanziale la valutazione e le</w:t>
      </w:r>
      <w:r>
        <w:rPr>
          <w:rFonts w:ascii="Segoe UI" w:hAnsi="Segoe UI" w:cs="Segoe UI"/>
          <w:sz w:val="22"/>
          <w:szCs w:val="22"/>
        </w:rPr>
        <w:t xml:space="preserve"> </w:t>
      </w:r>
      <w:r w:rsidRPr="00885B25">
        <w:rPr>
          <w:rFonts w:ascii="Segoe UI" w:hAnsi="Segoe UI" w:cs="Segoe UI"/>
          <w:sz w:val="22"/>
          <w:szCs w:val="22"/>
        </w:rPr>
        <w:t>decision</w:t>
      </w:r>
      <w:r>
        <w:rPr>
          <w:rFonts w:ascii="Segoe UI" w:hAnsi="Segoe UI" w:cs="Segoe UI"/>
          <w:sz w:val="22"/>
          <w:szCs w:val="22"/>
        </w:rPr>
        <w:t>i</w:t>
      </w:r>
      <w:r w:rsidRPr="00885B25">
        <w:rPr>
          <w:rFonts w:ascii="Segoe UI" w:hAnsi="Segoe UI" w:cs="Segoe UI"/>
          <w:sz w:val="22"/>
          <w:szCs w:val="22"/>
        </w:rPr>
        <w:t xml:space="preserve"> degli </w:t>
      </w:r>
      <w:r w:rsidRPr="00885B25">
        <w:rPr>
          <w:rFonts w:ascii="Segoe UI" w:hAnsi="Segoe UI" w:cs="Segoe UI"/>
          <w:i/>
          <w:sz w:val="22"/>
          <w:szCs w:val="22"/>
        </w:rPr>
        <w:t>stakeholder</w:t>
      </w:r>
      <w:r w:rsidRPr="00885B25">
        <w:rPr>
          <w:rFonts w:ascii="Segoe UI" w:hAnsi="Segoe UI" w:cs="Segoe UI"/>
          <w:sz w:val="22"/>
          <w:szCs w:val="22"/>
        </w:rPr>
        <w:t xml:space="preserve">, la stessa fattispecie acquista, in termini di </w:t>
      </w:r>
      <w:r w:rsidRPr="00885B25">
        <w:rPr>
          <w:rFonts w:ascii="Segoe UI" w:hAnsi="Segoe UI" w:cs="Segoe UI"/>
          <w:i/>
          <w:sz w:val="22"/>
          <w:szCs w:val="22"/>
        </w:rPr>
        <w:t>disclosure</w:t>
      </w:r>
      <w:r w:rsidRPr="00885B25">
        <w:rPr>
          <w:rFonts w:ascii="Segoe UI" w:hAnsi="Segoe UI" w:cs="Segoe UI"/>
          <w:sz w:val="22"/>
          <w:szCs w:val="22"/>
        </w:rPr>
        <w:t xml:space="preserve"> non finanziaria, una valenza diversa e l’informazione sui decessi avvenuti non può non essere considerata “</w:t>
      </w:r>
      <w:r w:rsidRPr="00885B25">
        <w:rPr>
          <w:rFonts w:ascii="Segoe UI" w:hAnsi="Segoe UI" w:cs="Segoe UI"/>
          <w:i/>
          <w:sz w:val="22"/>
          <w:szCs w:val="22"/>
        </w:rPr>
        <w:t>material</w:t>
      </w:r>
      <w:r w:rsidRPr="00885B25">
        <w:rPr>
          <w:rFonts w:ascii="Segoe UI" w:hAnsi="Segoe UI" w:cs="Segoe UI"/>
          <w:sz w:val="22"/>
          <w:szCs w:val="22"/>
        </w:rPr>
        <w:t xml:space="preserve">” per la categoria di </w:t>
      </w:r>
      <w:r w:rsidRPr="00885B25">
        <w:rPr>
          <w:rFonts w:ascii="Segoe UI" w:hAnsi="Segoe UI" w:cs="Segoe UI"/>
          <w:i/>
          <w:sz w:val="22"/>
          <w:szCs w:val="22"/>
        </w:rPr>
        <w:t>stakeholder</w:t>
      </w:r>
      <w:r w:rsidRPr="00885B25">
        <w:rPr>
          <w:rFonts w:ascii="Segoe UI" w:hAnsi="Segoe UI" w:cs="Segoe UI"/>
          <w:sz w:val="22"/>
          <w:szCs w:val="22"/>
        </w:rPr>
        <w:t xml:space="preserve"> dei dipendenti, che certamente va </w:t>
      </w:r>
      <w:r w:rsidR="000E7E04">
        <w:rPr>
          <w:rFonts w:ascii="Segoe UI" w:hAnsi="Segoe UI" w:cs="Segoe UI"/>
          <w:sz w:val="22"/>
          <w:szCs w:val="22"/>
        </w:rPr>
        <w:t>inclusa nella</w:t>
      </w:r>
      <w:r w:rsidRPr="00885B25">
        <w:rPr>
          <w:rFonts w:ascii="Segoe UI" w:hAnsi="Segoe UI" w:cs="Segoe UI"/>
          <w:sz w:val="22"/>
          <w:szCs w:val="22"/>
        </w:rPr>
        <w:t xml:space="preserve"> categoria d</w:t>
      </w:r>
      <w:r w:rsidR="000E7E04">
        <w:rPr>
          <w:rFonts w:ascii="Segoe UI" w:hAnsi="Segoe UI" w:cs="Segoe UI"/>
          <w:sz w:val="22"/>
          <w:szCs w:val="22"/>
        </w:rPr>
        <w:t xml:space="preserve">egli </w:t>
      </w:r>
      <w:r w:rsidRPr="00885B25">
        <w:rPr>
          <w:rFonts w:ascii="Segoe UI" w:hAnsi="Segoe UI" w:cs="Segoe UI"/>
          <w:i/>
          <w:sz w:val="22"/>
          <w:szCs w:val="22"/>
        </w:rPr>
        <w:t>stakeholder</w:t>
      </w:r>
      <w:r w:rsidRPr="00885B25">
        <w:rPr>
          <w:rFonts w:ascii="Segoe UI" w:hAnsi="Segoe UI" w:cs="Segoe UI"/>
          <w:sz w:val="22"/>
          <w:szCs w:val="22"/>
        </w:rPr>
        <w:t xml:space="preserve"> primari</w:t>
      </w:r>
      <w:r w:rsidR="00BC35CA">
        <w:rPr>
          <w:rFonts w:ascii="Segoe UI" w:hAnsi="Segoe UI" w:cs="Segoe UI"/>
          <w:sz w:val="22"/>
          <w:szCs w:val="22"/>
        </w:rPr>
        <w:t xml:space="preserve"> dell’azienda</w:t>
      </w:r>
      <w:r w:rsidRPr="00885B25">
        <w:rPr>
          <w:rFonts w:ascii="Segoe UI" w:hAnsi="Segoe UI" w:cs="Segoe UI"/>
          <w:sz w:val="22"/>
          <w:szCs w:val="22"/>
        </w:rPr>
        <w:t>.</w:t>
      </w:r>
    </w:p>
    <w:p w14:paraId="5D8FB95A" w14:textId="50B892DA" w:rsidR="000E7CF1" w:rsidRPr="00885B25" w:rsidRDefault="000E7CF1" w:rsidP="000E7CF1">
      <w:pPr>
        <w:pStyle w:val="NormaleWeb"/>
        <w:tabs>
          <w:tab w:val="left" w:pos="567"/>
        </w:tabs>
        <w:spacing w:before="120" w:beforeAutospacing="0" w:after="120" w:afterAutospacing="0"/>
        <w:jc w:val="both"/>
        <w:rPr>
          <w:rFonts w:ascii="Segoe UI" w:hAnsi="Segoe UI" w:cs="Segoe UI"/>
          <w:sz w:val="22"/>
          <w:szCs w:val="22"/>
        </w:rPr>
      </w:pPr>
      <w:r w:rsidRPr="00885B25">
        <w:rPr>
          <w:rFonts w:ascii="Segoe UI" w:hAnsi="Segoe UI" w:cs="Segoe UI"/>
          <w:sz w:val="22"/>
          <w:szCs w:val="22"/>
        </w:rPr>
        <w:t xml:space="preserve">L’esempio sopra illustrato evidenzia come a causa della discrezionalità nell’adozione degli </w:t>
      </w:r>
      <w:r w:rsidRPr="003629E3">
        <w:rPr>
          <w:rFonts w:ascii="Segoe UI" w:hAnsi="Segoe UI" w:cs="Segoe UI"/>
          <w:i/>
          <w:sz w:val="22"/>
          <w:szCs w:val="22"/>
        </w:rPr>
        <w:t>standard</w:t>
      </w:r>
      <w:r w:rsidRPr="00885B25">
        <w:rPr>
          <w:rFonts w:ascii="Segoe UI" w:hAnsi="Segoe UI" w:cs="Segoe UI"/>
          <w:sz w:val="22"/>
          <w:szCs w:val="22"/>
        </w:rPr>
        <w:t xml:space="preserve"> di rendicontazione, le diverse procedure previste per la determinazione della materialità </w:t>
      </w:r>
      <w:r>
        <w:rPr>
          <w:rFonts w:ascii="Segoe UI" w:hAnsi="Segoe UI" w:cs="Segoe UI"/>
          <w:sz w:val="22"/>
          <w:szCs w:val="22"/>
        </w:rPr>
        <w:t xml:space="preserve">possano </w:t>
      </w:r>
      <w:r w:rsidRPr="00885B25">
        <w:rPr>
          <w:rFonts w:ascii="Segoe UI" w:hAnsi="Segoe UI" w:cs="Segoe UI"/>
          <w:sz w:val="22"/>
          <w:szCs w:val="22"/>
        </w:rPr>
        <w:t>gener</w:t>
      </w:r>
      <w:r>
        <w:rPr>
          <w:rFonts w:ascii="Segoe UI" w:hAnsi="Segoe UI" w:cs="Segoe UI"/>
          <w:sz w:val="22"/>
          <w:szCs w:val="22"/>
        </w:rPr>
        <w:t>are</w:t>
      </w:r>
      <w:r w:rsidRPr="00885B25">
        <w:rPr>
          <w:rFonts w:ascii="Segoe UI" w:hAnsi="Segoe UI" w:cs="Segoe UI"/>
          <w:sz w:val="22"/>
          <w:szCs w:val="22"/>
        </w:rPr>
        <w:t xml:space="preserve"> asimmetrie informative, mettendo fortemente in discussione la capacità di garantire la comparabilità della </w:t>
      </w:r>
      <w:r w:rsidRPr="00EC02B4">
        <w:rPr>
          <w:rFonts w:ascii="Segoe UI" w:hAnsi="Segoe UI" w:cs="Segoe UI"/>
          <w:i/>
          <w:sz w:val="22"/>
          <w:szCs w:val="22"/>
        </w:rPr>
        <w:t>disclosure</w:t>
      </w:r>
      <w:r w:rsidRPr="00885B25">
        <w:rPr>
          <w:rFonts w:ascii="Segoe UI" w:hAnsi="Segoe UI" w:cs="Segoe UI"/>
          <w:sz w:val="22"/>
          <w:szCs w:val="22"/>
        </w:rPr>
        <w:t xml:space="preserve"> non finanziaria di organizzazioni che operano in uno stesso settore economico </w:t>
      </w:r>
      <w:r w:rsidR="000E7E04">
        <w:rPr>
          <w:rFonts w:ascii="Segoe UI" w:hAnsi="Segoe UI" w:cs="Segoe UI"/>
          <w:sz w:val="22"/>
          <w:szCs w:val="22"/>
        </w:rPr>
        <w:t>e/o</w:t>
      </w:r>
      <w:r w:rsidRPr="00885B25">
        <w:rPr>
          <w:rFonts w:ascii="Segoe UI" w:hAnsi="Segoe UI" w:cs="Segoe UI"/>
          <w:sz w:val="22"/>
          <w:szCs w:val="22"/>
        </w:rPr>
        <w:t xml:space="preserve"> in uno stesso contesto di riferimento, con evidente discapito nel perseguimento degli obiettivi generali della normativa, la cui </w:t>
      </w:r>
      <w:r w:rsidRPr="00885B25">
        <w:rPr>
          <w:rFonts w:ascii="Segoe UI" w:hAnsi="Segoe UI" w:cs="Segoe UI"/>
          <w:i/>
          <w:sz w:val="22"/>
          <w:szCs w:val="22"/>
        </w:rPr>
        <w:t>ratio</w:t>
      </w:r>
      <w:r w:rsidRPr="00885B25">
        <w:rPr>
          <w:rFonts w:ascii="Segoe UI" w:hAnsi="Segoe UI" w:cs="Segoe UI"/>
          <w:sz w:val="22"/>
          <w:szCs w:val="22"/>
        </w:rPr>
        <w:t xml:space="preserve"> è sicuramente identificata nello sviluppo della sostenibilità produttiva e socio-ambientale d</w:t>
      </w:r>
      <w:r w:rsidR="00CB41F5">
        <w:rPr>
          <w:rFonts w:ascii="Segoe UI" w:hAnsi="Segoe UI" w:cs="Segoe UI"/>
          <w:sz w:val="22"/>
          <w:szCs w:val="22"/>
        </w:rPr>
        <w:t>el</w:t>
      </w:r>
      <w:r w:rsidRPr="00885B25">
        <w:rPr>
          <w:rFonts w:ascii="Segoe UI" w:hAnsi="Segoe UI" w:cs="Segoe UI"/>
          <w:sz w:val="22"/>
          <w:szCs w:val="22"/>
        </w:rPr>
        <w:t xml:space="preserve"> sistema generale, prima ancora che d</w:t>
      </w:r>
      <w:r w:rsidR="00CB41F5">
        <w:rPr>
          <w:rFonts w:ascii="Segoe UI" w:hAnsi="Segoe UI" w:cs="Segoe UI"/>
          <w:sz w:val="22"/>
          <w:szCs w:val="22"/>
        </w:rPr>
        <w:t>ella</w:t>
      </w:r>
      <w:r w:rsidRPr="00885B25">
        <w:rPr>
          <w:rFonts w:ascii="Segoe UI" w:hAnsi="Segoe UI" w:cs="Segoe UI"/>
          <w:sz w:val="22"/>
          <w:szCs w:val="22"/>
        </w:rPr>
        <w:t xml:space="preserve"> singola organizzazione.</w:t>
      </w:r>
    </w:p>
    <w:p w14:paraId="6DC6A3CF" w14:textId="5123F696" w:rsidR="000E7CF1" w:rsidRPr="00885B25" w:rsidRDefault="000E7CF1" w:rsidP="000E7CF1">
      <w:pPr>
        <w:pStyle w:val="NormaleWeb"/>
        <w:tabs>
          <w:tab w:val="left" w:pos="567"/>
        </w:tabs>
        <w:spacing w:before="120" w:beforeAutospacing="0" w:after="120" w:afterAutospacing="0"/>
        <w:jc w:val="both"/>
        <w:rPr>
          <w:rFonts w:ascii="Segoe UI" w:hAnsi="Segoe UI" w:cs="Segoe UI"/>
          <w:sz w:val="22"/>
          <w:szCs w:val="22"/>
        </w:rPr>
      </w:pPr>
      <w:r w:rsidRPr="00885B25">
        <w:rPr>
          <w:rFonts w:ascii="Segoe UI" w:hAnsi="Segoe UI" w:cs="Segoe UI"/>
          <w:sz w:val="22"/>
          <w:szCs w:val="22"/>
        </w:rPr>
        <w:t xml:space="preserve">Quanto fin ora esposto sembra rinvenire un limite non nella struttura degli </w:t>
      </w:r>
      <w:r w:rsidRPr="00D33E42">
        <w:rPr>
          <w:rFonts w:ascii="Segoe UI" w:hAnsi="Segoe UI" w:cs="Segoe UI"/>
          <w:i/>
          <w:sz w:val="22"/>
          <w:szCs w:val="22"/>
        </w:rPr>
        <w:t>standard</w:t>
      </w:r>
      <w:r w:rsidRPr="00885B25">
        <w:rPr>
          <w:rFonts w:ascii="Segoe UI" w:hAnsi="Segoe UI" w:cs="Segoe UI"/>
          <w:sz w:val="22"/>
          <w:szCs w:val="22"/>
        </w:rPr>
        <w:t xml:space="preserve"> presi a riferimento in ambito nazionale e internazionale ma nella circostanza che lascia alle organizzazioni, </w:t>
      </w:r>
      <w:r w:rsidR="00CB41F5">
        <w:rPr>
          <w:rFonts w:ascii="Segoe UI" w:hAnsi="Segoe UI" w:cs="Segoe UI"/>
          <w:sz w:val="22"/>
          <w:szCs w:val="22"/>
        </w:rPr>
        <w:t>del tutto a prescindere dal settore in cui svolgano la propria attività di valorizzazione economica,</w:t>
      </w:r>
      <w:r w:rsidRPr="00885B25">
        <w:rPr>
          <w:rFonts w:ascii="Segoe UI" w:hAnsi="Segoe UI" w:cs="Segoe UI"/>
          <w:sz w:val="22"/>
          <w:szCs w:val="22"/>
        </w:rPr>
        <w:t xml:space="preserve"> </w:t>
      </w:r>
      <w:r w:rsidR="00CB41F5">
        <w:rPr>
          <w:rFonts w:ascii="Segoe UI" w:hAnsi="Segoe UI" w:cs="Segoe UI"/>
          <w:sz w:val="22"/>
          <w:szCs w:val="22"/>
        </w:rPr>
        <w:t>completa libertà</w:t>
      </w:r>
      <w:r w:rsidRPr="00885B25">
        <w:rPr>
          <w:rFonts w:ascii="Segoe UI" w:hAnsi="Segoe UI" w:cs="Segoe UI"/>
          <w:sz w:val="22"/>
          <w:szCs w:val="22"/>
        </w:rPr>
        <w:t xml:space="preserve"> </w:t>
      </w:r>
      <w:r w:rsidR="00CB41F5">
        <w:rPr>
          <w:rFonts w:ascii="Segoe UI" w:hAnsi="Segoe UI" w:cs="Segoe UI"/>
          <w:sz w:val="22"/>
          <w:szCs w:val="22"/>
        </w:rPr>
        <w:t xml:space="preserve">nell’adozione di </w:t>
      </w:r>
      <w:r w:rsidRPr="00885B25">
        <w:rPr>
          <w:rFonts w:ascii="Segoe UI" w:hAnsi="Segoe UI" w:cs="Segoe UI"/>
          <w:sz w:val="22"/>
          <w:szCs w:val="22"/>
        </w:rPr>
        <w:t>un</w:t>
      </w:r>
      <w:r w:rsidR="00CB41F5">
        <w:rPr>
          <w:rFonts w:ascii="Segoe UI" w:hAnsi="Segoe UI" w:cs="Segoe UI"/>
          <w:sz w:val="22"/>
          <w:szCs w:val="22"/>
        </w:rPr>
        <w:t xml:space="preserve"> p</w:t>
      </w:r>
      <w:r w:rsidRPr="00885B25">
        <w:rPr>
          <w:rFonts w:ascii="Segoe UI" w:hAnsi="Segoe UI" w:cs="Segoe UI"/>
          <w:sz w:val="22"/>
          <w:szCs w:val="22"/>
        </w:rPr>
        <w:t xml:space="preserve">roprio </w:t>
      </w:r>
      <w:r w:rsidRPr="00EC02B4">
        <w:rPr>
          <w:rFonts w:ascii="Segoe UI" w:hAnsi="Segoe UI" w:cs="Segoe UI"/>
          <w:i/>
          <w:sz w:val="22"/>
          <w:szCs w:val="22"/>
        </w:rPr>
        <w:t>standard</w:t>
      </w:r>
      <w:r w:rsidRPr="00885B25">
        <w:rPr>
          <w:rFonts w:ascii="Segoe UI" w:hAnsi="Segoe UI" w:cs="Segoe UI"/>
          <w:sz w:val="22"/>
          <w:szCs w:val="22"/>
        </w:rPr>
        <w:t xml:space="preserve"> di riferimento.</w:t>
      </w:r>
    </w:p>
    <w:p w14:paraId="78872E89" w14:textId="4A080F11" w:rsidR="000E7CF1" w:rsidRPr="00885B25" w:rsidRDefault="000E7CF1" w:rsidP="000E7CF1">
      <w:pPr>
        <w:pStyle w:val="NormaleWeb"/>
        <w:tabs>
          <w:tab w:val="left" w:pos="567"/>
        </w:tabs>
        <w:spacing w:before="120" w:beforeAutospacing="0" w:after="120" w:afterAutospacing="0"/>
        <w:jc w:val="both"/>
        <w:rPr>
          <w:rFonts w:ascii="Segoe UI" w:hAnsi="Segoe UI" w:cs="Segoe UI"/>
          <w:sz w:val="22"/>
          <w:szCs w:val="22"/>
        </w:rPr>
      </w:pPr>
      <w:r w:rsidRPr="00885B25">
        <w:rPr>
          <w:rFonts w:ascii="Segoe UI" w:hAnsi="Segoe UI" w:cs="Segoe UI"/>
          <w:sz w:val="22"/>
          <w:szCs w:val="22"/>
        </w:rPr>
        <w:t xml:space="preserve">Se il fine ultimo dell’approccio </w:t>
      </w:r>
      <w:r>
        <w:rPr>
          <w:rFonts w:ascii="Segoe UI" w:hAnsi="Segoe UI" w:cs="Segoe UI"/>
          <w:sz w:val="22"/>
          <w:szCs w:val="22"/>
        </w:rPr>
        <w:t>proposto dall’</w:t>
      </w:r>
      <w:r w:rsidRPr="00885B25">
        <w:rPr>
          <w:rFonts w:ascii="Segoe UI" w:hAnsi="Segoe UI" w:cs="Segoe UI"/>
          <w:sz w:val="22"/>
          <w:szCs w:val="22"/>
        </w:rPr>
        <w:t xml:space="preserve">IIRC è quello di orientare le risorse finanziarie verso organizzazioni più virtuose sotto il profilo della sostenibilità, garantendo un livello di informativa non finanziaria completa e trasparente agli investitori (siano essi portatori di capitale di rischio </w:t>
      </w:r>
      <w:r w:rsidR="00DE0365">
        <w:rPr>
          <w:rFonts w:ascii="Segoe UI" w:hAnsi="Segoe UI" w:cs="Segoe UI"/>
          <w:sz w:val="22"/>
          <w:szCs w:val="22"/>
        </w:rPr>
        <w:t>o</w:t>
      </w:r>
      <w:r w:rsidRPr="00885B25">
        <w:rPr>
          <w:rFonts w:ascii="Segoe UI" w:hAnsi="Segoe UI" w:cs="Segoe UI"/>
          <w:sz w:val="22"/>
          <w:szCs w:val="22"/>
        </w:rPr>
        <w:t xml:space="preserve"> risparmiatori), il raggiungimento di questo obiettivo è fortemente messo in discussione nel momento in cui le organizzazioni, seppur appartenenti allo stesso settore, forniscono una </w:t>
      </w:r>
      <w:r w:rsidRPr="00DE0365">
        <w:rPr>
          <w:rFonts w:ascii="Segoe UI" w:hAnsi="Segoe UI" w:cs="Segoe UI"/>
          <w:i/>
          <w:sz w:val="22"/>
          <w:szCs w:val="22"/>
        </w:rPr>
        <w:t>disclosure</w:t>
      </w:r>
      <w:r w:rsidRPr="00885B25">
        <w:rPr>
          <w:rFonts w:ascii="Segoe UI" w:hAnsi="Segoe UI" w:cs="Segoe UI"/>
          <w:sz w:val="22"/>
          <w:szCs w:val="22"/>
        </w:rPr>
        <w:t xml:space="preserve"> variegata e redatta in base a fonda</w:t>
      </w:r>
      <w:r>
        <w:rPr>
          <w:rFonts w:ascii="Segoe UI" w:hAnsi="Segoe UI" w:cs="Segoe UI"/>
          <w:sz w:val="22"/>
          <w:szCs w:val="22"/>
        </w:rPr>
        <w:t xml:space="preserve">menti metodologici </w:t>
      </w:r>
      <w:r w:rsidR="00DE0365">
        <w:rPr>
          <w:rFonts w:ascii="Segoe UI" w:hAnsi="Segoe UI" w:cs="Segoe UI"/>
          <w:sz w:val="22"/>
          <w:szCs w:val="22"/>
        </w:rPr>
        <w:t xml:space="preserve">anche così </w:t>
      </w:r>
      <w:r>
        <w:rPr>
          <w:rFonts w:ascii="Segoe UI" w:hAnsi="Segoe UI" w:cs="Segoe UI"/>
          <w:sz w:val="22"/>
          <w:szCs w:val="22"/>
        </w:rPr>
        <w:t>diversi. Venendo</w:t>
      </w:r>
      <w:r w:rsidRPr="00885B25">
        <w:rPr>
          <w:rFonts w:ascii="Segoe UI" w:hAnsi="Segoe UI" w:cs="Segoe UI"/>
          <w:sz w:val="22"/>
          <w:szCs w:val="22"/>
        </w:rPr>
        <w:t xml:space="preserve"> meno la comparabilità delle informazioni non finanziarie fornite, viene meno la possibilità di individuare le organizzazioni più virtuose e, di conseguenza, di allocare le risorse finanziarie tra quelle definite più sostenibili dal punto di vista socio-ambientale.</w:t>
      </w:r>
    </w:p>
    <w:p w14:paraId="75114529" w14:textId="0205F1D6" w:rsidR="000E7CF1" w:rsidRDefault="000E7CF1" w:rsidP="000E7CF1">
      <w:pPr>
        <w:pStyle w:val="NormaleWeb"/>
        <w:tabs>
          <w:tab w:val="left" w:pos="567"/>
        </w:tabs>
        <w:spacing w:before="120" w:beforeAutospacing="0" w:after="120" w:afterAutospacing="0"/>
        <w:jc w:val="both"/>
        <w:rPr>
          <w:rFonts w:ascii="Segoe UI" w:hAnsi="Segoe UI" w:cs="Segoe UI"/>
          <w:sz w:val="22"/>
          <w:szCs w:val="22"/>
        </w:rPr>
      </w:pPr>
      <w:r w:rsidRPr="00885B25">
        <w:rPr>
          <w:rFonts w:ascii="Segoe UI" w:hAnsi="Segoe UI" w:cs="Segoe UI"/>
          <w:sz w:val="22"/>
          <w:szCs w:val="22"/>
        </w:rPr>
        <w:t>Dall’altro canto, qualora si volesse perseguire direttamente la sostenibilità di sistema secondo l’orientamento proposto dal GRI</w:t>
      </w:r>
      <w:r>
        <w:rPr>
          <w:rFonts w:ascii="Segoe UI" w:hAnsi="Segoe UI" w:cs="Segoe UI"/>
          <w:sz w:val="22"/>
          <w:szCs w:val="22"/>
        </w:rPr>
        <w:t xml:space="preserve"> (</w:t>
      </w:r>
      <w:r w:rsidR="00DE0365">
        <w:rPr>
          <w:rFonts w:ascii="Segoe UI" w:hAnsi="Segoe UI" w:cs="Segoe UI"/>
          <w:sz w:val="22"/>
          <w:szCs w:val="22"/>
        </w:rPr>
        <w:t xml:space="preserve">quindi, </w:t>
      </w:r>
      <w:r w:rsidRPr="00885B25">
        <w:rPr>
          <w:rFonts w:ascii="Segoe UI" w:hAnsi="Segoe UI" w:cs="Segoe UI"/>
          <w:sz w:val="22"/>
          <w:szCs w:val="22"/>
        </w:rPr>
        <w:t>mediante la riduzione degli impatti sociali e ambientali negativi</w:t>
      </w:r>
      <w:r>
        <w:rPr>
          <w:rFonts w:ascii="Segoe UI" w:hAnsi="Segoe UI" w:cs="Segoe UI"/>
          <w:sz w:val="22"/>
          <w:szCs w:val="22"/>
        </w:rPr>
        <w:t>)</w:t>
      </w:r>
      <w:r w:rsidRPr="00885B25">
        <w:rPr>
          <w:rFonts w:ascii="Segoe UI" w:hAnsi="Segoe UI" w:cs="Segoe UI"/>
          <w:sz w:val="22"/>
          <w:szCs w:val="22"/>
        </w:rPr>
        <w:t>, l</w:t>
      </w:r>
      <w:r>
        <w:rPr>
          <w:rFonts w:ascii="Segoe UI" w:hAnsi="Segoe UI" w:cs="Segoe UI"/>
          <w:sz w:val="22"/>
          <w:szCs w:val="22"/>
        </w:rPr>
        <w:t xml:space="preserve">’elevata </w:t>
      </w:r>
      <w:r w:rsidRPr="00885B25">
        <w:rPr>
          <w:rFonts w:ascii="Segoe UI" w:hAnsi="Segoe UI" w:cs="Segoe UI"/>
          <w:sz w:val="22"/>
          <w:szCs w:val="22"/>
        </w:rPr>
        <w:t xml:space="preserve">discrezionalità </w:t>
      </w:r>
      <w:r>
        <w:rPr>
          <w:rFonts w:ascii="Segoe UI" w:hAnsi="Segoe UI" w:cs="Segoe UI"/>
          <w:sz w:val="22"/>
          <w:szCs w:val="22"/>
        </w:rPr>
        <w:t xml:space="preserve">ammessa </w:t>
      </w:r>
      <w:r w:rsidRPr="00885B25">
        <w:rPr>
          <w:rFonts w:ascii="Segoe UI" w:hAnsi="Segoe UI" w:cs="Segoe UI"/>
          <w:sz w:val="22"/>
          <w:szCs w:val="22"/>
        </w:rPr>
        <w:t>nell</w:t>
      </w:r>
      <w:r>
        <w:rPr>
          <w:rFonts w:ascii="Segoe UI" w:hAnsi="Segoe UI" w:cs="Segoe UI"/>
          <w:sz w:val="22"/>
          <w:szCs w:val="22"/>
        </w:rPr>
        <w:t xml:space="preserve">a scelta </w:t>
      </w:r>
      <w:r w:rsidR="00DE0365">
        <w:rPr>
          <w:rFonts w:ascii="Segoe UI" w:hAnsi="Segoe UI" w:cs="Segoe UI"/>
          <w:sz w:val="22"/>
          <w:szCs w:val="22"/>
        </w:rPr>
        <w:t xml:space="preserve">degli </w:t>
      </w:r>
      <w:r w:rsidRPr="00D33E42">
        <w:rPr>
          <w:rFonts w:ascii="Segoe UI" w:hAnsi="Segoe UI" w:cs="Segoe UI"/>
          <w:i/>
          <w:sz w:val="22"/>
          <w:szCs w:val="22"/>
        </w:rPr>
        <w:t>standard</w:t>
      </w:r>
      <w:r>
        <w:rPr>
          <w:rFonts w:ascii="Segoe UI" w:hAnsi="Segoe UI" w:cs="Segoe UI"/>
          <w:sz w:val="22"/>
          <w:szCs w:val="22"/>
        </w:rPr>
        <w:t xml:space="preserve"> di rendicontazione </w:t>
      </w:r>
      <w:r w:rsidR="00C530D5">
        <w:rPr>
          <w:rFonts w:ascii="Segoe UI" w:hAnsi="Segoe UI" w:cs="Segoe UI"/>
          <w:sz w:val="22"/>
          <w:szCs w:val="22"/>
        </w:rPr>
        <w:t xml:space="preserve">“internazionali , nazionali, unionali” </w:t>
      </w:r>
      <w:r>
        <w:rPr>
          <w:rFonts w:ascii="Segoe UI" w:hAnsi="Segoe UI" w:cs="Segoe UI"/>
          <w:sz w:val="22"/>
          <w:szCs w:val="22"/>
        </w:rPr>
        <w:t>(che poi</w:t>
      </w:r>
      <w:r w:rsidR="00C530D5">
        <w:rPr>
          <w:rFonts w:ascii="Segoe UI" w:hAnsi="Segoe UI" w:cs="Segoe UI"/>
          <w:sz w:val="22"/>
          <w:szCs w:val="22"/>
        </w:rPr>
        <w:t>,</w:t>
      </w:r>
      <w:r>
        <w:rPr>
          <w:rFonts w:ascii="Segoe UI" w:hAnsi="Segoe UI" w:cs="Segoe UI"/>
          <w:sz w:val="22"/>
          <w:szCs w:val="22"/>
        </w:rPr>
        <w:t xml:space="preserve"> sovente</w:t>
      </w:r>
      <w:r w:rsidR="00C530D5">
        <w:rPr>
          <w:rFonts w:ascii="Segoe UI" w:hAnsi="Segoe UI" w:cs="Segoe UI"/>
          <w:sz w:val="22"/>
          <w:szCs w:val="22"/>
        </w:rPr>
        <w:t>,</w:t>
      </w:r>
      <w:r>
        <w:rPr>
          <w:rFonts w:ascii="Segoe UI" w:hAnsi="Segoe UI" w:cs="Segoe UI"/>
          <w:sz w:val="22"/>
          <w:szCs w:val="22"/>
        </w:rPr>
        <w:t xml:space="preserve"> </w:t>
      </w:r>
      <w:r w:rsidRPr="00D33E42">
        <w:rPr>
          <w:rFonts w:ascii="Segoe UI" w:hAnsi="Segoe UI" w:cs="Segoe UI"/>
          <w:i/>
          <w:sz w:val="22"/>
          <w:szCs w:val="22"/>
        </w:rPr>
        <w:t>standard</w:t>
      </w:r>
      <w:r>
        <w:rPr>
          <w:rFonts w:ascii="Segoe UI" w:hAnsi="Segoe UI" w:cs="Segoe UI"/>
          <w:sz w:val="22"/>
          <w:szCs w:val="22"/>
        </w:rPr>
        <w:t xml:space="preserve"> di rendicontazione non sono</w:t>
      </w:r>
      <w:r w:rsidR="00DE0365">
        <w:rPr>
          <w:rFonts w:ascii="Segoe UI" w:hAnsi="Segoe UI" w:cs="Segoe UI"/>
          <w:sz w:val="22"/>
          <w:szCs w:val="22"/>
        </w:rPr>
        <w:t>, bensì protocolli, dichiarazion</w:t>
      </w:r>
      <w:r w:rsidR="00C530D5">
        <w:rPr>
          <w:rFonts w:ascii="Segoe UI" w:hAnsi="Segoe UI" w:cs="Segoe UI"/>
          <w:sz w:val="22"/>
          <w:szCs w:val="22"/>
        </w:rPr>
        <w:t>i</w:t>
      </w:r>
      <w:r w:rsidR="00DE0365">
        <w:rPr>
          <w:rFonts w:ascii="Segoe UI" w:hAnsi="Segoe UI" w:cs="Segoe UI"/>
          <w:sz w:val="22"/>
          <w:szCs w:val="22"/>
        </w:rPr>
        <w:t xml:space="preserve"> d’intenti</w:t>
      </w:r>
      <w:r w:rsidR="00C530D5">
        <w:rPr>
          <w:rFonts w:ascii="Segoe UI" w:hAnsi="Segoe UI" w:cs="Segoe UI"/>
          <w:sz w:val="22"/>
          <w:szCs w:val="22"/>
        </w:rPr>
        <w:t xml:space="preserve">, convenzioni su </w:t>
      </w:r>
      <w:r w:rsidR="00C530D5" w:rsidRPr="00B146A4">
        <w:rPr>
          <w:rFonts w:ascii="Segoe UI" w:hAnsi="Segoe UI" w:cs="Segoe UI"/>
          <w:i/>
          <w:sz w:val="22"/>
          <w:szCs w:val="22"/>
        </w:rPr>
        <w:t>policy</w:t>
      </w:r>
      <w:r w:rsidR="00C530D5">
        <w:rPr>
          <w:rFonts w:ascii="Segoe UI" w:hAnsi="Segoe UI" w:cs="Segoe UI"/>
          <w:sz w:val="22"/>
          <w:szCs w:val="22"/>
        </w:rPr>
        <w:t xml:space="preserve"> aziendali, ecc.)</w:t>
      </w:r>
      <w:r>
        <w:rPr>
          <w:rFonts w:ascii="Segoe UI" w:hAnsi="Segoe UI" w:cs="Segoe UI"/>
          <w:sz w:val="22"/>
          <w:szCs w:val="22"/>
        </w:rPr>
        <w:t xml:space="preserve"> da adottare</w:t>
      </w:r>
      <w:r w:rsidRPr="00885B25">
        <w:rPr>
          <w:rFonts w:ascii="Segoe UI" w:hAnsi="Segoe UI" w:cs="Segoe UI"/>
          <w:sz w:val="22"/>
          <w:szCs w:val="22"/>
        </w:rPr>
        <w:t xml:space="preserve">, suggerita anche dal </w:t>
      </w:r>
      <w:r w:rsidRPr="0081361F">
        <w:rPr>
          <w:rFonts w:ascii="Segoe UI" w:hAnsi="Segoe UI" w:cs="Segoe UI"/>
          <w:i/>
          <w:sz w:val="22"/>
          <w:szCs w:val="22"/>
        </w:rPr>
        <w:t>corpus</w:t>
      </w:r>
      <w:r w:rsidRPr="00885B25">
        <w:rPr>
          <w:rFonts w:ascii="Segoe UI" w:hAnsi="Segoe UI" w:cs="Segoe UI"/>
          <w:sz w:val="22"/>
          <w:szCs w:val="22"/>
        </w:rPr>
        <w:t xml:space="preserve"> normativo (direttiva 2014/95/UE e</w:t>
      </w:r>
      <w:r>
        <w:rPr>
          <w:rFonts w:ascii="Segoe UI" w:hAnsi="Segoe UI" w:cs="Segoe UI"/>
          <w:sz w:val="22"/>
          <w:szCs w:val="22"/>
        </w:rPr>
        <w:t xml:space="preserve"> “</w:t>
      </w:r>
      <w:r w:rsidRPr="00D33E42">
        <w:rPr>
          <w:rFonts w:ascii="Segoe UI" w:hAnsi="Segoe UI" w:cs="Segoe UI"/>
          <w:i/>
          <w:sz w:val="22"/>
          <w:szCs w:val="22"/>
        </w:rPr>
        <w:t xml:space="preserve">Orientamenti sulla </w:t>
      </w:r>
      <w:r w:rsidRPr="00D33E42">
        <w:rPr>
          <w:rFonts w:ascii="Segoe UI" w:hAnsi="Segoe UI" w:cs="Segoe UI"/>
          <w:bCs/>
          <w:i/>
          <w:sz w:val="22"/>
          <w:szCs w:val="22"/>
        </w:rPr>
        <w:t>comunicazione di informazioni di carattere non finanziario. Metodologia per la comunicazione di informazioni di carattere non finanziario</w:t>
      </w:r>
      <w:r>
        <w:rPr>
          <w:rFonts w:ascii="Segoe UI" w:hAnsi="Segoe UI" w:cs="Segoe UI"/>
          <w:bCs/>
          <w:sz w:val="22"/>
          <w:szCs w:val="22"/>
        </w:rPr>
        <w:t>”</w:t>
      </w:r>
      <w:r w:rsidRPr="00FC006C">
        <w:rPr>
          <w:rFonts w:ascii="Segoe UI" w:hAnsi="Segoe UI" w:cs="Segoe UI"/>
          <w:sz w:val="22"/>
          <w:szCs w:val="22"/>
        </w:rPr>
        <w:t xml:space="preserve"> della Commissione europea</w:t>
      </w:r>
      <w:r w:rsidRPr="00885B25">
        <w:rPr>
          <w:rFonts w:ascii="Segoe UI" w:hAnsi="Segoe UI" w:cs="Segoe UI"/>
          <w:sz w:val="22"/>
          <w:szCs w:val="22"/>
        </w:rPr>
        <w:t xml:space="preserve">) rende </w:t>
      </w:r>
      <w:r>
        <w:rPr>
          <w:rFonts w:ascii="Segoe UI" w:hAnsi="Segoe UI" w:cs="Segoe UI"/>
          <w:sz w:val="22"/>
          <w:szCs w:val="22"/>
        </w:rPr>
        <w:t xml:space="preserve">altamente probabile la circostanza che gli </w:t>
      </w:r>
      <w:r w:rsidRPr="000A1EBA">
        <w:rPr>
          <w:rFonts w:ascii="Segoe UI" w:hAnsi="Segoe UI" w:cs="Segoe UI"/>
          <w:i/>
          <w:sz w:val="22"/>
          <w:szCs w:val="22"/>
        </w:rPr>
        <w:t>stakeholder</w:t>
      </w:r>
      <w:r>
        <w:rPr>
          <w:rFonts w:ascii="Segoe UI" w:hAnsi="Segoe UI" w:cs="Segoe UI"/>
          <w:sz w:val="22"/>
          <w:szCs w:val="22"/>
        </w:rPr>
        <w:t xml:space="preserve"> riscontrino di fatto informazioni difficili (quando non </w:t>
      </w:r>
      <w:r w:rsidRPr="00885B25">
        <w:rPr>
          <w:rFonts w:ascii="Segoe UI" w:hAnsi="Segoe UI" w:cs="Segoe UI"/>
          <w:sz w:val="22"/>
          <w:szCs w:val="22"/>
        </w:rPr>
        <w:t>impossibi</w:t>
      </w:r>
      <w:r>
        <w:rPr>
          <w:rFonts w:ascii="Segoe UI" w:hAnsi="Segoe UI" w:cs="Segoe UI"/>
          <w:sz w:val="22"/>
          <w:szCs w:val="22"/>
        </w:rPr>
        <w:t>li)</w:t>
      </w:r>
      <w:r w:rsidRPr="00885B25">
        <w:rPr>
          <w:rFonts w:ascii="Segoe UI" w:hAnsi="Segoe UI" w:cs="Segoe UI"/>
          <w:sz w:val="22"/>
          <w:szCs w:val="22"/>
        </w:rPr>
        <w:t xml:space="preserve"> </w:t>
      </w:r>
      <w:r>
        <w:rPr>
          <w:rFonts w:ascii="Segoe UI" w:hAnsi="Segoe UI" w:cs="Segoe UI"/>
          <w:sz w:val="22"/>
          <w:szCs w:val="22"/>
        </w:rPr>
        <w:t>d</w:t>
      </w:r>
      <w:r w:rsidRPr="00885B25">
        <w:rPr>
          <w:rFonts w:ascii="Segoe UI" w:hAnsi="Segoe UI" w:cs="Segoe UI"/>
          <w:sz w:val="22"/>
          <w:szCs w:val="22"/>
        </w:rPr>
        <w:t>a compara</w:t>
      </w:r>
      <w:r>
        <w:rPr>
          <w:rFonts w:ascii="Segoe UI" w:hAnsi="Segoe UI" w:cs="Segoe UI"/>
          <w:sz w:val="22"/>
          <w:szCs w:val="22"/>
        </w:rPr>
        <w:t xml:space="preserve">re con riguardo alla profondità e all’estensione, tanto rispetto ai </w:t>
      </w:r>
      <w:r w:rsidRPr="00885B25">
        <w:rPr>
          <w:rFonts w:ascii="Segoe UI" w:hAnsi="Segoe UI" w:cs="Segoe UI"/>
          <w:sz w:val="22"/>
          <w:szCs w:val="22"/>
        </w:rPr>
        <w:t xml:space="preserve">risultati raggiunti quanto </w:t>
      </w:r>
      <w:r>
        <w:rPr>
          <w:rFonts w:ascii="Segoe UI" w:hAnsi="Segoe UI" w:cs="Segoe UI"/>
          <w:sz w:val="22"/>
          <w:szCs w:val="22"/>
        </w:rPr>
        <w:t>a</w:t>
      </w:r>
      <w:r w:rsidRPr="00885B25">
        <w:rPr>
          <w:rFonts w:ascii="Segoe UI" w:hAnsi="Segoe UI" w:cs="Segoe UI"/>
          <w:sz w:val="22"/>
          <w:szCs w:val="22"/>
        </w:rPr>
        <w:t xml:space="preserve">i comportamenti sottostanti </w:t>
      </w:r>
      <w:r>
        <w:rPr>
          <w:rFonts w:ascii="Segoe UI" w:hAnsi="Segoe UI" w:cs="Segoe UI"/>
          <w:sz w:val="22"/>
          <w:szCs w:val="22"/>
        </w:rPr>
        <w:t>quei</w:t>
      </w:r>
      <w:r w:rsidRPr="00885B25">
        <w:rPr>
          <w:rFonts w:ascii="Segoe UI" w:hAnsi="Segoe UI" w:cs="Segoe UI"/>
          <w:sz w:val="22"/>
          <w:szCs w:val="22"/>
        </w:rPr>
        <w:t xml:space="preserve"> risultati. </w:t>
      </w:r>
      <w:r>
        <w:rPr>
          <w:rFonts w:ascii="Segoe UI" w:hAnsi="Segoe UI" w:cs="Segoe UI"/>
          <w:sz w:val="22"/>
          <w:szCs w:val="22"/>
        </w:rPr>
        <w:t>È intuitivo e ragionevole, infatti, che, nell’ambito dell’elaborazione di principi e metodologie di rendicontazione, a</w:t>
      </w:r>
      <w:r w:rsidR="00B146A4">
        <w:rPr>
          <w:rFonts w:ascii="Segoe UI" w:hAnsi="Segoe UI" w:cs="Segoe UI"/>
          <w:sz w:val="22"/>
          <w:szCs w:val="22"/>
        </w:rPr>
        <w:t xml:space="preserve"> redattori (</w:t>
      </w:r>
      <w:r>
        <w:rPr>
          <w:rFonts w:ascii="Segoe UI" w:hAnsi="Segoe UI" w:cs="Segoe UI"/>
          <w:sz w:val="22"/>
          <w:szCs w:val="22"/>
        </w:rPr>
        <w:t xml:space="preserve">organizzazioni </w:t>
      </w:r>
      <w:r w:rsidR="00B146A4">
        <w:rPr>
          <w:rFonts w:ascii="Segoe UI" w:hAnsi="Segoe UI" w:cs="Segoe UI"/>
          <w:sz w:val="22"/>
          <w:szCs w:val="22"/>
        </w:rPr>
        <w:t xml:space="preserve">internazionali </w:t>
      </w:r>
      <w:r>
        <w:rPr>
          <w:rFonts w:ascii="Segoe UI" w:hAnsi="Segoe UI" w:cs="Segoe UI"/>
          <w:sz w:val="22"/>
          <w:szCs w:val="22"/>
        </w:rPr>
        <w:t xml:space="preserve">e operatori </w:t>
      </w:r>
      <w:r w:rsidR="00B146A4">
        <w:rPr>
          <w:rFonts w:ascii="Segoe UI" w:hAnsi="Segoe UI" w:cs="Segoe UI"/>
          <w:sz w:val="22"/>
          <w:szCs w:val="22"/>
        </w:rPr>
        <w:t xml:space="preserve">di settore) </w:t>
      </w:r>
      <w:r>
        <w:rPr>
          <w:rFonts w:ascii="Segoe UI" w:hAnsi="Segoe UI" w:cs="Segoe UI"/>
          <w:sz w:val="22"/>
          <w:szCs w:val="22"/>
        </w:rPr>
        <w:t>diversi corrispondano anche approcci e contenuti differenti, di efficacia variabile in funzione della natura d</w:t>
      </w:r>
      <w:r w:rsidRPr="00885B25">
        <w:rPr>
          <w:rFonts w:ascii="Segoe UI" w:hAnsi="Segoe UI" w:cs="Segoe UI"/>
          <w:sz w:val="22"/>
          <w:szCs w:val="22"/>
        </w:rPr>
        <w:t>elle organizzazioni</w:t>
      </w:r>
      <w:r>
        <w:rPr>
          <w:rFonts w:ascii="Segoe UI" w:hAnsi="Segoe UI" w:cs="Segoe UI"/>
          <w:sz w:val="22"/>
          <w:szCs w:val="22"/>
        </w:rPr>
        <w:t xml:space="preserve">, dei loro obiettivi istituzionali, </w:t>
      </w:r>
      <w:r w:rsidRPr="00885B25">
        <w:rPr>
          <w:rFonts w:ascii="Segoe UI" w:hAnsi="Segoe UI" w:cs="Segoe UI"/>
          <w:sz w:val="22"/>
          <w:szCs w:val="22"/>
        </w:rPr>
        <w:t xml:space="preserve">delle </w:t>
      </w:r>
      <w:r>
        <w:rPr>
          <w:rFonts w:ascii="Segoe UI" w:hAnsi="Segoe UI" w:cs="Segoe UI"/>
          <w:sz w:val="22"/>
          <w:szCs w:val="22"/>
        </w:rPr>
        <w:t xml:space="preserve">loro </w:t>
      </w:r>
      <w:r w:rsidRPr="00885B25">
        <w:rPr>
          <w:rFonts w:ascii="Segoe UI" w:hAnsi="Segoe UI" w:cs="Segoe UI"/>
          <w:sz w:val="22"/>
          <w:szCs w:val="22"/>
        </w:rPr>
        <w:t xml:space="preserve">competenze tecniche, </w:t>
      </w:r>
      <w:r>
        <w:rPr>
          <w:rFonts w:ascii="Segoe UI" w:hAnsi="Segoe UI" w:cs="Segoe UI"/>
          <w:sz w:val="22"/>
          <w:szCs w:val="22"/>
        </w:rPr>
        <w:t xml:space="preserve">degli obiettivi specifici </w:t>
      </w:r>
      <w:r w:rsidRPr="00885B25">
        <w:rPr>
          <w:rFonts w:ascii="Segoe UI" w:hAnsi="Segoe UI" w:cs="Segoe UI"/>
          <w:sz w:val="22"/>
          <w:szCs w:val="22"/>
        </w:rPr>
        <w:t xml:space="preserve">dei documenti </w:t>
      </w:r>
      <w:r>
        <w:rPr>
          <w:rFonts w:ascii="Segoe UI" w:hAnsi="Segoe UI" w:cs="Segoe UI"/>
          <w:sz w:val="22"/>
          <w:szCs w:val="22"/>
        </w:rPr>
        <w:t xml:space="preserve">predisposti, dei principali </w:t>
      </w:r>
      <w:r w:rsidRPr="005A6E60">
        <w:rPr>
          <w:rFonts w:ascii="Segoe UI" w:hAnsi="Segoe UI" w:cs="Segoe UI"/>
          <w:i/>
          <w:sz w:val="22"/>
          <w:szCs w:val="22"/>
        </w:rPr>
        <w:t>stakeholder</w:t>
      </w:r>
      <w:r>
        <w:rPr>
          <w:rFonts w:ascii="Segoe UI" w:hAnsi="Segoe UI" w:cs="Segoe UI"/>
          <w:sz w:val="22"/>
          <w:szCs w:val="22"/>
        </w:rPr>
        <w:t xml:space="preserve"> cui sono rivolti</w:t>
      </w:r>
      <w:r w:rsidRPr="00885B25">
        <w:rPr>
          <w:rFonts w:ascii="Segoe UI" w:hAnsi="Segoe UI" w:cs="Segoe UI"/>
          <w:sz w:val="22"/>
          <w:szCs w:val="22"/>
        </w:rPr>
        <w:t>.</w:t>
      </w:r>
    </w:p>
    <w:p w14:paraId="4B519B5B" w14:textId="77777777" w:rsidR="001F6527" w:rsidRDefault="001F6527" w:rsidP="000E7CF1">
      <w:pPr>
        <w:pStyle w:val="NormaleWeb"/>
        <w:tabs>
          <w:tab w:val="left" w:pos="567"/>
        </w:tabs>
        <w:spacing w:before="120" w:beforeAutospacing="0" w:after="120" w:afterAutospacing="0"/>
        <w:jc w:val="both"/>
        <w:rPr>
          <w:rFonts w:ascii="Segoe UI" w:hAnsi="Segoe UI" w:cs="Segoe UI"/>
          <w:sz w:val="22"/>
          <w:szCs w:val="22"/>
        </w:rPr>
      </w:pPr>
    </w:p>
    <w:p w14:paraId="2CE0E8D9" w14:textId="77777777" w:rsidR="001F6527" w:rsidRDefault="001F6527" w:rsidP="00B25723">
      <w:pPr>
        <w:pStyle w:val="NormaleWeb"/>
        <w:tabs>
          <w:tab w:val="left" w:pos="567"/>
        </w:tabs>
        <w:spacing w:before="120" w:beforeAutospacing="0" w:after="120" w:afterAutospacing="0"/>
        <w:jc w:val="both"/>
        <w:rPr>
          <w:rFonts w:ascii="Segoe UI" w:hAnsi="Segoe UI" w:cs="Segoe UI"/>
          <w:sz w:val="22"/>
          <w:szCs w:val="22"/>
        </w:rPr>
        <w:sectPr w:rsidR="001F6527" w:rsidSect="00793FE3">
          <w:pgSz w:w="11906" w:h="16838" w:code="9"/>
          <w:pgMar w:top="1985" w:right="1134" w:bottom="1134" w:left="1134" w:header="709" w:footer="709" w:gutter="0"/>
          <w:cols w:space="708"/>
          <w:docGrid w:linePitch="360"/>
        </w:sectPr>
      </w:pPr>
    </w:p>
    <w:p w14:paraId="2D2A5C44" w14:textId="58643A4E" w:rsidR="002B0DD2" w:rsidRPr="001F6527" w:rsidRDefault="00793D9D" w:rsidP="001F6527">
      <w:pPr>
        <w:keepNext/>
        <w:keepLines/>
        <w:tabs>
          <w:tab w:val="left" w:pos="567"/>
        </w:tabs>
        <w:spacing w:before="1080" w:after="1080" w:line="240" w:lineRule="auto"/>
        <w:ind w:left="567" w:hanging="567"/>
        <w:outlineLvl w:val="0"/>
        <w:rPr>
          <w:rFonts w:ascii="Segoe UI" w:eastAsiaTheme="minorHAnsi" w:hAnsi="Segoe UI" w:cs="Segoe UI"/>
          <w:sz w:val="32"/>
          <w:szCs w:val="32"/>
        </w:rPr>
      </w:pPr>
      <w:bookmarkStart w:id="37" w:name="_Toc507973966"/>
      <w:r w:rsidRPr="001F6527">
        <w:rPr>
          <w:rFonts w:ascii="Segoe UI" w:eastAsiaTheme="minorHAnsi" w:hAnsi="Segoe UI" w:cs="Segoe UI"/>
          <w:sz w:val="32"/>
          <w:szCs w:val="32"/>
        </w:rPr>
        <w:t>Conclusioni</w:t>
      </w:r>
      <w:bookmarkEnd w:id="37"/>
    </w:p>
    <w:p w14:paraId="06922558" w14:textId="69F07AF8" w:rsidR="00322461" w:rsidRDefault="00F81B83" w:rsidP="00F81B83">
      <w:pPr>
        <w:tabs>
          <w:tab w:val="left" w:pos="709"/>
        </w:tabs>
        <w:spacing w:before="120" w:after="120" w:line="240" w:lineRule="auto"/>
        <w:jc w:val="both"/>
        <w:rPr>
          <w:rFonts w:ascii="Segoe UI" w:hAnsi="Segoe UI" w:cs="Segoe UI"/>
          <w:bCs/>
        </w:rPr>
      </w:pPr>
      <w:r w:rsidRPr="001F6527">
        <w:rPr>
          <w:rFonts w:ascii="Segoe UI" w:hAnsi="Segoe UI" w:cs="Segoe UI"/>
        </w:rPr>
        <w:t xml:space="preserve">Obiettivo </w:t>
      </w:r>
      <w:r w:rsidR="00322461">
        <w:rPr>
          <w:rFonts w:ascii="Segoe UI" w:hAnsi="Segoe UI" w:cs="Segoe UI"/>
        </w:rPr>
        <w:t xml:space="preserve">di questo lavoro </w:t>
      </w:r>
      <w:r w:rsidRPr="001F6527">
        <w:rPr>
          <w:rFonts w:ascii="Segoe UI" w:hAnsi="Segoe UI" w:cs="Segoe UI"/>
        </w:rPr>
        <w:t xml:space="preserve">è </w:t>
      </w:r>
      <w:r w:rsidR="00322461">
        <w:rPr>
          <w:rFonts w:ascii="Segoe UI" w:hAnsi="Segoe UI" w:cs="Segoe UI"/>
        </w:rPr>
        <w:t xml:space="preserve">fornire </w:t>
      </w:r>
      <w:r w:rsidR="00322461" w:rsidRPr="00322461">
        <w:rPr>
          <w:rFonts w:ascii="Segoe UI" w:hAnsi="Segoe UI" w:cs="Segoe UI"/>
          <w:bCs/>
        </w:rPr>
        <w:t>un contributo all’approfondimento del concetto della rilevanza e alla definizione dei suoi confini</w:t>
      </w:r>
      <w:r w:rsidR="00322461">
        <w:rPr>
          <w:rFonts w:ascii="Segoe UI" w:hAnsi="Segoe UI" w:cs="Segoe UI"/>
          <w:bCs/>
        </w:rPr>
        <w:t xml:space="preserve"> </w:t>
      </w:r>
      <w:r>
        <w:rPr>
          <w:rFonts w:ascii="Segoe UI" w:hAnsi="Segoe UI" w:cs="Segoe UI"/>
          <w:bCs/>
        </w:rPr>
        <w:t xml:space="preserve">per verificare quali siano (laddove vi siano) </w:t>
      </w:r>
      <w:r w:rsidR="002C1957">
        <w:rPr>
          <w:rFonts w:ascii="Segoe UI" w:hAnsi="Segoe UI" w:cs="Segoe UI"/>
          <w:bCs/>
        </w:rPr>
        <w:t xml:space="preserve">gli </w:t>
      </w:r>
      <w:r>
        <w:rPr>
          <w:rFonts w:ascii="Segoe UI" w:hAnsi="Segoe UI" w:cs="Segoe UI"/>
          <w:bCs/>
        </w:rPr>
        <w:t>elementi distintivi rispetto al principio d</w:t>
      </w:r>
      <w:r w:rsidR="00322461">
        <w:rPr>
          <w:rFonts w:ascii="Segoe UI" w:hAnsi="Segoe UI" w:cs="Segoe UI"/>
          <w:bCs/>
        </w:rPr>
        <w:t xml:space="preserve">ella </w:t>
      </w:r>
      <w:r>
        <w:rPr>
          <w:rFonts w:ascii="Segoe UI" w:hAnsi="Segoe UI" w:cs="Segoe UI"/>
          <w:bCs/>
        </w:rPr>
        <w:t>materialità</w:t>
      </w:r>
      <w:r w:rsidR="00322461">
        <w:rPr>
          <w:rFonts w:ascii="Segoe UI" w:hAnsi="Segoe UI" w:cs="Segoe UI"/>
          <w:bCs/>
        </w:rPr>
        <w:t>,</w:t>
      </w:r>
      <w:r>
        <w:rPr>
          <w:rFonts w:ascii="Segoe UI" w:hAnsi="Segoe UI" w:cs="Segoe UI"/>
          <w:bCs/>
        </w:rPr>
        <w:t xml:space="preserve"> </w:t>
      </w:r>
      <w:r w:rsidR="00322461">
        <w:rPr>
          <w:rFonts w:ascii="Segoe UI" w:hAnsi="Segoe UI" w:cs="Segoe UI"/>
          <w:bCs/>
        </w:rPr>
        <w:t xml:space="preserve">muovendo </w:t>
      </w:r>
      <w:r>
        <w:rPr>
          <w:rFonts w:ascii="Segoe UI" w:hAnsi="Segoe UI" w:cs="Segoe UI"/>
          <w:bCs/>
        </w:rPr>
        <w:t xml:space="preserve">dal riscontro, a livello sia normativo sia tecnico-interpretativo, di attribuzioni terminologiche ambigue o imprecise e </w:t>
      </w:r>
      <w:r w:rsidR="003656B9">
        <w:rPr>
          <w:rFonts w:ascii="Segoe UI" w:hAnsi="Segoe UI" w:cs="Segoe UI"/>
          <w:bCs/>
        </w:rPr>
        <w:t xml:space="preserve">prassi </w:t>
      </w:r>
      <w:r>
        <w:rPr>
          <w:rFonts w:ascii="Segoe UI" w:hAnsi="Segoe UI" w:cs="Segoe UI"/>
          <w:bCs/>
        </w:rPr>
        <w:t xml:space="preserve">applicative </w:t>
      </w:r>
      <w:r w:rsidR="002C1957">
        <w:rPr>
          <w:rFonts w:ascii="Segoe UI" w:hAnsi="Segoe UI" w:cs="Segoe UI"/>
          <w:bCs/>
        </w:rPr>
        <w:t xml:space="preserve">variegate, </w:t>
      </w:r>
      <w:r>
        <w:rPr>
          <w:rFonts w:ascii="Segoe UI" w:hAnsi="Segoe UI" w:cs="Segoe UI"/>
          <w:bCs/>
        </w:rPr>
        <w:t>succedanee</w:t>
      </w:r>
      <w:r w:rsidR="00EF57C2">
        <w:rPr>
          <w:rFonts w:ascii="Segoe UI" w:hAnsi="Segoe UI" w:cs="Segoe UI"/>
          <w:bCs/>
        </w:rPr>
        <w:t xml:space="preserve"> o</w:t>
      </w:r>
      <w:r w:rsidR="002C1957">
        <w:rPr>
          <w:rFonts w:ascii="Segoe UI" w:hAnsi="Segoe UI" w:cs="Segoe UI"/>
          <w:bCs/>
        </w:rPr>
        <w:t xml:space="preserve"> divergenti</w:t>
      </w:r>
      <w:r w:rsidR="00322461" w:rsidRPr="00322461">
        <w:rPr>
          <w:rFonts w:ascii="Segoe UI" w:hAnsi="Segoe UI" w:cs="Segoe UI"/>
          <w:bCs/>
        </w:rPr>
        <w:t>.</w:t>
      </w:r>
    </w:p>
    <w:p w14:paraId="2656BFEF" w14:textId="6F73B4EA" w:rsidR="00F81B83" w:rsidRDefault="008661E6" w:rsidP="00F81B83">
      <w:pPr>
        <w:tabs>
          <w:tab w:val="left" w:pos="709"/>
        </w:tabs>
        <w:spacing w:before="120" w:after="120" w:line="240" w:lineRule="auto"/>
        <w:jc w:val="both"/>
        <w:rPr>
          <w:rFonts w:ascii="Segoe UI" w:hAnsi="Segoe UI" w:cs="Segoe UI"/>
          <w:bCs/>
        </w:rPr>
      </w:pPr>
      <w:r>
        <w:rPr>
          <w:rFonts w:ascii="Segoe UI" w:hAnsi="Segoe UI" w:cs="Segoe UI"/>
          <w:bCs/>
        </w:rPr>
        <w:t xml:space="preserve">Nella prima </w:t>
      </w:r>
      <w:r w:rsidR="00F81B83" w:rsidRPr="001F6527">
        <w:rPr>
          <w:rFonts w:ascii="Segoe UI" w:hAnsi="Segoe UI" w:cs="Segoe UI"/>
          <w:bCs/>
        </w:rPr>
        <w:t>parte</w:t>
      </w:r>
      <w:r w:rsidR="001A0C85">
        <w:rPr>
          <w:rFonts w:ascii="Segoe UI" w:hAnsi="Segoe UI" w:cs="Segoe UI"/>
          <w:bCs/>
        </w:rPr>
        <w:t xml:space="preserve"> del</w:t>
      </w:r>
      <w:r w:rsidR="00672436">
        <w:rPr>
          <w:rFonts w:ascii="Segoe UI" w:hAnsi="Segoe UI" w:cs="Segoe UI"/>
          <w:bCs/>
        </w:rPr>
        <w:t xml:space="preserve"> </w:t>
      </w:r>
      <w:r w:rsidR="001A0C85">
        <w:rPr>
          <w:rFonts w:ascii="Segoe UI" w:hAnsi="Segoe UI" w:cs="Segoe UI"/>
          <w:bCs/>
        </w:rPr>
        <w:t>documento</w:t>
      </w:r>
      <w:r>
        <w:rPr>
          <w:rFonts w:ascii="Segoe UI" w:hAnsi="Segoe UI" w:cs="Segoe UI"/>
          <w:bCs/>
        </w:rPr>
        <w:t>,</w:t>
      </w:r>
      <w:r w:rsidR="00F81B83" w:rsidRPr="001F6527">
        <w:rPr>
          <w:rFonts w:ascii="Segoe UI" w:hAnsi="Segoe UI" w:cs="Segoe UI"/>
          <w:bCs/>
        </w:rPr>
        <w:t xml:space="preserve"> </w:t>
      </w:r>
      <w:r w:rsidR="00FE7210">
        <w:rPr>
          <w:rFonts w:ascii="Segoe UI" w:hAnsi="Segoe UI" w:cs="Segoe UI"/>
          <w:bCs/>
        </w:rPr>
        <w:t xml:space="preserve">si </w:t>
      </w:r>
      <w:r w:rsidR="00F81B83" w:rsidRPr="001F6527">
        <w:rPr>
          <w:rFonts w:ascii="Segoe UI" w:hAnsi="Segoe UI" w:cs="Segoe UI"/>
          <w:bCs/>
        </w:rPr>
        <w:t>evidenzia</w:t>
      </w:r>
      <w:r w:rsidR="00927AA1">
        <w:rPr>
          <w:rFonts w:ascii="Segoe UI" w:hAnsi="Segoe UI" w:cs="Segoe UI"/>
          <w:bCs/>
        </w:rPr>
        <w:t xml:space="preserve"> </w:t>
      </w:r>
      <w:r w:rsidR="00F81B83" w:rsidRPr="001F6527">
        <w:rPr>
          <w:rFonts w:ascii="Segoe UI" w:hAnsi="Segoe UI" w:cs="Segoe UI"/>
          <w:bCs/>
        </w:rPr>
        <w:t>una certa ambiguità</w:t>
      </w:r>
      <w:r>
        <w:rPr>
          <w:rFonts w:ascii="Segoe UI" w:hAnsi="Segoe UI" w:cs="Segoe UI"/>
          <w:bCs/>
        </w:rPr>
        <w:t xml:space="preserve"> relativa </w:t>
      </w:r>
      <w:r w:rsidR="00F81B83" w:rsidRPr="001F6527">
        <w:rPr>
          <w:rFonts w:ascii="Segoe UI" w:hAnsi="Segoe UI" w:cs="Segoe UI"/>
          <w:bCs/>
        </w:rPr>
        <w:t>alle soluzioni terminologiche e semantiche adottate nelle diverse versioni dei provvedimenti normativi e interpretativi nonché nei documenti tecnici di settore</w:t>
      </w:r>
      <w:r w:rsidR="00F81B83">
        <w:rPr>
          <w:rFonts w:ascii="Segoe UI" w:hAnsi="Segoe UI" w:cs="Segoe UI"/>
          <w:bCs/>
        </w:rPr>
        <w:t xml:space="preserve">. L’analisi viene sviluppata prendendo a riferimento le fonti normative europee e nazionali e i principali </w:t>
      </w:r>
      <w:r w:rsidR="00F81B83" w:rsidRPr="00A15519">
        <w:rPr>
          <w:rFonts w:ascii="Segoe UI" w:hAnsi="Segoe UI" w:cs="Segoe UI"/>
          <w:bCs/>
          <w:i/>
        </w:rPr>
        <w:t xml:space="preserve">standard </w:t>
      </w:r>
      <w:r w:rsidR="00F81B83">
        <w:rPr>
          <w:rFonts w:ascii="Segoe UI" w:hAnsi="Segoe UI" w:cs="Segoe UI"/>
          <w:bCs/>
        </w:rPr>
        <w:t>di rendicontazione tramite il confronto delle loro diverse versioni linguistiche e, nello specifico, dei paragrafi e/o proposizioni in cui appaiono i termini riferibili ai concetti oggetto d’indagine. Il risultato del confronto si sostanzia nell’individuazione</w:t>
      </w:r>
      <w:r w:rsidR="00DD0EF1">
        <w:rPr>
          <w:rFonts w:ascii="Segoe UI" w:hAnsi="Segoe UI" w:cs="Segoe UI"/>
          <w:bCs/>
        </w:rPr>
        <w:t xml:space="preserve"> </w:t>
      </w:r>
      <w:r w:rsidR="00DD0EF1" w:rsidRPr="00DD0EF1">
        <w:rPr>
          <w:rFonts w:ascii="Segoe UI" w:hAnsi="Segoe UI" w:cs="Segoe UI"/>
          <w:bCs/>
        </w:rPr>
        <w:t>di accezioni differenti per termini semanticamente simili o, viceversa, accezioni simili per termini che la prassi professionale e contabile ha ormai definitivamente identificato come differenti, tanto sul piano concettuale quanto su quello semantico</w:t>
      </w:r>
      <w:r w:rsidR="00F81B83">
        <w:rPr>
          <w:rFonts w:ascii="Segoe UI" w:hAnsi="Segoe UI" w:cs="Segoe UI"/>
          <w:bCs/>
        </w:rPr>
        <w:t>.</w:t>
      </w:r>
      <w:r w:rsidR="00DD0EF1">
        <w:rPr>
          <w:rFonts w:ascii="Segoe UI" w:hAnsi="Segoe UI" w:cs="Segoe UI"/>
          <w:bCs/>
        </w:rPr>
        <w:t xml:space="preserve"> </w:t>
      </w:r>
      <w:r w:rsidR="00F81B83">
        <w:rPr>
          <w:rFonts w:ascii="Segoe UI" w:hAnsi="Segoe UI" w:cs="Segoe UI"/>
          <w:bCs/>
        </w:rPr>
        <w:t>Un primo risultato del lavoro</w:t>
      </w:r>
      <w:r w:rsidR="00927AA1">
        <w:rPr>
          <w:rFonts w:ascii="Segoe UI" w:hAnsi="Segoe UI" w:cs="Segoe UI"/>
          <w:bCs/>
        </w:rPr>
        <w:t xml:space="preserve"> </w:t>
      </w:r>
      <w:r w:rsidR="00F81B83">
        <w:rPr>
          <w:rFonts w:ascii="Segoe UI" w:hAnsi="Segoe UI" w:cs="Segoe UI"/>
          <w:bCs/>
        </w:rPr>
        <w:t xml:space="preserve">è quello di aver reso </w:t>
      </w:r>
      <w:r w:rsidR="00DD0EF1" w:rsidRPr="00DD0EF1">
        <w:rPr>
          <w:rFonts w:ascii="Segoe UI" w:hAnsi="Segoe UI" w:cs="Segoe UI"/>
          <w:bCs/>
        </w:rPr>
        <w:t xml:space="preserve">manifesta </w:t>
      </w:r>
      <w:r w:rsidR="00DD0EF1">
        <w:rPr>
          <w:rFonts w:ascii="Segoe UI" w:hAnsi="Segoe UI" w:cs="Segoe UI"/>
          <w:bCs/>
        </w:rPr>
        <w:t xml:space="preserve">l’urgenza (se non </w:t>
      </w:r>
      <w:r w:rsidR="00DD0EF1" w:rsidRPr="00DD0EF1">
        <w:rPr>
          <w:rFonts w:ascii="Segoe UI" w:hAnsi="Segoe UI" w:cs="Segoe UI"/>
          <w:bCs/>
        </w:rPr>
        <w:t>l</w:t>
      </w:r>
      <w:r w:rsidR="00DD0EF1">
        <w:rPr>
          <w:rFonts w:ascii="Segoe UI" w:hAnsi="Segoe UI" w:cs="Segoe UI"/>
          <w:bCs/>
        </w:rPr>
        <w:t xml:space="preserve">’imprescindibilità) </w:t>
      </w:r>
      <w:r w:rsidR="00DD0EF1" w:rsidRPr="00DD0EF1">
        <w:rPr>
          <w:rFonts w:ascii="Segoe UI" w:hAnsi="Segoe UI" w:cs="Segoe UI"/>
          <w:bCs/>
        </w:rPr>
        <w:t xml:space="preserve">di definizioni condivise e </w:t>
      </w:r>
      <w:r w:rsidR="00DD0EF1">
        <w:rPr>
          <w:rFonts w:ascii="Segoe UI" w:hAnsi="Segoe UI" w:cs="Segoe UI"/>
          <w:bCs/>
        </w:rPr>
        <w:t xml:space="preserve">di una semantica </w:t>
      </w:r>
      <w:r w:rsidR="00DD0EF1" w:rsidRPr="00DD0EF1">
        <w:rPr>
          <w:rFonts w:ascii="Segoe UI" w:hAnsi="Segoe UI" w:cs="Segoe UI"/>
          <w:bCs/>
        </w:rPr>
        <w:t>possibilmente univoc</w:t>
      </w:r>
      <w:r w:rsidR="00DD0EF1">
        <w:rPr>
          <w:rFonts w:ascii="Segoe UI" w:hAnsi="Segoe UI" w:cs="Segoe UI"/>
          <w:bCs/>
        </w:rPr>
        <w:t>a</w:t>
      </w:r>
      <w:r w:rsidR="00DD0EF1" w:rsidRPr="00DD0EF1">
        <w:rPr>
          <w:rFonts w:ascii="Segoe UI" w:hAnsi="Segoe UI" w:cs="Segoe UI"/>
          <w:bCs/>
        </w:rPr>
        <w:t xml:space="preserve"> dei concetti sottesi ai termini esaminati, funzionali al miglioramento della chiarezza e dell’intellegibilità del </w:t>
      </w:r>
      <w:r w:rsidR="00DD0EF1" w:rsidRPr="00DD0EF1">
        <w:rPr>
          <w:rFonts w:ascii="Segoe UI" w:hAnsi="Segoe UI" w:cs="Segoe UI"/>
          <w:bCs/>
          <w:i/>
        </w:rPr>
        <w:t>reporting</w:t>
      </w:r>
      <w:r w:rsidR="00DD0EF1" w:rsidRPr="00DD0EF1">
        <w:rPr>
          <w:rFonts w:ascii="Segoe UI" w:hAnsi="Segoe UI" w:cs="Segoe UI"/>
          <w:bCs/>
        </w:rPr>
        <w:t xml:space="preserve"> non finanziario</w:t>
      </w:r>
      <w:r w:rsidR="00F81B83">
        <w:rPr>
          <w:rFonts w:ascii="Segoe UI" w:hAnsi="Segoe UI" w:cs="Segoe UI"/>
          <w:bCs/>
        </w:rPr>
        <w:t>.</w:t>
      </w:r>
    </w:p>
    <w:p w14:paraId="690DF1A3" w14:textId="7B599C44" w:rsidR="00F81B83" w:rsidRDefault="00F81B83" w:rsidP="00F81B83">
      <w:pPr>
        <w:tabs>
          <w:tab w:val="left" w:pos="709"/>
        </w:tabs>
        <w:spacing w:before="120" w:after="120" w:line="240" w:lineRule="auto"/>
        <w:jc w:val="both"/>
        <w:rPr>
          <w:rFonts w:ascii="Segoe UI" w:hAnsi="Segoe UI" w:cs="Segoe UI"/>
          <w:bCs/>
        </w:rPr>
      </w:pPr>
      <w:r w:rsidRPr="001F6527">
        <w:rPr>
          <w:rFonts w:ascii="Segoe UI" w:hAnsi="Segoe UI" w:cs="Segoe UI"/>
          <w:bCs/>
        </w:rPr>
        <w:t>Nella seconda parte</w:t>
      </w:r>
      <w:r>
        <w:rPr>
          <w:rFonts w:ascii="Segoe UI" w:hAnsi="Segoe UI" w:cs="Segoe UI"/>
          <w:bCs/>
        </w:rPr>
        <w:t>,</w:t>
      </w:r>
      <w:r w:rsidRPr="001F6527">
        <w:rPr>
          <w:rFonts w:ascii="Segoe UI" w:hAnsi="Segoe UI" w:cs="Segoe UI"/>
          <w:bCs/>
        </w:rPr>
        <w:t xml:space="preserve"> </w:t>
      </w:r>
      <w:r w:rsidR="00FE7210">
        <w:rPr>
          <w:rFonts w:ascii="Segoe UI" w:hAnsi="Segoe UI" w:cs="Segoe UI"/>
          <w:bCs/>
        </w:rPr>
        <w:t xml:space="preserve">si </w:t>
      </w:r>
      <w:r>
        <w:rPr>
          <w:rFonts w:ascii="Segoe UI" w:hAnsi="Segoe UI" w:cs="Segoe UI"/>
          <w:bCs/>
        </w:rPr>
        <w:t>mostra come gli spunti di riflessione circa la distinzione concettuale tra “rilevanza” e “materialità”</w:t>
      </w:r>
      <w:r w:rsidR="00EC27E3">
        <w:rPr>
          <w:rFonts w:ascii="Segoe UI" w:hAnsi="Segoe UI" w:cs="Segoe UI"/>
          <w:bCs/>
        </w:rPr>
        <w:t xml:space="preserve"> (</w:t>
      </w:r>
      <w:r>
        <w:rPr>
          <w:rFonts w:ascii="Segoe UI" w:hAnsi="Segoe UI" w:cs="Segoe UI"/>
          <w:bCs/>
        </w:rPr>
        <w:t>introdotti nel corso della prima parte</w:t>
      </w:r>
      <w:r w:rsidR="00EC27E3">
        <w:rPr>
          <w:rFonts w:ascii="Segoe UI" w:hAnsi="Segoe UI" w:cs="Segoe UI"/>
          <w:bCs/>
        </w:rPr>
        <w:t>)</w:t>
      </w:r>
      <w:r>
        <w:rPr>
          <w:rFonts w:ascii="Segoe UI" w:hAnsi="Segoe UI" w:cs="Segoe UI"/>
          <w:bCs/>
        </w:rPr>
        <w:t xml:space="preserve"> assumano un significato più concreto e marcato illustrando gli approcci di organismi internazionali operanti nel settore dell’elaborazione di </w:t>
      </w:r>
      <w:r w:rsidRPr="00EF722D">
        <w:rPr>
          <w:rFonts w:ascii="Segoe UI" w:hAnsi="Segoe UI" w:cs="Segoe UI"/>
          <w:bCs/>
          <w:i/>
        </w:rPr>
        <w:t>standard</w:t>
      </w:r>
      <w:r>
        <w:rPr>
          <w:rFonts w:ascii="Segoe UI" w:hAnsi="Segoe UI" w:cs="Segoe UI"/>
          <w:bCs/>
        </w:rPr>
        <w:t xml:space="preserve"> di rendicontazione</w:t>
      </w:r>
      <w:r w:rsidR="00A36F19">
        <w:rPr>
          <w:rFonts w:ascii="Segoe UI" w:hAnsi="Segoe UI" w:cs="Segoe UI"/>
          <w:bCs/>
        </w:rPr>
        <w:t>,</w:t>
      </w:r>
      <w:r>
        <w:rPr>
          <w:rFonts w:ascii="Segoe UI" w:hAnsi="Segoe UI" w:cs="Segoe UI"/>
          <w:bCs/>
        </w:rPr>
        <w:t xml:space="preserve"> finalizzati allo sviluppo di processi per l’identificazione della materialità delle informazioni oggetto di </w:t>
      </w:r>
      <w:r w:rsidRPr="00756834">
        <w:rPr>
          <w:rFonts w:ascii="Segoe UI" w:hAnsi="Segoe UI" w:cs="Segoe UI"/>
          <w:bCs/>
          <w:i/>
        </w:rPr>
        <w:t>disclosure</w:t>
      </w:r>
      <w:r>
        <w:rPr>
          <w:rFonts w:ascii="Segoe UI" w:hAnsi="Segoe UI" w:cs="Segoe UI"/>
          <w:bCs/>
        </w:rPr>
        <w:t xml:space="preserve"> non finanziaria.</w:t>
      </w:r>
    </w:p>
    <w:p w14:paraId="56FBF4CC" w14:textId="6BCC7D46" w:rsidR="00F81B83" w:rsidRDefault="00F81B83" w:rsidP="00F81B83">
      <w:pPr>
        <w:tabs>
          <w:tab w:val="left" w:pos="709"/>
        </w:tabs>
        <w:spacing w:before="120" w:after="120" w:line="240" w:lineRule="auto"/>
        <w:jc w:val="both"/>
        <w:rPr>
          <w:rFonts w:ascii="Segoe UI" w:hAnsi="Segoe UI" w:cs="Segoe UI"/>
          <w:bCs/>
        </w:rPr>
      </w:pPr>
      <w:r>
        <w:rPr>
          <w:rFonts w:ascii="Segoe UI" w:hAnsi="Segoe UI" w:cs="Segoe UI"/>
          <w:bCs/>
        </w:rPr>
        <w:t>In quest</w:t>
      </w:r>
      <w:r w:rsidR="00A72049">
        <w:rPr>
          <w:rFonts w:ascii="Segoe UI" w:hAnsi="Segoe UI" w:cs="Segoe UI"/>
          <w:bCs/>
        </w:rPr>
        <w:t>o senso</w:t>
      </w:r>
      <w:r>
        <w:rPr>
          <w:rFonts w:ascii="Segoe UI" w:hAnsi="Segoe UI" w:cs="Segoe UI"/>
          <w:bCs/>
        </w:rPr>
        <w:t>,</w:t>
      </w:r>
      <w:r w:rsidR="0082011B">
        <w:rPr>
          <w:rFonts w:ascii="Segoe UI" w:hAnsi="Segoe UI" w:cs="Segoe UI"/>
          <w:bCs/>
        </w:rPr>
        <w:t xml:space="preserve"> </w:t>
      </w:r>
      <w:r>
        <w:rPr>
          <w:rFonts w:ascii="Segoe UI" w:hAnsi="Segoe UI" w:cs="Segoe UI"/>
          <w:bCs/>
        </w:rPr>
        <w:t>dal</w:t>
      </w:r>
      <w:r w:rsidR="00E211A3">
        <w:rPr>
          <w:rFonts w:ascii="Segoe UI" w:hAnsi="Segoe UI" w:cs="Segoe UI"/>
          <w:bCs/>
        </w:rPr>
        <w:t xml:space="preserve"> confronto </w:t>
      </w:r>
      <w:r>
        <w:rPr>
          <w:rFonts w:ascii="Segoe UI" w:hAnsi="Segoe UI" w:cs="Segoe UI"/>
          <w:bCs/>
        </w:rPr>
        <w:t>dei documenti</w:t>
      </w:r>
      <w:r w:rsidR="00F51AA0">
        <w:rPr>
          <w:rFonts w:ascii="Segoe UI" w:hAnsi="Segoe UI" w:cs="Segoe UI"/>
          <w:bCs/>
        </w:rPr>
        <w:t xml:space="preserve"> </w:t>
      </w:r>
      <w:r w:rsidR="00E211A3">
        <w:rPr>
          <w:rFonts w:ascii="Segoe UI" w:hAnsi="Segoe UI" w:cs="Segoe UI"/>
          <w:bCs/>
        </w:rPr>
        <w:t>metodologici e interpretativi esaminati</w:t>
      </w:r>
      <w:r>
        <w:rPr>
          <w:rFonts w:ascii="Segoe UI" w:hAnsi="Segoe UI" w:cs="Segoe UI"/>
          <w:bCs/>
        </w:rPr>
        <w:t>,</w:t>
      </w:r>
      <w:r w:rsidR="00E211A3">
        <w:rPr>
          <w:rFonts w:ascii="Segoe UI" w:hAnsi="Segoe UI" w:cs="Segoe UI"/>
          <w:bCs/>
        </w:rPr>
        <w:t xml:space="preserve"> </w:t>
      </w:r>
      <w:r>
        <w:rPr>
          <w:rFonts w:ascii="Segoe UI" w:hAnsi="Segoe UI" w:cs="Segoe UI"/>
          <w:bCs/>
        </w:rPr>
        <w:t>sono emerse</w:t>
      </w:r>
      <w:r w:rsidR="00EC27E3">
        <w:rPr>
          <w:rFonts w:ascii="Segoe UI" w:hAnsi="Segoe UI" w:cs="Segoe UI"/>
          <w:bCs/>
        </w:rPr>
        <w:t>, tra le altre,</w:t>
      </w:r>
      <w:r>
        <w:rPr>
          <w:rFonts w:ascii="Segoe UI" w:hAnsi="Segoe UI" w:cs="Segoe UI"/>
          <w:bCs/>
        </w:rPr>
        <w:t xml:space="preserve"> due posizioni </w:t>
      </w:r>
      <w:r w:rsidR="00B31BAA">
        <w:rPr>
          <w:rFonts w:ascii="Segoe UI" w:hAnsi="Segoe UI" w:cs="Segoe UI"/>
          <w:bCs/>
        </w:rPr>
        <w:t xml:space="preserve">tra loro </w:t>
      </w:r>
      <w:r w:rsidR="00880F87">
        <w:rPr>
          <w:rFonts w:ascii="Segoe UI" w:hAnsi="Segoe UI" w:cs="Segoe UI"/>
          <w:bCs/>
        </w:rPr>
        <w:t>incompatibili (se non antitetiche)</w:t>
      </w:r>
      <w:r>
        <w:rPr>
          <w:rFonts w:ascii="Segoe UI" w:hAnsi="Segoe UI" w:cs="Segoe UI"/>
          <w:bCs/>
        </w:rPr>
        <w:t>:</w:t>
      </w:r>
      <w:r w:rsidR="00EF57C2">
        <w:rPr>
          <w:rFonts w:ascii="Segoe UI" w:hAnsi="Segoe UI" w:cs="Segoe UI"/>
          <w:bCs/>
        </w:rPr>
        <w:t xml:space="preserve"> </w:t>
      </w:r>
      <w:r>
        <w:rPr>
          <w:rFonts w:ascii="Segoe UI" w:hAnsi="Segoe UI" w:cs="Segoe UI"/>
          <w:bCs/>
        </w:rPr>
        <w:t xml:space="preserve">da un lato, </w:t>
      </w:r>
      <w:r w:rsidR="00E211A3">
        <w:rPr>
          <w:rFonts w:ascii="Segoe UI" w:hAnsi="Segoe UI" w:cs="Segoe UI"/>
          <w:bCs/>
        </w:rPr>
        <w:t xml:space="preserve">si </w:t>
      </w:r>
      <w:r w:rsidR="00605FD6">
        <w:rPr>
          <w:rFonts w:ascii="Segoe UI" w:hAnsi="Segoe UI" w:cs="Segoe UI"/>
          <w:bCs/>
        </w:rPr>
        <w:t>rileva</w:t>
      </w:r>
      <w:r w:rsidR="00E211A3">
        <w:rPr>
          <w:rFonts w:ascii="Segoe UI" w:hAnsi="Segoe UI" w:cs="Segoe UI"/>
          <w:bCs/>
        </w:rPr>
        <w:t xml:space="preserve"> </w:t>
      </w:r>
      <w:r w:rsidR="00045963">
        <w:rPr>
          <w:rFonts w:ascii="Segoe UI" w:hAnsi="Segoe UI" w:cs="Segoe UI"/>
          <w:bCs/>
        </w:rPr>
        <w:t xml:space="preserve">un approccio il cui sviluppo </w:t>
      </w:r>
      <w:r w:rsidR="00E211A3">
        <w:rPr>
          <w:rFonts w:ascii="Segoe UI" w:hAnsi="Segoe UI" w:cs="Segoe UI"/>
          <w:bCs/>
        </w:rPr>
        <w:t>prescinde da</w:t>
      </w:r>
      <w:r w:rsidR="00B70530">
        <w:rPr>
          <w:rFonts w:ascii="Segoe UI" w:hAnsi="Segoe UI" w:cs="Segoe UI"/>
          <w:bCs/>
        </w:rPr>
        <w:t xml:space="preserve">lla </w:t>
      </w:r>
      <w:r w:rsidR="00D35233">
        <w:rPr>
          <w:rFonts w:ascii="Segoe UI" w:hAnsi="Segoe UI" w:cs="Segoe UI"/>
          <w:bCs/>
        </w:rPr>
        <w:t xml:space="preserve">distinzione </w:t>
      </w:r>
      <w:r w:rsidR="0029324F">
        <w:rPr>
          <w:rFonts w:ascii="Segoe UI" w:hAnsi="Segoe UI" w:cs="Segoe UI"/>
          <w:bCs/>
        </w:rPr>
        <w:t>di</w:t>
      </w:r>
      <w:r w:rsidR="00B70530">
        <w:rPr>
          <w:rFonts w:ascii="Segoe UI" w:hAnsi="Segoe UI" w:cs="Segoe UI"/>
          <w:bCs/>
        </w:rPr>
        <w:t xml:space="preserve"> definizioni e </w:t>
      </w:r>
      <w:r w:rsidR="0029324F">
        <w:rPr>
          <w:rFonts w:ascii="Segoe UI" w:hAnsi="Segoe UI" w:cs="Segoe UI"/>
          <w:bCs/>
        </w:rPr>
        <w:t xml:space="preserve">di </w:t>
      </w:r>
      <w:r>
        <w:rPr>
          <w:rFonts w:ascii="Segoe UI" w:hAnsi="Segoe UI" w:cs="Segoe UI"/>
          <w:bCs/>
        </w:rPr>
        <w:t xml:space="preserve">caratteristiche </w:t>
      </w:r>
      <w:r w:rsidR="00195486">
        <w:rPr>
          <w:rFonts w:ascii="Segoe UI" w:hAnsi="Segoe UI" w:cs="Segoe UI"/>
          <w:bCs/>
        </w:rPr>
        <w:t>relative a</w:t>
      </w:r>
      <w:r>
        <w:rPr>
          <w:rFonts w:ascii="Segoe UI" w:hAnsi="Segoe UI" w:cs="Segoe UI"/>
          <w:bCs/>
        </w:rPr>
        <w:t xml:space="preserve">i </w:t>
      </w:r>
      <w:r w:rsidR="00D35233">
        <w:rPr>
          <w:rFonts w:ascii="Segoe UI" w:hAnsi="Segoe UI" w:cs="Segoe UI"/>
          <w:bCs/>
        </w:rPr>
        <w:t xml:space="preserve">due </w:t>
      </w:r>
      <w:r>
        <w:rPr>
          <w:rFonts w:ascii="Segoe UI" w:hAnsi="Segoe UI" w:cs="Segoe UI"/>
          <w:bCs/>
        </w:rPr>
        <w:t>concetti</w:t>
      </w:r>
      <w:r w:rsidR="00D35233">
        <w:rPr>
          <w:rFonts w:ascii="Segoe UI" w:hAnsi="Segoe UI" w:cs="Segoe UI"/>
          <w:bCs/>
        </w:rPr>
        <w:t>/principi</w:t>
      </w:r>
      <w:r>
        <w:rPr>
          <w:rFonts w:ascii="Segoe UI" w:hAnsi="Segoe UI" w:cs="Segoe UI"/>
          <w:bCs/>
        </w:rPr>
        <w:t xml:space="preserve"> e </w:t>
      </w:r>
      <w:r w:rsidR="00195486">
        <w:rPr>
          <w:rFonts w:ascii="Segoe UI" w:hAnsi="Segoe UI" w:cs="Segoe UI"/>
          <w:bCs/>
        </w:rPr>
        <w:t>a</w:t>
      </w:r>
      <w:r>
        <w:rPr>
          <w:rFonts w:ascii="Segoe UI" w:hAnsi="Segoe UI" w:cs="Segoe UI"/>
          <w:bCs/>
        </w:rPr>
        <w:t>i processi metodologici per la loro applicazione; dall’altro lato, invece,</w:t>
      </w:r>
      <w:r w:rsidR="00D35233">
        <w:rPr>
          <w:rFonts w:ascii="Segoe UI" w:hAnsi="Segoe UI" w:cs="Segoe UI"/>
          <w:bCs/>
        </w:rPr>
        <w:t xml:space="preserve"> </w:t>
      </w:r>
      <w:r w:rsidR="00605FD6">
        <w:rPr>
          <w:rFonts w:ascii="Segoe UI" w:hAnsi="Segoe UI" w:cs="Segoe UI"/>
          <w:bCs/>
        </w:rPr>
        <w:t>una parte consistente dell’analisi teorica fonda la propria elaborazione</w:t>
      </w:r>
      <w:r w:rsidR="00BD7CB1">
        <w:rPr>
          <w:rFonts w:ascii="Segoe UI" w:hAnsi="Segoe UI" w:cs="Segoe UI"/>
          <w:bCs/>
        </w:rPr>
        <w:t>, per l’appunto,</w:t>
      </w:r>
      <w:r w:rsidR="00605FD6">
        <w:rPr>
          <w:rFonts w:ascii="Segoe UI" w:hAnsi="Segoe UI" w:cs="Segoe UI"/>
          <w:bCs/>
        </w:rPr>
        <w:t xml:space="preserve"> sulla distinzione concettuale </w:t>
      </w:r>
      <w:r>
        <w:rPr>
          <w:rFonts w:ascii="Segoe UI" w:hAnsi="Segoe UI" w:cs="Segoe UI"/>
          <w:bCs/>
        </w:rPr>
        <w:t>tra “rilevanza” e “materialità”</w:t>
      </w:r>
      <w:r w:rsidR="00605FD6">
        <w:rPr>
          <w:rFonts w:ascii="Segoe UI" w:hAnsi="Segoe UI" w:cs="Segoe UI"/>
          <w:bCs/>
        </w:rPr>
        <w:t>, con conseguenze</w:t>
      </w:r>
      <w:r w:rsidR="00995AF4">
        <w:rPr>
          <w:rFonts w:ascii="Segoe UI" w:hAnsi="Segoe UI" w:cs="Segoe UI"/>
          <w:bCs/>
        </w:rPr>
        <w:t xml:space="preserve"> </w:t>
      </w:r>
      <w:r w:rsidR="00605FD6">
        <w:rPr>
          <w:rFonts w:ascii="Segoe UI" w:hAnsi="Segoe UI" w:cs="Segoe UI"/>
          <w:bCs/>
        </w:rPr>
        <w:t>determinanti su</w:t>
      </w:r>
      <w:r w:rsidR="008730DE">
        <w:rPr>
          <w:rFonts w:ascii="Segoe UI" w:hAnsi="Segoe UI" w:cs="Segoe UI"/>
          <w:bCs/>
        </w:rPr>
        <w:t xml:space="preserve">lle </w:t>
      </w:r>
      <w:r w:rsidR="00D00AFE">
        <w:rPr>
          <w:rFonts w:ascii="Segoe UI" w:hAnsi="Segoe UI" w:cs="Segoe UI"/>
          <w:bCs/>
        </w:rPr>
        <w:t xml:space="preserve">possibili prassi </w:t>
      </w:r>
      <w:r w:rsidR="00605FD6">
        <w:rPr>
          <w:rFonts w:ascii="Segoe UI" w:hAnsi="Segoe UI" w:cs="Segoe UI"/>
          <w:bCs/>
        </w:rPr>
        <w:t>operativ</w:t>
      </w:r>
      <w:r w:rsidR="00D00AFE">
        <w:rPr>
          <w:rFonts w:ascii="Segoe UI" w:hAnsi="Segoe UI" w:cs="Segoe UI"/>
          <w:bCs/>
        </w:rPr>
        <w:t>e</w:t>
      </w:r>
      <w:r w:rsidR="00605FD6">
        <w:rPr>
          <w:rFonts w:ascii="Segoe UI" w:hAnsi="Segoe UI" w:cs="Segoe UI"/>
          <w:bCs/>
        </w:rPr>
        <w:t xml:space="preserve"> </w:t>
      </w:r>
      <w:r w:rsidR="00C53BBD">
        <w:rPr>
          <w:rFonts w:ascii="Segoe UI" w:hAnsi="Segoe UI" w:cs="Segoe UI"/>
          <w:bCs/>
        </w:rPr>
        <w:t xml:space="preserve">da adottare </w:t>
      </w:r>
      <w:r>
        <w:rPr>
          <w:rFonts w:ascii="Segoe UI" w:hAnsi="Segoe UI" w:cs="Segoe UI"/>
          <w:bCs/>
        </w:rPr>
        <w:t>ai fini della determinazione d</w:t>
      </w:r>
      <w:r w:rsidR="00C53BBD">
        <w:rPr>
          <w:rFonts w:ascii="Segoe UI" w:hAnsi="Segoe UI" w:cs="Segoe UI"/>
          <w:bCs/>
        </w:rPr>
        <w:t>ella second</w:t>
      </w:r>
      <w:r w:rsidR="00995AF4">
        <w:rPr>
          <w:rFonts w:ascii="Segoe UI" w:hAnsi="Segoe UI" w:cs="Segoe UI"/>
          <w:bCs/>
        </w:rPr>
        <w:t>a</w:t>
      </w:r>
      <w:r>
        <w:rPr>
          <w:rFonts w:ascii="Segoe UI" w:hAnsi="Segoe UI" w:cs="Segoe UI"/>
          <w:bCs/>
        </w:rPr>
        <w:t>.</w:t>
      </w:r>
    </w:p>
    <w:p w14:paraId="1AEB163F" w14:textId="0B6A069B" w:rsidR="00F81B83" w:rsidRDefault="0082011B" w:rsidP="00F81B83">
      <w:pPr>
        <w:tabs>
          <w:tab w:val="left" w:pos="709"/>
        </w:tabs>
        <w:spacing w:before="120" w:after="120" w:line="240" w:lineRule="auto"/>
        <w:jc w:val="both"/>
        <w:rPr>
          <w:rFonts w:ascii="Segoe UI" w:hAnsi="Segoe UI" w:cs="Segoe UI"/>
          <w:bCs/>
        </w:rPr>
      </w:pPr>
      <w:r>
        <w:rPr>
          <w:rFonts w:ascii="Segoe UI" w:hAnsi="Segoe UI" w:cs="Segoe UI"/>
          <w:bCs/>
        </w:rPr>
        <w:t xml:space="preserve">Questa </w:t>
      </w:r>
      <w:r w:rsidR="00F81B83">
        <w:rPr>
          <w:rFonts w:ascii="Segoe UI" w:hAnsi="Segoe UI" w:cs="Segoe UI"/>
          <w:bCs/>
        </w:rPr>
        <w:t xml:space="preserve">seconda prospettiva è coerente anche con quanto stabilito nell’ambito della </w:t>
      </w:r>
      <w:r w:rsidR="00F81B83" w:rsidRPr="00533A92">
        <w:rPr>
          <w:rFonts w:ascii="Segoe UI" w:hAnsi="Segoe UI" w:cs="Segoe UI"/>
          <w:bCs/>
          <w:i/>
        </w:rPr>
        <w:t>disclosure</w:t>
      </w:r>
      <w:r w:rsidR="00F81B83">
        <w:rPr>
          <w:rFonts w:ascii="Segoe UI" w:hAnsi="Segoe UI" w:cs="Segoe UI"/>
          <w:bCs/>
        </w:rPr>
        <w:t xml:space="preserve"> finanziaria dai requisiti del “Conceptual </w:t>
      </w:r>
      <w:r w:rsidR="00F81B83" w:rsidRPr="00533A92">
        <w:rPr>
          <w:rFonts w:ascii="Segoe UI" w:hAnsi="Segoe UI" w:cs="Segoe UI"/>
          <w:bCs/>
        </w:rPr>
        <w:t>Framework for Financial Reporting</w:t>
      </w:r>
      <w:r w:rsidR="00F81B83">
        <w:rPr>
          <w:rFonts w:ascii="Segoe UI" w:hAnsi="Segoe UI" w:cs="Segoe UI"/>
          <w:bCs/>
        </w:rPr>
        <w:t>” dello IASB</w:t>
      </w:r>
      <w:r w:rsidR="002A5908">
        <w:rPr>
          <w:rFonts w:ascii="Segoe UI" w:hAnsi="Segoe UI" w:cs="Segoe UI"/>
          <w:bCs/>
        </w:rPr>
        <w:t>,</w:t>
      </w:r>
      <w:r w:rsidR="00F81B83">
        <w:rPr>
          <w:rFonts w:ascii="Segoe UI" w:hAnsi="Segoe UI" w:cs="Segoe UI"/>
          <w:bCs/>
        </w:rPr>
        <w:t xml:space="preserve"> in cui la rilevanza è identificata come una caratteristica qualitativa dell’informazione utile ai fini del </w:t>
      </w:r>
      <w:r w:rsidR="00F81B83" w:rsidRPr="00533A92">
        <w:rPr>
          <w:rFonts w:ascii="Segoe UI" w:hAnsi="Segoe UI" w:cs="Segoe UI"/>
          <w:bCs/>
          <w:i/>
        </w:rPr>
        <w:t>reporting</w:t>
      </w:r>
      <w:r w:rsidR="00F81B83">
        <w:rPr>
          <w:rFonts w:ascii="Segoe UI" w:hAnsi="Segoe UI" w:cs="Segoe UI"/>
          <w:bCs/>
        </w:rPr>
        <w:t xml:space="preserve"> finanziario (insieme alla rappresentazione veritiera e corretta) mentre la materialità appare identificarsi come il principio metodologico da adottare per individuare le informazioni da comunicare, </w:t>
      </w:r>
      <w:r w:rsidR="00F81B83" w:rsidRPr="00FB32F4">
        <w:rPr>
          <w:rFonts w:ascii="Segoe UI" w:hAnsi="Segoe UI" w:cs="Segoe UI"/>
          <w:bCs/>
        </w:rPr>
        <w:t xml:space="preserve">come esplicitamente previsto anche negli </w:t>
      </w:r>
      <w:r w:rsidR="00F81B83" w:rsidRPr="00FB32F4">
        <w:rPr>
          <w:rFonts w:ascii="Segoe UI" w:hAnsi="Segoe UI" w:cs="Segoe UI"/>
          <w:bCs/>
          <w:i/>
        </w:rPr>
        <w:t>standard</w:t>
      </w:r>
      <w:r w:rsidR="00F81B83" w:rsidRPr="00FB32F4">
        <w:rPr>
          <w:rFonts w:ascii="Segoe UI" w:hAnsi="Segoe UI" w:cs="Segoe UI"/>
          <w:bCs/>
        </w:rPr>
        <w:t xml:space="preserve"> del GRI e dell’IIRC per la rendicontazione non finanziaria.</w:t>
      </w:r>
    </w:p>
    <w:p w14:paraId="47C12416" w14:textId="77777777" w:rsidR="00F81B83" w:rsidRDefault="00F81B83" w:rsidP="00F81B83">
      <w:pPr>
        <w:tabs>
          <w:tab w:val="left" w:pos="709"/>
        </w:tabs>
        <w:spacing w:before="120" w:after="120" w:line="240" w:lineRule="auto"/>
        <w:jc w:val="both"/>
        <w:rPr>
          <w:rFonts w:ascii="Segoe UI" w:hAnsi="Segoe UI" w:cs="Segoe UI"/>
          <w:bCs/>
        </w:rPr>
      </w:pPr>
      <w:r>
        <w:rPr>
          <w:rFonts w:ascii="Segoe UI" w:hAnsi="Segoe UI" w:cs="Segoe UI"/>
          <w:bCs/>
        </w:rPr>
        <w:t>Il ragionamento viene consolidato evidenziando anche a</w:t>
      </w:r>
      <w:r w:rsidRPr="001F6527">
        <w:rPr>
          <w:rFonts w:ascii="Segoe UI" w:hAnsi="Segoe UI" w:cs="Segoe UI"/>
          <w:bCs/>
        </w:rPr>
        <w:t xml:space="preserve">lcune </w:t>
      </w:r>
      <w:r>
        <w:rPr>
          <w:rFonts w:ascii="Segoe UI" w:hAnsi="Segoe UI" w:cs="Segoe UI"/>
          <w:bCs/>
        </w:rPr>
        <w:t xml:space="preserve">potenziali </w:t>
      </w:r>
      <w:r w:rsidRPr="001F6527">
        <w:rPr>
          <w:rFonts w:ascii="Segoe UI" w:hAnsi="Segoe UI" w:cs="Segoe UI"/>
          <w:bCs/>
        </w:rPr>
        <w:t>problematiche operative derivanti dalle criticità analizzate</w:t>
      </w:r>
      <w:r>
        <w:rPr>
          <w:rFonts w:ascii="Segoe UI" w:hAnsi="Segoe UI" w:cs="Segoe UI"/>
          <w:bCs/>
        </w:rPr>
        <w:t xml:space="preserve"> e </w:t>
      </w:r>
      <w:r w:rsidRPr="001F6527">
        <w:rPr>
          <w:rFonts w:ascii="Segoe UI" w:hAnsi="Segoe UI" w:cs="Segoe UI"/>
          <w:bCs/>
        </w:rPr>
        <w:t>proponendo</w:t>
      </w:r>
      <w:r>
        <w:rPr>
          <w:rFonts w:ascii="Segoe UI" w:hAnsi="Segoe UI" w:cs="Segoe UI"/>
          <w:bCs/>
        </w:rPr>
        <w:t>,</w:t>
      </w:r>
      <w:r w:rsidRPr="001F6527">
        <w:rPr>
          <w:rFonts w:ascii="Segoe UI" w:hAnsi="Segoe UI" w:cs="Segoe UI"/>
          <w:bCs/>
        </w:rPr>
        <w:t xml:space="preserve"> altresì</w:t>
      </w:r>
      <w:r>
        <w:rPr>
          <w:rFonts w:ascii="Segoe UI" w:hAnsi="Segoe UI" w:cs="Segoe UI"/>
          <w:bCs/>
        </w:rPr>
        <w:t>,</w:t>
      </w:r>
      <w:r w:rsidRPr="001F6527">
        <w:rPr>
          <w:rFonts w:ascii="Segoe UI" w:hAnsi="Segoe UI" w:cs="Segoe UI"/>
          <w:bCs/>
        </w:rPr>
        <w:t xml:space="preserve"> </w:t>
      </w:r>
      <w:r>
        <w:rPr>
          <w:rFonts w:ascii="Segoe UI" w:hAnsi="Segoe UI" w:cs="Segoe UI"/>
          <w:bCs/>
        </w:rPr>
        <w:t xml:space="preserve">spunti </w:t>
      </w:r>
      <w:r w:rsidRPr="001F6527">
        <w:rPr>
          <w:rFonts w:ascii="Segoe UI" w:hAnsi="Segoe UI" w:cs="Segoe UI"/>
          <w:bCs/>
        </w:rPr>
        <w:t>di riflessione volti a sensibilizzare le istituzioni e gli operatori di settore sull’importanza di aprire un dibattito tecnico</w:t>
      </w:r>
      <w:r>
        <w:rPr>
          <w:rFonts w:ascii="Segoe UI" w:hAnsi="Segoe UI" w:cs="Segoe UI"/>
          <w:bCs/>
        </w:rPr>
        <w:t>-scientifico</w:t>
      </w:r>
      <w:r w:rsidRPr="001F6527">
        <w:rPr>
          <w:rFonts w:ascii="Segoe UI" w:hAnsi="Segoe UI" w:cs="Segoe UI"/>
          <w:bCs/>
        </w:rPr>
        <w:t xml:space="preserve"> per conseguire gli obiettivi di trasparenza e intellegibilità connaturati alla </w:t>
      </w:r>
      <w:r w:rsidRPr="00266ECC">
        <w:rPr>
          <w:rFonts w:ascii="Segoe UI" w:hAnsi="Segoe UI" w:cs="Segoe UI"/>
          <w:bCs/>
          <w:i/>
        </w:rPr>
        <w:t>ratio</w:t>
      </w:r>
      <w:r>
        <w:rPr>
          <w:rFonts w:ascii="Segoe UI" w:hAnsi="Segoe UI" w:cs="Segoe UI"/>
          <w:bCs/>
        </w:rPr>
        <w:t xml:space="preserve"> della </w:t>
      </w:r>
      <w:r w:rsidRPr="001F6527">
        <w:rPr>
          <w:rFonts w:ascii="Segoe UI" w:hAnsi="Segoe UI" w:cs="Segoe UI"/>
          <w:bCs/>
        </w:rPr>
        <w:t xml:space="preserve">normativa di </w:t>
      </w:r>
      <w:r w:rsidRPr="001F6527">
        <w:rPr>
          <w:rFonts w:ascii="Segoe UI" w:hAnsi="Segoe UI" w:cs="Segoe UI"/>
          <w:bCs/>
          <w:i/>
        </w:rPr>
        <w:t>disclosure</w:t>
      </w:r>
      <w:r w:rsidRPr="001F6527">
        <w:rPr>
          <w:rFonts w:ascii="Segoe UI" w:hAnsi="Segoe UI" w:cs="Segoe UI"/>
          <w:bCs/>
        </w:rPr>
        <w:t xml:space="preserve"> in vigore.</w:t>
      </w:r>
    </w:p>
    <w:p w14:paraId="58C6EE7E" w14:textId="09C68BF3" w:rsidR="00367C97" w:rsidRPr="001F6527" w:rsidRDefault="00F81B83" w:rsidP="00B25723">
      <w:pPr>
        <w:pStyle w:val="NormaleWeb"/>
        <w:tabs>
          <w:tab w:val="left" w:pos="567"/>
        </w:tabs>
        <w:spacing w:before="120" w:beforeAutospacing="0" w:after="120" w:afterAutospacing="0"/>
        <w:jc w:val="both"/>
        <w:rPr>
          <w:rFonts w:ascii="Segoe UI" w:hAnsi="Segoe UI" w:cs="Segoe UI"/>
          <w:sz w:val="22"/>
          <w:szCs w:val="22"/>
        </w:rPr>
      </w:pPr>
      <w:r w:rsidRPr="001F6527">
        <w:rPr>
          <w:rFonts w:ascii="Segoe UI" w:hAnsi="Segoe UI" w:cs="Segoe UI"/>
          <w:sz w:val="22"/>
          <w:szCs w:val="22"/>
        </w:rPr>
        <w:t>Nella prospettiva di individuare soluzioni alle problematiche esaminate</w:t>
      </w:r>
      <w:r w:rsidR="008B4DA3">
        <w:rPr>
          <w:rFonts w:ascii="Segoe UI" w:hAnsi="Segoe UI" w:cs="Segoe UI"/>
          <w:sz w:val="22"/>
          <w:szCs w:val="22"/>
        </w:rPr>
        <w:t xml:space="preserve"> </w:t>
      </w:r>
      <w:r w:rsidRPr="001F6527">
        <w:rPr>
          <w:rFonts w:ascii="Segoe UI" w:hAnsi="Segoe UI" w:cs="Segoe UI"/>
          <w:sz w:val="22"/>
          <w:szCs w:val="22"/>
        </w:rPr>
        <w:t xml:space="preserve">e prendendo a riferimento quanto accaduto negli anni </w:t>
      </w:r>
      <w:r>
        <w:rPr>
          <w:rFonts w:ascii="Segoe UI" w:hAnsi="Segoe UI" w:cs="Segoe UI"/>
          <w:sz w:val="22"/>
          <w:szCs w:val="22"/>
        </w:rPr>
        <w:t xml:space="preserve">relativamente </w:t>
      </w:r>
      <w:r w:rsidRPr="001F6527">
        <w:rPr>
          <w:rFonts w:ascii="Segoe UI" w:hAnsi="Segoe UI" w:cs="Segoe UI"/>
          <w:sz w:val="22"/>
          <w:szCs w:val="22"/>
        </w:rPr>
        <w:t>all’informativa finanziaria, rispetto alla quale il sistema ha</w:t>
      </w:r>
      <w:r w:rsidR="008B4DA3">
        <w:rPr>
          <w:rFonts w:ascii="Segoe UI" w:hAnsi="Segoe UI" w:cs="Segoe UI"/>
          <w:sz w:val="22"/>
          <w:szCs w:val="22"/>
        </w:rPr>
        <w:t xml:space="preserve"> infine</w:t>
      </w:r>
      <w:r w:rsidRPr="001F6527">
        <w:rPr>
          <w:rFonts w:ascii="Segoe UI" w:hAnsi="Segoe UI" w:cs="Segoe UI"/>
          <w:sz w:val="22"/>
          <w:szCs w:val="22"/>
        </w:rPr>
        <w:t xml:space="preserve"> adottato </w:t>
      </w:r>
      <w:r w:rsidRPr="00E30166">
        <w:rPr>
          <w:rFonts w:ascii="Segoe UI" w:hAnsi="Segoe UI" w:cs="Segoe UI"/>
          <w:i/>
          <w:sz w:val="22"/>
          <w:szCs w:val="22"/>
        </w:rPr>
        <w:t>standard</w:t>
      </w:r>
      <w:r w:rsidRPr="001F6527">
        <w:rPr>
          <w:rFonts w:ascii="Segoe UI" w:hAnsi="Segoe UI" w:cs="Segoe UI"/>
          <w:sz w:val="22"/>
          <w:szCs w:val="22"/>
        </w:rPr>
        <w:t xml:space="preserve"> convergenti a livello internazionale, </w:t>
      </w:r>
      <w:r>
        <w:rPr>
          <w:rFonts w:ascii="Segoe UI" w:hAnsi="Segoe UI" w:cs="Segoe UI"/>
          <w:sz w:val="22"/>
          <w:szCs w:val="22"/>
        </w:rPr>
        <w:t>potrebbe risultare funzionale,</w:t>
      </w:r>
      <w:r w:rsidRPr="001F6527">
        <w:rPr>
          <w:rFonts w:ascii="Segoe UI" w:hAnsi="Segoe UI" w:cs="Segoe UI"/>
          <w:sz w:val="22"/>
          <w:szCs w:val="22"/>
        </w:rPr>
        <w:t xml:space="preserve"> anche per l’informativa non finanziaria, che principi e metodologie di rendicontazione converg</w:t>
      </w:r>
      <w:r>
        <w:rPr>
          <w:rFonts w:ascii="Segoe UI" w:hAnsi="Segoe UI" w:cs="Segoe UI"/>
          <w:sz w:val="22"/>
          <w:szCs w:val="22"/>
        </w:rPr>
        <w:t xml:space="preserve">ano </w:t>
      </w:r>
      <w:r w:rsidRPr="001F6527">
        <w:rPr>
          <w:rFonts w:ascii="Segoe UI" w:hAnsi="Segoe UI" w:cs="Segoe UI"/>
          <w:sz w:val="22"/>
          <w:szCs w:val="22"/>
        </w:rPr>
        <w:t>in linee guida e strumenti uniformi o quantomeno calibrati in funzione di variabili settoriali e dimensionali.</w:t>
      </w:r>
    </w:p>
    <w:p w14:paraId="1E0890EA" w14:textId="77777777" w:rsidR="000E7CF1" w:rsidRDefault="000E7CF1" w:rsidP="00B25723">
      <w:pPr>
        <w:pStyle w:val="NormaleWeb"/>
        <w:tabs>
          <w:tab w:val="left" w:pos="567"/>
        </w:tabs>
        <w:spacing w:before="120" w:beforeAutospacing="0" w:after="120" w:afterAutospacing="0"/>
        <w:jc w:val="both"/>
        <w:rPr>
          <w:rFonts w:ascii="Segoe UI" w:hAnsi="Segoe UI" w:cs="Segoe UI"/>
          <w:sz w:val="22"/>
          <w:szCs w:val="22"/>
        </w:rPr>
      </w:pPr>
    </w:p>
    <w:p w14:paraId="257B15AE" w14:textId="77777777" w:rsidR="00C349C8" w:rsidRDefault="00C349C8" w:rsidP="002B0DD2">
      <w:pPr>
        <w:keepNext/>
        <w:keepLines/>
        <w:tabs>
          <w:tab w:val="left" w:pos="567"/>
        </w:tabs>
        <w:spacing w:before="1080" w:after="1080" w:line="240" w:lineRule="auto"/>
        <w:outlineLvl w:val="0"/>
        <w:rPr>
          <w:rFonts w:ascii="Segoe UI" w:eastAsiaTheme="minorHAnsi" w:hAnsi="Segoe UI" w:cs="Segoe UI"/>
          <w:sz w:val="32"/>
          <w:szCs w:val="32"/>
        </w:rPr>
        <w:sectPr w:rsidR="00C349C8" w:rsidSect="00A827A2">
          <w:pgSz w:w="11906" w:h="16838" w:code="9"/>
          <w:pgMar w:top="1985" w:right="1134" w:bottom="1134" w:left="1134" w:header="709" w:footer="709" w:gutter="0"/>
          <w:cols w:space="708"/>
          <w:docGrid w:linePitch="360"/>
        </w:sectPr>
      </w:pPr>
    </w:p>
    <w:p w14:paraId="055AAB7D" w14:textId="77777777" w:rsidR="00FB7D69" w:rsidRPr="00A827A2" w:rsidRDefault="00FB7D69" w:rsidP="00FB7D69">
      <w:pPr>
        <w:keepNext/>
        <w:keepLines/>
        <w:tabs>
          <w:tab w:val="left" w:pos="0"/>
        </w:tabs>
        <w:autoSpaceDE w:val="0"/>
        <w:autoSpaceDN w:val="0"/>
        <w:adjustRightInd w:val="0"/>
        <w:spacing w:before="120" w:after="120" w:line="240" w:lineRule="auto"/>
        <w:outlineLvl w:val="0"/>
        <w:rPr>
          <w:rFonts w:ascii="Segoe UI" w:hAnsi="Segoe UI" w:cs="Segoe UI"/>
          <w:smallCaps/>
        </w:rPr>
      </w:pPr>
      <w:bookmarkStart w:id="38" w:name="_Toc489728469"/>
      <w:bookmarkStart w:id="39" w:name="_Toc499810526"/>
      <w:bookmarkStart w:id="40" w:name="_Toc500778478"/>
      <w:bookmarkStart w:id="41" w:name="_Toc500778659"/>
      <w:bookmarkStart w:id="42" w:name="_Toc507973967"/>
      <w:bookmarkStart w:id="43" w:name="_Toc456618332"/>
      <w:r w:rsidRPr="00A827A2">
        <w:rPr>
          <w:rFonts w:ascii="Segoe UI" w:hAnsi="Segoe UI" w:cs="Segoe UI"/>
          <w:smallCaps/>
        </w:rPr>
        <w:t>Appendice</w:t>
      </w:r>
      <w:bookmarkEnd w:id="38"/>
      <w:bookmarkEnd w:id="39"/>
      <w:bookmarkEnd w:id="40"/>
      <w:bookmarkEnd w:id="41"/>
      <w:bookmarkEnd w:id="42"/>
    </w:p>
    <w:p w14:paraId="4DA3A5D4" w14:textId="77777777" w:rsidR="00CF23A4" w:rsidRPr="00DE13D5" w:rsidRDefault="00CF23A4" w:rsidP="00FB7D69">
      <w:pPr>
        <w:keepNext/>
        <w:keepLines/>
        <w:tabs>
          <w:tab w:val="left" w:pos="0"/>
        </w:tabs>
        <w:autoSpaceDE w:val="0"/>
        <w:autoSpaceDN w:val="0"/>
        <w:adjustRightInd w:val="0"/>
        <w:spacing w:before="120" w:after="120" w:line="240" w:lineRule="auto"/>
        <w:outlineLvl w:val="0"/>
        <w:rPr>
          <w:rFonts w:ascii="Segoe UI" w:hAnsi="Segoe UI" w:cs="Segoe UI"/>
        </w:rPr>
      </w:pPr>
    </w:p>
    <w:p w14:paraId="573527F7" w14:textId="77777777" w:rsidR="00FB7D69" w:rsidRPr="00DE13D5" w:rsidRDefault="00FB7D69" w:rsidP="00FB7D69">
      <w:pPr>
        <w:pStyle w:val="NormaleWeb"/>
        <w:keepNext/>
        <w:keepLines/>
        <w:tabs>
          <w:tab w:val="left" w:pos="0"/>
        </w:tabs>
        <w:spacing w:before="120" w:beforeAutospacing="0" w:after="120" w:afterAutospacing="0"/>
        <w:jc w:val="both"/>
        <w:outlineLvl w:val="0"/>
        <w:rPr>
          <w:rFonts w:ascii="Segoe UI" w:hAnsi="Segoe UI" w:cs="Segoe UI"/>
          <w:sz w:val="22"/>
          <w:szCs w:val="22"/>
        </w:rPr>
      </w:pPr>
      <w:bookmarkStart w:id="44" w:name="_Toc489728470"/>
      <w:bookmarkStart w:id="45" w:name="_Toc499810527"/>
      <w:bookmarkStart w:id="46" w:name="_Toc500778479"/>
      <w:bookmarkStart w:id="47" w:name="_Toc500778660"/>
      <w:bookmarkStart w:id="48" w:name="_Toc507973968"/>
      <w:r>
        <w:rPr>
          <w:rFonts w:ascii="Segoe UI" w:hAnsi="Segoe UI" w:cs="Segoe UI"/>
          <w:sz w:val="22"/>
          <w:szCs w:val="22"/>
        </w:rPr>
        <w:t>Riferimenti normativi</w:t>
      </w:r>
      <w:bookmarkEnd w:id="44"/>
      <w:bookmarkEnd w:id="45"/>
      <w:bookmarkEnd w:id="46"/>
      <w:bookmarkEnd w:id="47"/>
      <w:bookmarkEnd w:id="48"/>
    </w:p>
    <w:p w14:paraId="2D4B201A" w14:textId="77777777" w:rsidR="00FB7D69" w:rsidRDefault="00FB7D69" w:rsidP="00FB7D69">
      <w:pPr>
        <w:pStyle w:val="NormaleWeb"/>
        <w:keepNext/>
        <w:keepLines/>
        <w:tabs>
          <w:tab w:val="left" w:pos="0"/>
        </w:tabs>
        <w:spacing w:before="120" w:beforeAutospacing="0" w:after="120" w:afterAutospacing="0"/>
        <w:jc w:val="both"/>
        <w:rPr>
          <w:rFonts w:ascii="Segoe UI" w:hAnsi="Segoe UI" w:cs="Segoe UI"/>
          <w:i/>
          <w:sz w:val="18"/>
          <w:szCs w:val="18"/>
        </w:rPr>
      </w:pPr>
      <w:r w:rsidRPr="00416A60">
        <w:rPr>
          <w:rFonts w:ascii="Segoe UI" w:hAnsi="Segoe UI" w:cs="Segoe UI"/>
          <w:i/>
          <w:sz w:val="18"/>
          <w:szCs w:val="18"/>
        </w:rPr>
        <w:t>(in ordine cronologico decrescente)</w:t>
      </w:r>
    </w:p>
    <w:p w14:paraId="4E4C0735" w14:textId="77777777" w:rsidR="00FB7D69" w:rsidRPr="00FB7D69" w:rsidRDefault="00FB7D69" w:rsidP="00FB7D69">
      <w:pPr>
        <w:pStyle w:val="NormaleWeb"/>
        <w:keepNext/>
        <w:keepLines/>
        <w:tabs>
          <w:tab w:val="left" w:pos="284"/>
        </w:tabs>
        <w:spacing w:before="120" w:beforeAutospacing="0" w:after="120" w:afterAutospacing="0"/>
        <w:ind w:left="284" w:hanging="284"/>
        <w:jc w:val="both"/>
        <w:rPr>
          <w:rFonts w:ascii="Segoe UI" w:hAnsi="Segoe UI" w:cs="Segoe UI"/>
          <w:i/>
          <w:sz w:val="18"/>
          <w:szCs w:val="18"/>
        </w:rPr>
      </w:pPr>
    </w:p>
    <w:p w14:paraId="24E0E7D2" w14:textId="77777777" w:rsidR="004B4A88" w:rsidRPr="00771C4F" w:rsidRDefault="004B4A88" w:rsidP="00252BDF">
      <w:pPr>
        <w:pStyle w:val="Default"/>
        <w:numPr>
          <w:ilvl w:val="0"/>
          <w:numId w:val="1"/>
        </w:numPr>
        <w:tabs>
          <w:tab w:val="left" w:pos="284"/>
        </w:tabs>
        <w:spacing w:before="120" w:after="120"/>
        <w:ind w:left="284" w:hanging="284"/>
        <w:jc w:val="both"/>
        <w:rPr>
          <w:rFonts w:ascii="Segoe UI" w:eastAsia="Times New Roman" w:hAnsi="Segoe UI" w:cs="Segoe UI"/>
          <w:bCs/>
          <w:i/>
          <w:iCs/>
          <w:color w:val="auto"/>
          <w:sz w:val="18"/>
          <w:szCs w:val="18"/>
          <w:lang w:eastAsia="it-IT"/>
        </w:rPr>
      </w:pPr>
      <w:r>
        <w:rPr>
          <w:rFonts w:ascii="Segoe UI" w:eastAsia="Times New Roman" w:hAnsi="Segoe UI" w:cs="Segoe UI"/>
          <w:bCs/>
          <w:iCs/>
          <w:color w:val="auto"/>
          <w:sz w:val="18"/>
          <w:szCs w:val="18"/>
          <w:lang w:eastAsia="it-IT"/>
        </w:rPr>
        <w:t xml:space="preserve">Consob, </w:t>
      </w:r>
      <w:r w:rsidRPr="00771C4F">
        <w:rPr>
          <w:rFonts w:ascii="Segoe UI" w:eastAsia="Times New Roman" w:hAnsi="Segoe UI" w:cs="Segoe UI"/>
          <w:bCs/>
          <w:i/>
          <w:iCs/>
          <w:color w:val="auto"/>
          <w:sz w:val="18"/>
          <w:szCs w:val="18"/>
          <w:lang w:eastAsia="it-IT"/>
        </w:rPr>
        <w:t>Regolamento di attuazione d.lgs. 30 dicembre 2016, n. 254, relativo alla comunicazione di informazioni di carattere non finanziario</w:t>
      </w:r>
      <w:r>
        <w:rPr>
          <w:rFonts w:ascii="Segoe UI" w:eastAsia="Times New Roman" w:hAnsi="Segoe UI" w:cs="Segoe UI"/>
          <w:bCs/>
          <w:iCs/>
          <w:color w:val="auto"/>
          <w:sz w:val="18"/>
          <w:szCs w:val="18"/>
          <w:lang w:eastAsia="it-IT"/>
        </w:rPr>
        <w:t xml:space="preserve"> (pubblicato nella Gazzetta Ufficiale della Repubblica italiana n. 21 del 26 gennaio 2018).</w:t>
      </w:r>
    </w:p>
    <w:p w14:paraId="30BE838C" w14:textId="2AA6B82F" w:rsidR="00FB7D69" w:rsidRPr="00947A08" w:rsidRDefault="00FB7D69" w:rsidP="00252BDF">
      <w:pPr>
        <w:pStyle w:val="Default"/>
        <w:numPr>
          <w:ilvl w:val="0"/>
          <w:numId w:val="1"/>
        </w:numPr>
        <w:tabs>
          <w:tab w:val="left" w:pos="284"/>
        </w:tabs>
        <w:spacing w:before="120" w:after="120"/>
        <w:ind w:left="284" w:hanging="284"/>
        <w:jc w:val="both"/>
        <w:rPr>
          <w:rFonts w:ascii="Segoe UI" w:eastAsia="Times New Roman" w:hAnsi="Segoe UI" w:cs="Segoe UI"/>
          <w:bCs/>
          <w:i/>
          <w:iCs/>
          <w:color w:val="auto"/>
          <w:sz w:val="18"/>
          <w:szCs w:val="18"/>
          <w:lang w:eastAsia="it-IT"/>
        </w:rPr>
      </w:pPr>
      <w:r w:rsidRPr="00FB7D69">
        <w:rPr>
          <w:rFonts w:ascii="Segoe UI" w:eastAsia="Times New Roman" w:hAnsi="Segoe UI" w:cs="Segoe UI"/>
          <w:bCs/>
          <w:color w:val="auto"/>
          <w:sz w:val="18"/>
          <w:szCs w:val="18"/>
          <w:lang w:eastAsia="it-IT"/>
        </w:rPr>
        <w:t>Consob, Regolamento</w:t>
      </w:r>
      <w:r w:rsidR="005C3B40">
        <w:rPr>
          <w:rFonts w:ascii="Segoe UI" w:eastAsia="Times New Roman" w:hAnsi="Segoe UI" w:cs="Segoe UI"/>
          <w:bCs/>
          <w:color w:val="auto"/>
          <w:sz w:val="18"/>
          <w:szCs w:val="18"/>
          <w:lang w:eastAsia="it-IT"/>
        </w:rPr>
        <w:t xml:space="preserve">, </w:t>
      </w:r>
      <w:r w:rsidRPr="005C3B40">
        <w:rPr>
          <w:rFonts w:ascii="Segoe UI" w:eastAsia="Times New Roman" w:hAnsi="Segoe UI" w:cs="Segoe UI"/>
          <w:bCs/>
          <w:i/>
          <w:color w:val="auto"/>
          <w:sz w:val="18"/>
          <w:szCs w:val="18"/>
          <w:lang w:eastAsia="it-IT"/>
        </w:rPr>
        <w:t>Disposizioni attuative del decreto legislativo 30 dicembre 2016, n. 254 relativo alla comunicazione di informazioni di carattere non finanziario</w:t>
      </w:r>
      <w:r w:rsidRPr="00FB7D69">
        <w:rPr>
          <w:rFonts w:ascii="Segoe UI" w:eastAsia="Times New Roman" w:hAnsi="Segoe UI" w:cs="Segoe UI"/>
          <w:bCs/>
          <w:color w:val="auto"/>
          <w:sz w:val="18"/>
          <w:szCs w:val="18"/>
          <w:lang w:eastAsia="it-IT"/>
        </w:rPr>
        <w:t xml:space="preserve">, documento </w:t>
      </w:r>
      <w:r w:rsidR="009D27F5">
        <w:rPr>
          <w:rFonts w:ascii="Segoe UI" w:eastAsia="Times New Roman" w:hAnsi="Segoe UI" w:cs="Segoe UI"/>
          <w:bCs/>
          <w:color w:val="auto"/>
          <w:sz w:val="18"/>
          <w:szCs w:val="18"/>
          <w:lang w:eastAsia="it-IT"/>
        </w:rPr>
        <w:t>di</w:t>
      </w:r>
      <w:r w:rsidRPr="00FB7D69">
        <w:rPr>
          <w:rFonts w:ascii="Segoe UI" w:eastAsia="Times New Roman" w:hAnsi="Segoe UI" w:cs="Segoe UI"/>
          <w:bCs/>
          <w:color w:val="auto"/>
          <w:sz w:val="18"/>
          <w:szCs w:val="18"/>
          <w:lang w:eastAsia="it-IT"/>
        </w:rPr>
        <w:t xml:space="preserve"> consultazione del 21 luglio 2017.</w:t>
      </w:r>
    </w:p>
    <w:p w14:paraId="795E1D20" w14:textId="77777777" w:rsidR="00FB7D69" w:rsidRPr="00FB7D69" w:rsidRDefault="00FB7D69" w:rsidP="00252BDF">
      <w:pPr>
        <w:pStyle w:val="Paragrafoelenco"/>
        <w:numPr>
          <w:ilvl w:val="0"/>
          <w:numId w:val="1"/>
        </w:numPr>
        <w:tabs>
          <w:tab w:val="left" w:pos="284"/>
          <w:tab w:val="left" w:pos="426"/>
        </w:tabs>
        <w:spacing w:before="120" w:after="120" w:line="240" w:lineRule="auto"/>
        <w:ind w:left="284" w:hanging="284"/>
        <w:contextualSpacing w:val="0"/>
        <w:jc w:val="both"/>
        <w:rPr>
          <w:rFonts w:ascii="Segoe UI" w:hAnsi="Segoe UI" w:cs="Segoe UI"/>
          <w:sz w:val="18"/>
          <w:szCs w:val="18"/>
        </w:rPr>
      </w:pPr>
      <w:r w:rsidRPr="00FB7D69">
        <w:rPr>
          <w:rFonts w:ascii="Segoe UI" w:hAnsi="Segoe UI" w:cs="Segoe UI"/>
          <w:sz w:val="18"/>
          <w:szCs w:val="18"/>
        </w:rPr>
        <w:t xml:space="preserve">Decreto legislativo 30 dicembre 2016, n. 254, </w:t>
      </w:r>
      <w:r w:rsidRPr="00FB7D69">
        <w:rPr>
          <w:rFonts w:ascii="Segoe UI" w:hAnsi="Segoe UI" w:cs="Segoe UI"/>
          <w:i/>
          <w:sz w:val="18"/>
          <w:szCs w:val="18"/>
        </w:rPr>
        <w:t>Attuazione della direttiva 2014/95/UE del Parlamento europeo e del Consiglio del 22 ottobre 2014, recante modifica alla direttiva 2013/34/UE per quanto riguarda la comunicazione di informazioni di carattere non finanziario e di informazioni sulla diversità da parte di talune imprese e di taluni gruppi di grandi dimensioni</w:t>
      </w:r>
      <w:r w:rsidRPr="00FB7D69">
        <w:rPr>
          <w:rFonts w:ascii="Segoe UI" w:hAnsi="Segoe UI" w:cs="Segoe UI"/>
          <w:sz w:val="18"/>
          <w:szCs w:val="18"/>
        </w:rPr>
        <w:t>.</w:t>
      </w:r>
    </w:p>
    <w:p w14:paraId="2827E640" w14:textId="77777777" w:rsidR="00FB7D69" w:rsidRPr="00FB7D69" w:rsidRDefault="00FB7D69" w:rsidP="00252BDF">
      <w:pPr>
        <w:pStyle w:val="Paragrafoelenco"/>
        <w:numPr>
          <w:ilvl w:val="0"/>
          <w:numId w:val="1"/>
        </w:numPr>
        <w:tabs>
          <w:tab w:val="left" w:pos="284"/>
          <w:tab w:val="left" w:pos="426"/>
        </w:tabs>
        <w:spacing w:before="120" w:after="120" w:line="240" w:lineRule="auto"/>
        <w:ind w:left="284" w:hanging="284"/>
        <w:contextualSpacing w:val="0"/>
        <w:jc w:val="both"/>
        <w:rPr>
          <w:rFonts w:ascii="Segoe UI" w:hAnsi="Segoe UI" w:cs="Segoe UI"/>
          <w:sz w:val="18"/>
          <w:szCs w:val="18"/>
        </w:rPr>
      </w:pPr>
      <w:r w:rsidRPr="00FB7D69">
        <w:rPr>
          <w:rFonts w:ascii="Segoe UI" w:hAnsi="Segoe UI" w:cs="Segoe UI"/>
          <w:sz w:val="18"/>
          <w:szCs w:val="18"/>
        </w:rPr>
        <w:t>Decreto legislativo 17 luglio 2016, n. 135,</w:t>
      </w:r>
      <w:r w:rsidRPr="00FB7D69">
        <w:rPr>
          <w:rFonts w:ascii="Segoe UI" w:hAnsi="Segoe UI" w:cs="Segoe UI"/>
          <w:i/>
          <w:sz w:val="18"/>
          <w:szCs w:val="18"/>
        </w:rPr>
        <w:t xml:space="preserve"> Attuazione della direttiva 2014/56/UE che modifica la direttiva 2006/43/CE concernente la revisione legale dei conti annuali e dei conti consolidati</w:t>
      </w:r>
      <w:r w:rsidRPr="00FB7D69">
        <w:rPr>
          <w:rFonts w:ascii="Segoe UI" w:hAnsi="Segoe UI" w:cs="Segoe UI"/>
          <w:sz w:val="18"/>
          <w:szCs w:val="18"/>
        </w:rPr>
        <w:t>.</w:t>
      </w:r>
    </w:p>
    <w:p w14:paraId="1DB8E325" w14:textId="77777777" w:rsidR="00FB7D69" w:rsidRPr="00FB7D69" w:rsidRDefault="00FB7D69" w:rsidP="00252BDF">
      <w:pPr>
        <w:pStyle w:val="Paragrafoelenco"/>
        <w:numPr>
          <w:ilvl w:val="0"/>
          <w:numId w:val="1"/>
        </w:numPr>
        <w:tabs>
          <w:tab w:val="left" w:pos="284"/>
          <w:tab w:val="left" w:pos="426"/>
        </w:tabs>
        <w:spacing w:before="120" w:after="120" w:line="240" w:lineRule="auto"/>
        <w:ind w:left="284" w:hanging="284"/>
        <w:contextualSpacing w:val="0"/>
        <w:jc w:val="both"/>
        <w:rPr>
          <w:rFonts w:ascii="Segoe UI" w:hAnsi="Segoe UI" w:cs="Segoe UI"/>
          <w:sz w:val="18"/>
          <w:szCs w:val="18"/>
        </w:rPr>
      </w:pPr>
      <w:r w:rsidRPr="00FB7D69">
        <w:rPr>
          <w:rFonts w:ascii="Segoe UI" w:hAnsi="Segoe UI" w:cs="Segoe UI"/>
          <w:sz w:val="18"/>
          <w:szCs w:val="18"/>
        </w:rPr>
        <w:t xml:space="preserve">Decreto legislativo 18 agosto 2015, n. 139, </w:t>
      </w:r>
      <w:r w:rsidRPr="00FB7D69">
        <w:rPr>
          <w:rFonts w:ascii="Segoe UI" w:hAnsi="Segoe UI" w:cs="Segoe UI"/>
          <w:i/>
          <w:sz w:val="18"/>
          <w:szCs w:val="18"/>
        </w:rPr>
        <w:t>Attuazione della direttiva 2013/34/UE relativa ai bilanci d'esercizio, ai bilanci consolidati e alle relative relazioni di talune tipologie di imprese, recante modifica della direttiva 2006/43/CE e abrogazione delle direttive 78/660/CEE e 83/349/CEE, per la parte relativa alla disciplina del bilancio di esercizio e di quello consolidato per le società di capitali e gli altri soggetti individuati dalla legge</w:t>
      </w:r>
      <w:r w:rsidRPr="00FB7D69">
        <w:rPr>
          <w:rFonts w:ascii="Segoe UI" w:hAnsi="Segoe UI" w:cs="Segoe UI"/>
          <w:sz w:val="18"/>
          <w:szCs w:val="18"/>
        </w:rPr>
        <w:t>.</w:t>
      </w:r>
    </w:p>
    <w:p w14:paraId="58EEB744" w14:textId="77777777" w:rsidR="00FB7D69" w:rsidRPr="00FB7D69" w:rsidRDefault="00FB7D69" w:rsidP="00252BDF">
      <w:pPr>
        <w:pStyle w:val="Paragrafoelenco"/>
        <w:numPr>
          <w:ilvl w:val="0"/>
          <w:numId w:val="1"/>
        </w:numPr>
        <w:tabs>
          <w:tab w:val="left" w:pos="284"/>
          <w:tab w:val="left" w:pos="426"/>
        </w:tabs>
        <w:spacing w:before="120" w:after="120" w:line="240" w:lineRule="auto"/>
        <w:ind w:left="284" w:hanging="284"/>
        <w:contextualSpacing w:val="0"/>
        <w:jc w:val="both"/>
        <w:rPr>
          <w:rFonts w:ascii="Segoe UI" w:hAnsi="Segoe UI" w:cs="Segoe UI"/>
          <w:sz w:val="18"/>
          <w:szCs w:val="18"/>
        </w:rPr>
      </w:pPr>
      <w:r w:rsidRPr="00FB7D69">
        <w:rPr>
          <w:rFonts w:ascii="Segoe UI" w:hAnsi="Segoe UI" w:cs="Segoe UI"/>
          <w:sz w:val="18"/>
          <w:szCs w:val="18"/>
        </w:rPr>
        <w:t xml:space="preserve">Direttiva del Parlamento europeo e del Consiglio del 22 ottobre 2014, n. 95, </w:t>
      </w:r>
      <w:r w:rsidRPr="00FB7D69">
        <w:rPr>
          <w:rFonts w:ascii="Segoe UI" w:hAnsi="Segoe UI" w:cs="Segoe UI"/>
          <w:i/>
          <w:sz w:val="18"/>
          <w:szCs w:val="18"/>
        </w:rPr>
        <w:t>recante modifica della direttiva 2013/34/UE per quanto riguarda la comunicazione di informazioni di carattere non finanziario e di informazioni sulla diversità da parte di talune imprese e di taluni gruppi di grandi dimensioni</w:t>
      </w:r>
      <w:r w:rsidRPr="00FB7D69">
        <w:rPr>
          <w:rFonts w:ascii="Segoe UI" w:hAnsi="Segoe UI" w:cs="Segoe UI"/>
          <w:sz w:val="18"/>
          <w:szCs w:val="18"/>
        </w:rPr>
        <w:t>.</w:t>
      </w:r>
    </w:p>
    <w:p w14:paraId="58F987B7" w14:textId="77777777" w:rsidR="00FB7D69" w:rsidRPr="00FB7D69" w:rsidRDefault="00FB7D69" w:rsidP="00252BDF">
      <w:pPr>
        <w:pStyle w:val="Paragrafoelenco"/>
        <w:numPr>
          <w:ilvl w:val="0"/>
          <w:numId w:val="1"/>
        </w:numPr>
        <w:tabs>
          <w:tab w:val="left" w:pos="284"/>
          <w:tab w:val="left" w:pos="426"/>
        </w:tabs>
        <w:spacing w:before="120" w:after="120" w:line="240" w:lineRule="auto"/>
        <w:ind w:left="284" w:hanging="284"/>
        <w:contextualSpacing w:val="0"/>
        <w:jc w:val="both"/>
        <w:rPr>
          <w:rFonts w:ascii="Segoe UI" w:hAnsi="Segoe UI" w:cs="Segoe UI"/>
          <w:sz w:val="18"/>
          <w:szCs w:val="18"/>
        </w:rPr>
      </w:pPr>
      <w:r w:rsidRPr="00FB7D69">
        <w:rPr>
          <w:rFonts w:ascii="Segoe UI" w:hAnsi="Segoe UI" w:cs="Segoe UI"/>
          <w:sz w:val="18"/>
          <w:szCs w:val="18"/>
        </w:rPr>
        <w:t xml:space="preserve">Direttiva del Parlamento europeo e del Consiglio, del 26 giugno 2013, n. 34, </w:t>
      </w:r>
      <w:r w:rsidRPr="00FB7D69">
        <w:rPr>
          <w:rFonts w:ascii="Segoe UI" w:hAnsi="Segoe UI" w:cs="Segoe UI"/>
          <w:i/>
          <w:sz w:val="18"/>
          <w:szCs w:val="18"/>
        </w:rPr>
        <w:t>relativa ai bilanci d’esercizio, ai bilanci consolidati e alle relative relazioni di talune tipologie di imprese, recante modifica della direttiva 2006/43/CE del Parlamento europeo e del Consiglio e abrogazione delle direttive 78/660/CEE e 83/349/CEE del Consiglio</w:t>
      </w:r>
      <w:r w:rsidRPr="00FB7D69">
        <w:rPr>
          <w:rFonts w:ascii="Segoe UI" w:hAnsi="Segoe UI" w:cs="Segoe UI"/>
          <w:sz w:val="18"/>
          <w:szCs w:val="18"/>
        </w:rPr>
        <w:t>.</w:t>
      </w:r>
    </w:p>
    <w:p w14:paraId="0EDC5887" w14:textId="77777777" w:rsidR="00FB7D69" w:rsidRPr="00FB7D69" w:rsidRDefault="00FB7D69" w:rsidP="00252BDF">
      <w:pPr>
        <w:pStyle w:val="Paragrafoelenco"/>
        <w:numPr>
          <w:ilvl w:val="0"/>
          <w:numId w:val="1"/>
        </w:numPr>
        <w:tabs>
          <w:tab w:val="left" w:pos="284"/>
          <w:tab w:val="left" w:pos="426"/>
        </w:tabs>
        <w:spacing w:before="120" w:after="120" w:line="240" w:lineRule="auto"/>
        <w:ind w:left="284" w:hanging="284"/>
        <w:contextualSpacing w:val="0"/>
        <w:jc w:val="both"/>
        <w:rPr>
          <w:rFonts w:ascii="Segoe UI" w:hAnsi="Segoe UI" w:cs="Segoe UI"/>
          <w:sz w:val="18"/>
          <w:szCs w:val="18"/>
        </w:rPr>
      </w:pPr>
      <w:r w:rsidRPr="00FB7D69">
        <w:rPr>
          <w:rFonts w:ascii="Segoe UI" w:hAnsi="Segoe UI" w:cs="Segoe UI"/>
          <w:sz w:val="18"/>
          <w:szCs w:val="18"/>
        </w:rPr>
        <w:t xml:space="preserve">Decreto legislativo 27 gennaio 2010, n. 39, </w:t>
      </w:r>
      <w:r w:rsidRPr="00FB7D69">
        <w:rPr>
          <w:rFonts w:ascii="Segoe UI" w:hAnsi="Segoe UI" w:cs="Segoe UI"/>
          <w:i/>
          <w:sz w:val="18"/>
          <w:szCs w:val="18"/>
        </w:rPr>
        <w:t>Attuazione della direttiva 2006/43/CE, relativa alle revisioni legali dei conti annuali e dei conti consolidati, che modifica le direttive 78/660/CEE e 83/349/CEE, e che abroga la direttiva 84/253/CEE</w:t>
      </w:r>
      <w:r w:rsidRPr="00FB7D69">
        <w:rPr>
          <w:rFonts w:ascii="Segoe UI" w:hAnsi="Segoe UI" w:cs="Segoe UI"/>
          <w:sz w:val="18"/>
          <w:szCs w:val="18"/>
        </w:rPr>
        <w:t>.</w:t>
      </w:r>
    </w:p>
    <w:p w14:paraId="363CFE0C" w14:textId="77777777" w:rsidR="00FB7D69" w:rsidRPr="00FB7D69" w:rsidRDefault="00FB7D69" w:rsidP="00252BDF">
      <w:pPr>
        <w:pStyle w:val="Paragrafoelenco"/>
        <w:numPr>
          <w:ilvl w:val="0"/>
          <w:numId w:val="1"/>
        </w:numPr>
        <w:tabs>
          <w:tab w:val="left" w:pos="284"/>
          <w:tab w:val="left" w:pos="426"/>
        </w:tabs>
        <w:spacing w:before="120" w:after="120" w:line="240" w:lineRule="auto"/>
        <w:ind w:left="284" w:hanging="284"/>
        <w:contextualSpacing w:val="0"/>
        <w:jc w:val="both"/>
        <w:rPr>
          <w:rFonts w:ascii="Segoe UI" w:hAnsi="Segoe UI" w:cs="Segoe UI"/>
          <w:sz w:val="18"/>
          <w:szCs w:val="18"/>
        </w:rPr>
      </w:pPr>
      <w:r w:rsidRPr="00FB7D69">
        <w:rPr>
          <w:rFonts w:ascii="Segoe UI" w:hAnsi="Segoe UI" w:cs="Segoe UI"/>
          <w:sz w:val="18"/>
          <w:szCs w:val="18"/>
        </w:rPr>
        <w:t xml:space="preserve">Decreto legislativo 2 febbraio 2007, n. 32, </w:t>
      </w:r>
      <w:r w:rsidRPr="00FB7D69">
        <w:rPr>
          <w:rFonts w:ascii="Segoe UI" w:hAnsi="Segoe UI" w:cs="Segoe UI"/>
          <w:i/>
          <w:sz w:val="18"/>
          <w:szCs w:val="18"/>
        </w:rPr>
        <w:t>Attuazione della direttiva 2003/51/CE che modifica le direttive 78/660, 83/349, 86/635 e 91/674/CEE relative ai conti annuali e ai conti consolidati di taluni tipi di società, delle banche e altri istituti finanziari e delle imprese di assicurazione</w:t>
      </w:r>
      <w:r w:rsidRPr="00FB7D69">
        <w:rPr>
          <w:rFonts w:ascii="Segoe UI" w:hAnsi="Segoe UI" w:cs="Segoe UI"/>
          <w:sz w:val="18"/>
          <w:szCs w:val="18"/>
        </w:rPr>
        <w:t>.</w:t>
      </w:r>
    </w:p>
    <w:p w14:paraId="5CEAE561" w14:textId="77777777" w:rsidR="00FB7D69" w:rsidRPr="00DE13D5" w:rsidRDefault="00FB7D69" w:rsidP="00FB7D69">
      <w:pPr>
        <w:pStyle w:val="Paragrafoelenco"/>
        <w:tabs>
          <w:tab w:val="left" w:pos="0"/>
          <w:tab w:val="left" w:pos="284"/>
          <w:tab w:val="left" w:pos="709"/>
        </w:tabs>
        <w:autoSpaceDE w:val="0"/>
        <w:autoSpaceDN w:val="0"/>
        <w:adjustRightInd w:val="0"/>
        <w:spacing w:before="120" w:after="120" w:line="240" w:lineRule="auto"/>
        <w:ind w:left="0"/>
        <w:contextualSpacing w:val="0"/>
        <w:jc w:val="both"/>
        <w:rPr>
          <w:rFonts w:ascii="Segoe UI" w:hAnsi="Segoe UI" w:cs="Segoe UI"/>
          <w:sz w:val="18"/>
          <w:szCs w:val="18"/>
        </w:rPr>
      </w:pPr>
    </w:p>
    <w:p w14:paraId="3A6E9DF8" w14:textId="77777777" w:rsidR="00FB7D69" w:rsidRPr="00DE13D5" w:rsidRDefault="00FB7D69" w:rsidP="00FB7D69">
      <w:pPr>
        <w:tabs>
          <w:tab w:val="left" w:pos="0"/>
          <w:tab w:val="left" w:pos="284"/>
        </w:tabs>
        <w:autoSpaceDE w:val="0"/>
        <w:autoSpaceDN w:val="0"/>
        <w:adjustRightInd w:val="0"/>
        <w:spacing w:before="120" w:after="120" w:line="240" w:lineRule="auto"/>
        <w:rPr>
          <w:rFonts w:ascii="Segoe UI" w:hAnsi="Segoe UI" w:cs="Segoe UI"/>
          <w:sz w:val="18"/>
          <w:szCs w:val="18"/>
        </w:rPr>
        <w:sectPr w:rsidR="00FB7D69" w:rsidRPr="00DE13D5" w:rsidSect="00A827A2">
          <w:pgSz w:w="11906" w:h="16838" w:code="9"/>
          <w:pgMar w:top="1985" w:right="1134" w:bottom="1418" w:left="1134" w:header="709" w:footer="709" w:gutter="0"/>
          <w:cols w:space="709"/>
        </w:sectPr>
      </w:pPr>
    </w:p>
    <w:p w14:paraId="40AF03DE" w14:textId="77777777" w:rsidR="00FB7D69" w:rsidRDefault="00FB7D69" w:rsidP="00CF23A4">
      <w:pPr>
        <w:pStyle w:val="NormaleWeb"/>
        <w:keepNext/>
        <w:keepLines/>
        <w:tabs>
          <w:tab w:val="left" w:pos="0"/>
        </w:tabs>
        <w:spacing w:before="120" w:beforeAutospacing="0" w:after="120" w:afterAutospacing="0"/>
        <w:jc w:val="both"/>
        <w:rPr>
          <w:rFonts w:ascii="Segoe UI" w:hAnsi="Segoe UI" w:cs="Segoe UI"/>
          <w:sz w:val="22"/>
          <w:szCs w:val="22"/>
        </w:rPr>
      </w:pPr>
    </w:p>
    <w:p w14:paraId="15342E26" w14:textId="77777777" w:rsidR="00FB7D69" w:rsidRDefault="00FB7D69" w:rsidP="00CF23A4">
      <w:pPr>
        <w:pStyle w:val="NormaleWeb"/>
        <w:keepNext/>
        <w:keepLines/>
        <w:tabs>
          <w:tab w:val="left" w:pos="0"/>
        </w:tabs>
        <w:spacing w:before="120" w:beforeAutospacing="0" w:after="120" w:afterAutospacing="0"/>
        <w:jc w:val="both"/>
        <w:rPr>
          <w:rFonts w:ascii="Segoe UI" w:hAnsi="Segoe UI" w:cs="Segoe UI"/>
          <w:sz w:val="22"/>
          <w:szCs w:val="22"/>
        </w:rPr>
      </w:pPr>
    </w:p>
    <w:p w14:paraId="0DDB1AC2" w14:textId="3D3738B5" w:rsidR="00FB7D69" w:rsidRDefault="00FB7D69" w:rsidP="00FB7D69">
      <w:pPr>
        <w:pStyle w:val="NormaleWeb"/>
        <w:keepNext/>
        <w:keepLines/>
        <w:tabs>
          <w:tab w:val="left" w:pos="0"/>
        </w:tabs>
        <w:spacing w:before="120" w:beforeAutospacing="0" w:after="120" w:afterAutospacing="0"/>
        <w:jc w:val="both"/>
        <w:outlineLvl w:val="0"/>
        <w:rPr>
          <w:rFonts w:ascii="Segoe UI" w:hAnsi="Segoe UI" w:cs="Segoe UI"/>
          <w:sz w:val="22"/>
          <w:szCs w:val="22"/>
        </w:rPr>
      </w:pPr>
      <w:bookmarkStart w:id="49" w:name="_Toc499810528"/>
      <w:bookmarkStart w:id="50" w:name="_Toc500778480"/>
      <w:bookmarkStart w:id="51" w:name="_Toc500778661"/>
      <w:bookmarkStart w:id="52" w:name="_Toc507973969"/>
      <w:r w:rsidRPr="00416A60">
        <w:rPr>
          <w:rFonts w:ascii="Segoe UI" w:hAnsi="Segoe UI" w:cs="Segoe UI"/>
          <w:sz w:val="22"/>
          <w:szCs w:val="22"/>
        </w:rPr>
        <w:t xml:space="preserve">Principali documenti tecnici di settore </w:t>
      </w:r>
      <w:r w:rsidR="0075471D">
        <w:rPr>
          <w:rFonts w:ascii="Segoe UI" w:hAnsi="Segoe UI" w:cs="Segoe UI"/>
          <w:sz w:val="22"/>
          <w:szCs w:val="22"/>
        </w:rPr>
        <w:t xml:space="preserve">e </w:t>
      </w:r>
      <w:r w:rsidRPr="00416A60">
        <w:rPr>
          <w:rFonts w:ascii="Segoe UI" w:hAnsi="Segoe UI" w:cs="Segoe UI"/>
          <w:sz w:val="22"/>
          <w:szCs w:val="22"/>
        </w:rPr>
        <w:t>della professione contabile</w:t>
      </w:r>
      <w:bookmarkEnd w:id="49"/>
      <w:bookmarkEnd w:id="50"/>
      <w:bookmarkEnd w:id="51"/>
      <w:bookmarkEnd w:id="52"/>
    </w:p>
    <w:p w14:paraId="299E4BBC" w14:textId="77777777" w:rsidR="00FB7D69" w:rsidRDefault="00FB7D69" w:rsidP="00FB7D69">
      <w:pPr>
        <w:pStyle w:val="NormaleWeb"/>
        <w:keepNext/>
        <w:keepLines/>
        <w:tabs>
          <w:tab w:val="left" w:pos="0"/>
        </w:tabs>
        <w:spacing w:before="120" w:beforeAutospacing="0" w:after="120" w:afterAutospacing="0"/>
        <w:jc w:val="both"/>
        <w:rPr>
          <w:rFonts w:ascii="Segoe UI" w:hAnsi="Segoe UI" w:cs="Segoe UI"/>
          <w:i/>
          <w:sz w:val="18"/>
          <w:szCs w:val="18"/>
        </w:rPr>
      </w:pPr>
      <w:r w:rsidRPr="00416A60">
        <w:rPr>
          <w:rFonts w:ascii="Segoe UI" w:hAnsi="Segoe UI" w:cs="Segoe UI"/>
          <w:i/>
          <w:sz w:val="18"/>
          <w:szCs w:val="18"/>
        </w:rPr>
        <w:t xml:space="preserve">(in ordine </w:t>
      </w:r>
      <w:r>
        <w:rPr>
          <w:rFonts w:ascii="Segoe UI" w:hAnsi="Segoe UI" w:cs="Segoe UI"/>
          <w:i/>
          <w:sz w:val="18"/>
          <w:szCs w:val="18"/>
        </w:rPr>
        <w:t xml:space="preserve">alfabetico del </w:t>
      </w:r>
      <w:r w:rsidRPr="00416A60">
        <w:rPr>
          <w:rFonts w:ascii="Segoe UI" w:hAnsi="Segoe UI" w:cs="Segoe UI"/>
          <w:i/>
          <w:sz w:val="18"/>
          <w:szCs w:val="18"/>
        </w:rPr>
        <w:t xml:space="preserve">soggetto emanante </w:t>
      </w:r>
      <w:r>
        <w:rPr>
          <w:rFonts w:ascii="Segoe UI" w:hAnsi="Segoe UI" w:cs="Segoe UI"/>
          <w:i/>
          <w:sz w:val="18"/>
          <w:szCs w:val="18"/>
        </w:rPr>
        <w:t xml:space="preserve">e </w:t>
      </w:r>
      <w:r w:rsidRPr="00416A60">
        <w:rPr>
          <w:rFonts w:ascii="Segoe UI" w:hAnsi="Segoe UI" w:cs="Segoe UI"/>
          <w:i/>
          <w:sz w:val="18"/>
          <w:szCs w:val="18"/>
        </w:rPr>
        <w:t>cronologico decrescente)</w:t>
      </w:r>
    </w:p>
    <w:p w14:paraId="7B3708E7" w14:textId="77777777" w:rsidR="00FB7D69" w:rsidRPr="00CF23A4" w:rsidRDefault="00FB7D69" w:rsidP="00FB7D69">
      <w:pPr>
        <w:pStyle w:val="NormaleWeb"/>
        <w:keepNext/>
        <w:keepLines/>
        <w:tabs>
          <w:tab w:val="left" w:pos="0"/>
        </w:tabs>
        <w:spacing w:before="120" w:beforeAutospacing="0" w:after="120" w:afterAutospacing="0"/>
        <w:jc w:val="both"/>
        <w:rPr>
          <w:rFonts w:ascii="Segoe UI" w:hAnsi="Segoe UI" w:cs="Segoe UI"/>
          <w:sz w:val="18"/>
          <w:szCs w:val="18"/>
        </w:rPr>
      </w:pPr>
    </w:p>
    <w:p w14:paraId="76FE33DE" w14:textId="675FB41E" w:rsidR="00FB7D69" w:rsidRPr="004077CF" w:rsidRDefault="00FB7D69" w:rsidP="004077CF">
      <w:pPr>
        <w:pStyle w:val="Default"/>
        <w:numPr>
          <w:ilvl w:val="0"/>
          <w:numId w:val="21"/>
        </w:numPr>
        <w:tabs>
          <w:tab w:val="left" w:pos="284"/>
        </w:tabs>
        <w:spacing w:before="120" w:after="120"/>
        <w:ind w:left="284" w:hanging="284"/>
        <w:jc w:val="both"/>
        <w:rPr>
          <w:rFonts w:ascii="Segoe UI" w:hAnsi="Segoe UI" w:cs="Segoe UI"/>
          <w:i/>
          <w:color w:val="auto"/>
          <w:sz w:val="18"/>
          <w:szCs w:val="18"/>
          <w:lang w:val="en-US"/>
        </w:rPr>
      </w:pPr>
      <w:r w:rsidRPr="004077CF">
        <w:rPr>
          <w:rFonts w:ascii="Segoe UI" w:hAnsi="Segoe UI" w:cs="Segoe UI"/>
          <w:color w:val="auto"/>
          <w:sz w:val="18"/>
          <w:szCs w:val="18"/>
          <w:lang w:val="en-US"/>
        </w:rPr>
        <w:t>Accountancy Europe</w:t>
      </w:r>
      <w:r w:rsidR="00683BD5" w:rsidRPr="004077CF">
        <w:rPr>
          <w:rFonts w:ascii="Segoe UI" w:hAnsi="Segoe UI" w:cs="Segoe UI"/>
          <w:color w:val="auto"/>
          <w:sz w:val="18"/>
          <w:szCs w:val="18"/>
          <w:lang w:val="en-US"/>
        </w:rPr>
        <w:t xml:space="preserve"> (già FEE)</w:t>
      </w:r>
      <w:r w:rsidRPr="004077CF">
        <w:rPr>
          <w:rFonts w:ascii="Segoe UI" w:hAnsi="Segoe UI" w:cs="Segoe UI"/>
          <w:color w:val="auto"/>
          <w:sz w:val="18"/>
          <w:szCs w:val="18"/>
          <w:lang w:val="en-US"/>
        </w:rPr>
        <w:t>, “Core &amp; More. An opportunity for smarter corporate reporting”, settembre 2017</w:t>
      </w:r>
      <w:r w:rsidR="002A352A" w:rsidRPr="004077CF">
        <w:rPr>
          <w:rFonts w:ascii="Segoe UI" w:hAnsi="Segoe UI" w:cs="Segoe UI"/>
          <w:color w:val="auto"/>
          <w:sz w:val="18"/>
          <w:szCs w:val="18"/>
          <w:lang w:val="en-US"/>
        </w:rPr>
        <w:t>b</w:t>
      </w:r>
      <w:r w:rsidRPr="004077CF">
        <w:rPr>
          <w:rFonts w:ascii="Segoe UI" w:hAnsi="Segoe UI" w:cs="Segoe UI"/>
          <w:color w:val="auto"/>
          <w:sz w:val="18"/>
          <w:szCs w:val="18"/>
          <w:lang w:val="en-US"/>
        </w:rPr>
        <w:t>.</w:t>
      </w:r>
    </w:p>
    <w:p w14:paraId="1118D273" w14:textId="14EDB237" w:rsidR="00FB7D69" w:rsidRPr="004077CF" w:rsidRDefault="00FB7D69" w:rsidP="004077CF">
      <w:pPr>
        <w:pStyle w:val="Default"/>
        <w:numPr>
          <w:ilvl w:val="0"/>
          <w:numId w:val="21"/>
        </w:numPr>
        <w:tabs>
          <w:tab w:val="left" w:pos="284"/>
        </w:tabs>
        <w:spacing w:before="120" w:after="120"/>
        <w:ind w:left="284" w:hanging="284"/>
        <w:jc w:val="both"/>
        <w:rPr>
          <w:rFonts w:ascii="Segoe UI" w:hAnsi="Segoe UI" w:cs="Segoe UI"/>
          <w:i/>
          <w:color w:val="auto"/>
          <w:sz w:val="18"/>
          <w:szCs w:val="18"/>
          <w:lang w:val="en-US"/>
        </w:rPr>
      </w:pPr>
      <w:r w:rsidRPr="004077CF">
        <w:rPr>
          <w:rFonts w:ascii="Segoe UI" w:hAnsi="Segoe UI" w:cs="Segoe UI"/>
          <w:color w:val="auto"/>
          <w:sz w:val="18"/>
          <w:szCs w:val="18"/>
          <w:lang w:val="en-US"/>
        </w:rPr>
        <w:t>Accountancy Europe</w:t>
      </w:r>
      <w:r w:rsidR="00683BD5" w:rsidRPr="004077CF">
        <w:rPr>
          <w:rFonts w:ascii="Segoe UI" w:hAnsi="Segoe UI" w:cs="Segoe UI"/>
          <w:color w:val="auto"/>
          <w:sz w:val="18"/>
          <w:szCs w:val="18"/>
          <w:lang w:val="en-US"/>
        </w:rPr>
        <w:t xml:space="preserve"> (già FEE)</w:t>
      </w:r>
      <w:r w:rsidRPr="004077CF">
        <w:rPr>
          <w:rFonts w:ascii="Segoe UI" w:hAnsi="Segoe UI" w:cs="Segoe UI"/>
          <w:color w:val="auto"/>
          <w:sz w:val="18"/>
          <w:szCs w:val="18"/>
          <w:lang w:val="en-US"/>
        </w:rPr>
        <w:t>, “International IR Framework implementation feedback. Invitation to comment”, 27 aprile 2017</w:t>
      </w:r>
      <w:r w:rsidR="002A352A" w:rsidRPr="004077CF">
        <w:rPr>
          <w:rFonts w:ascii="Segoe UI" w:hAnsi="Segoe UI" w:cs="Segoe UI"/>
          <w:color w:val="auto"/>
          <w:sz w:val="18"/>
          <w:szCs w:val="18"/>
          <w:lang w:val="en-US"/>
        </w:rPr>
        <w:t>a</w:t>
      </w:r>
      <w:r w:rsidRPr="004077CF">
        <w:rPr>
          <w:rFonts w:ascii="Segoe UI" w:hAnsi="Segoe UI" w:cs="Segoe UI"/>
          <w:color w:val="auto"/>
          <w:sz w:val="18"/>
          <w:szCs w:val="18"/>
          <w:lang w:val="en-US"/>
        </w:rPr>
        <w:t>.</w:t>
      </w:r>
    </w:p>
    <w:p w14:paraId="004E3091" w14:textId="5800C6F0" w:rsidR="00FB7D69" w:rsidRPr="004077CF" w:rsidRDefault="00FB7D69" w:rsidP="004077CF">
      <w:pPr>
        <w:pStyle w:val="Default"/>
        <w:numPr>
          <w:ilvl w:val="0"/>
          <w:numId w:val="21"/>
        </w:numPr>
        <w:tabs>
          <w:tab w:val="left" w:pos="284"/>
        </w:tabs>
        <w:spacing w:before="120" w:after="120"/>
        <w:ind w:left="284" w:hanging="284"/>
        <w:jc w:val="both"/>
        <w:rPr>
          <w:rFonts w:ascii="Segoe UI" w:hAnsi="Segoe UI" w:cs="Segoe UI"/>
          <w:i/>
          <w:color w:val="auto"/>
          <w:sz w:val="18"/>
          <w:szCs w:val="18"/>
          <w:lang w:val="en-US"/>
        </w:rPr>
      </w:pPr>
      <w:r w:rsidRPr="004077CF">
        <w:rPr>
          <w:rFonts w:ascii="Segoe UI" w:hAnsi="Segoe UI" w:cs="Segoe UI"/>
          <w:color w:val="auto"/>
          <w:sz w:val="18"/>
          <w:szCs w:val="18"/>
          <w:lang w:val="en-US"/>
        </w:rPr>
        <w:t>Accountancy Europe</w:t>
      </w:r>
      <w:r w:rsidR="00E03B7C" w:rsidRPr="004077CF">
        <w:rPr>
          <w:rFonts w:ascii="Segoe UI" w:hAnsi="Segoe UI" w:cs="Segoe UI"/>
          <w:color w:val="auto"/>
          <w:sz w:val="18"/>
          <w:szCs w:val="18"/>
          <w:lang w:val="en-US"/>
        </w:rPr>
        <w:t xml:space="preserve"> (già FEE),</w:t>
      </w:r>
      <w:r w:rsidRPr="004077CF">
        <w:rPr>
          <w:rFonts w:ascii="Segoe UI" w:hAnsi="Segoe UI" w:cs="Segoe UI"/>
          <w:color w:val="auto"/>
          <w:sz w:val="18"/>
          <w:szCs w:val="18"/>
          <w:lang w:val="en-US"/>
        </w:rPr>
        <w:t xml:space="preserve"> “Disclose what truly matters. Model disclosures under the non-financial and diversity information directive”, novembre 2016.</w:t>
      </w:r>
    </w:p>
    <w:p w14:paraId="30DCD5CE" w14:textId="037615E5" w:rsidR="0036531C" w:rsidRPr="004077CF" w:rsidRDefault="0036531C" w:rsidP="004077CF">
      <w:pPr>
        <w:pStyle w:val="Default"/>
        <w:numPr>
          <w:ilvl w:val="0"/>
          <w:numId w:val="21"/>
        </w:numPr>
        <w:tabs>
          <w:tab w:val="left" w:pos="284"/>
        </w:tabs>
        <w:spacing w:before="120" w:after="120"/>
        <w:ind w:left="284" w:hanging="284"/>
        <w:jc w:val="both"/>
        <w:rPr>
          <w:rFonts w:ascii="Segoe UI" w:hAnsi="Segoe UI" w:cs="Segoe UI"/>
          <w:i/>
          <w:color w:val="auto"/>
          <w:sz w:val="18"/>
          <w:szCs w:val="18"/>
        </w:rPr>
      </w:pPr>
      <w:r w:rsidRPr="004077CF">
        <w:rPr>
          <w:rFonts w:ascii="Segoe UI" w:hAnsi="Segoe UI" w:cs="Segoe UI"/>
          <w:color w:val="auto"/>
          <w:sz w:val="18"/>
          <w:szCs w:val="18"/>
        </w:rPr>
        <w:t>Assonime, “Gli obblighi di comunicazione delle info</w:t>
      </w:r>
      <w:r w:rsidR="00771815" w:rsidRPr="004077CF">
        <w:rPr>
          <w:rFonts w:ascii="Segoe UI" w:hAnsi="Segoe UI" w:cs="Segoe UI"/>
          <w:color w:val="auto"/>
          <w:sz w:val="18"/>
          <w:szCs w:val="18"/>
        </w:rPr>
        <w:t>r</w:t>
      </w:r>
      <w:r w:rsidRPr="004077CF">
        <w:rPr>
          <w:rFonts w:ascii="Segoe UI" w:hAnsi="Segoe UI" w:cs="Segoe UI"/>
          <w:color w:val="auto"/>
          <w:sz w:val="18"/>
          <w:szCs w:val="18"/>
        </w:rPr>
        <w:t xml:space="preserve">mazioni non finanziarie”, </w:t>
      </w:r>
      <w:r w:rsidR="004B52B9" w:rsidRPr="004077CF">
        <w:rPr>
          <w:rFonts w:ascii="Segoe UI" w:hAnsi="Segoe UI" w:cs="Segoe UI"/>
          <w:color w:val="auto"/>
          <w:sz w:val="18"/>
          <w:szCs w:val="18"/>
        </w:rPr>
        <w:t>C</w:t>
      </w:r>
      <w:r w:rsidRPr="004077CF">
        <w:rPr>
          <w:rFonts w:ascii="Segoe UI" w:hAnsi="Segoe UI" w:cs="Segoe UI"/>
          <w:color w:val="auto"/>
          <w:sz w:val="18"/>
          <w:szCs w:val="18"/>
        </w:rPr>
        <w:t>ircolare n. 13, 12 giugno 2017.</w:t>
      </w:r>
    </w:p>
    <w:p w14:paraId="5AC5BC2A" w14:textId="6ED08AA5" w:rsidR="00CF23A4" w:rsidRPr="004077CF" w:rsidRDefault="00CF23A4" w:rsidP="004077CF">
      <w:pPr>
        <w:pStyle w:val="Default"/>
        <w:numPr>
          <w:ilvl w:val="0"/>
          <w:numId w:val="21"/>
        </w:numPr>
        <w:tabs>
          <w:tab w:val="left" w:pos="284"/>
        </w:tabs>
        <w:spacing w:before="120" w:after="120"/>
        <w:ind w:left="284" w:hanging="284"/>
        <w:jc w:val="both"/>
        <w:rPr>
          <w:rFonts w:ascii="Segoe UI" w:hAnsi="Segoe UI" w:cs="Segoe UI"/>
          <w:i/>
          <w:color w:val="auto"/>
          <w:sz w:val="18"/>
          <w:szCs w:val="18"/>
        </w:rPr>
      </w:pPr>
      <w:r w:rsidRPr="004077CF">
        <w:rPr>
          <w:rFonts w:ascii="Segoe UI" w:hAnsi="Segoe UI" w:cs="Segoe UI"/>
          <w:sz w:val="18"/>
          <w:szCs w:val="18"/>
        </w:rPr>
        <w:t>Borsa italiana S.p.a., Comitato per la Corporate Governance, “Codice di autodisciplina”, 2015.</w:t>
      </w:r>
    </w:p>
    <w:p w14:paraId="52A9D349" w14:textId="2E8DA251" w:rsidR="00FB7D69" w:rsidRPr="004077CF" w:rsidRDefault="00FB7D69" w:rsidP="004077CF">
      <w:pPr>
        <w:pStyle w:val="Default"/>
        <w:numPr>
          <w:ilvl w:val="0"/>
          <w:numId w:val="21"/>
        </w:numPr>
        <w:tabs>
          <w:tab w:val="left" w:pos="284"/>
        </w:tabs>
        <w:spacing w:before="120" w:after="120"/>
        <w:ind w:left="284" w:hanging="284"/>
        <w:jc w:val="both"/>
        <w:rPr>
          <w:rFonts w:ascii="Segoe UI" w:eastAsia="Times New Roman" w:hAnsi="Segoe UI" w:cs="Segoe UI"/>
          <w:bCs/>
          <w:i/>
          <w:color w:val="auto"/>
          <w:sz w:val="18"/>
          <w:szCs w:val="18"/>
          <w:lang w:eastAsia="it-IT"/>
        </w:rPr>
      </w:pPr>
      <w:r w:rsidRPr="004077CF">
        <w:rPr>
          <w:rFonts w:ascii="Segoe UI" w:eastAsia="Times New Roman" w:hAnsi="Segoe UI" w:cs="Segoe UI"/>
          <w:bCs/>
          <w:color w:val="auto"/>
          <w:sz w:val="18"/>
          <w:szCs w:val="18"/>
          <w:lang w:eastAsia="it-IT"/>
        </w:rPr>
        <w:t xml:space="preserve">Commissione europea, Comunicazione del </w:t>
      </w:r>
      <w:r w:rsidR="00A44FD5" w:rsidRPr="004077CF">
        <w:rPr>
          <w:rFonts w:ascii="Segoe UI" w:eastAsia="Times New Roman" w:hAnsi="Segoe UI" w:cs="Segoe UI"/>
          <w:bCs/>
          <w:color w:val="auto"/>
          <w:sz w:val="18"/>
          <w:szCs w:val="18"/>
          <w:lang w:eastAsia="it-IT"/>
        </w:rPr>
        <w:t>5</w:t>
      </w:r>
      <w:r w:rsidRPr="004077CF">
        <w:rPr>
          <w:rFonts w:ascii="Segoe UI" w:eastAsia="Times New Roman" w:hAnsi="Segoe UI" w:cs="Segoe UI"/>
          <w:bCs/>
          <w:color w:val="auto"/>
          <w:sz w:val="18"/>
          <w:szCs w:val="18"/>
          <w:lang w:eastAsia="it-IT"/>
        </w:rPr>
        <w:t xml:space="preserve"> luglio 2017</w:t>
      </w:r>
      <w:r w:rsidR="00A16378" w:rsidRPr="004077CF">
        <w:rPr>
          <w:rFonts w:ascii="Segoe UI" w:eastAsia="Times New Roman" w:hAnsi="Segoe UI" w:cs="Segoe UI"/>
          <w:bCs/>
          <w:color w:val="auto"/>
          <w:sz w:val="18"/>
          <w:szCs w:val="18"/>
          <w:lang w:eastAsia="it-IT"/>
        </w:rPr>
        <w:t xml:space="preserve">, </w:t>
      </w:r>
      <w:r w:rsidRPr="004077CF">
        <w:rPr>
          <w:rFonts w:ascii="Segoe UI" w:eastAsia="Times New Roman" w:hAnsi="Segoe UI" w:cs="Segoe UI"/>
          <w:bCs/>
          <w:color w:val="auto"/>
          <w:sz w:val="18"/>
          <w:szCs w:val="18"/>
          <w:lang w:eastAsia="it-IT"/>
        </w:rPr>
        <w:t>C 215/01, “Orientamenti sulla comunicazione di informazioni di carattere non finanziario. Metodologia per la comunicazione di informazioni di carattere non finanziario”, Orientamenti “non vincolanti” formulati ai sensi dell’art. 2 della direttiva 2014/95/UE.</w:t>
      </w:r>
    </w:p>
    <w:p w14:paraId="082681D9" w14:textId="77777777" w:rsidR="00FB7D69" w:rsidRPr="004077CF" w:rsidRDefault="00FB7D69" w:rsidP="004077CF">
      <w:pPr>
        <w:pStyle w:val="Default"/>
        <w:numPr>
          <w:ilvl w:val="0"/>
          <w:numId w:val="21"/>
        </w:numPr>
        <w:tabs>
          <w:tab w:val="left" w:pos="284"/>
        </w:tabs>
        <w:spacing w:before="120" w:after="120"/>
        <w:ind w:left="284" w:hanging="284"/>
        <w:jc w:val="both"/>
        <w:rPr>
          <w:rFonts w:ascii="Segoe UI" w:hAnsi="Segoe UI" w:cs="Segoe UI"/>
          <w:bCs/>
          <w:sz w:val="18"/>
          <w:szCs w:val="18"/>
        </w:rPr>
      </w:pPr>
      <w:r w:rsidRPr="004077CF">
        <w:rPr>
          <w:rFonts w:ascii="Segoe UI" w:hAnsi="Segoe UI" w:cs="Segoe UI"/>
          <w:bCs/>
          <w:sz w:val="18"/>
          <w:szCs w:val="18"/>
        </w:rPr>
        <w:t>Consiglio Nazionale dei Dottori Commercialisti e degli Esperti Contabili (CNDCEC), “Direttiva 2014/95/UE sulla disclosure non finanziaria e sulla diversità nella composizione degli organi di amministrazione, gestione e controllo. Approccio operativo, prassi aziendali e ruolo dei professionisti”, giugno 2016.</w:t>
      </w:r>
    </w:p>
    <w:p w14:paraId="48501C20" w14:textId="77777777" w:rsidR="00FB7D69" w:rsidRPr="004077CF" w:rsidRDefault="00FB7D69" w:rsidP="004077CF">
      <w:pPr>
        <w:pStyle w:val="Default"/>
        <w:numPr>
          <w:ilvl w:val="0"/>
          <w:numId w:val="21"/>
        </w:numPr>
        <w:tabs>
          <w:tab w:val="left" w:pos="284"/>
        </w:tabs>
        <w:spacing w:before="120" w:after="120"/>
        <w:ind w:left="284" w:hanging="284"/>
        <w:jc w:val="both"/>
        <w:rPr>
          <w:rFonts w:ascii="Segoe UI" w:hAnsi="Segoe UI" w:cs="Segoe UI"/>
          <w:sz w:val="18"/>
          <w:szCs w:val="18"/>
        </w:rPr>
      </w:pPr>
      <w:r w:rsidRPr="004077CF">
        <w:rPr>
          <w:rFonts w:ascii="Segoe UI" w:hAnsi="Segoe UI" w:cs="Segoe UI"/>
          <w:bCs/>
          <w:sz w:val="18"/>
          <w:szCs w:val="18"/>
        </w:rPr>
        <w:t>Consiglio Nazionale dei Dottori Commercialisti e degli Esperti Contabili (</w:t>
      </w:r>
      <w:r w:rsidRPr="004077CF">
        <w:rPr>
          <w:rFonts w:ascii="Segoe UI" w:hAnsi="Segoe UI" w:cs="Segoe UI"/>
          <w:sz w:val="18"/>
          <w:szCs w:val="18"/>
        </w:rPr>
        <w:t>CNDCEC), “Informativa di sostenibilità nella comunicazione obbligatoria d’impresa. Risultati dell’indagine sull’applicazione nei bilanci delle società quotate del documento del CNDCEC ‘La relazione sulla gestione dei bilanci d’esercizio alla luce delle novità introdotte dal d.lgs. n. 32/2007 – Informativa sull’ambiente e sul personale’, del marzo 2009”, dicembre 2010.</w:t>
      </w:r>
    </w:p>
    <w:p w14:paraId="4453DD9A" w14:textId="3F2E48CC" w:rsidR="00FB7D69" w:rsidRPr="004077CF" w:rsidRDefault="00FB7D69" w:rsidP="004077CF">
      <w:pPr>
        <w:pStyle w:val="Default"/>
        <w:numPr>
          <w:ilvl w:val="0"/>
          <w:numId w:val="21"/>
        </w:numPr>
        <w:tabs>
          <w:tab w:val="left" w:pos="284"/>
        </w:tabs>
        <w:spacing w:before="120" w:after="120"/>
        <w:ind w:left="284" w:hanging="284"/>
        <w:jc w:val="both"/>
        <w:rPr>
          <w:rFonts w:ascii="Segoe UI" w:hAnsi="Segoe UI" w:cs="Segoe UI"/>
          <w:sz w:val="18"/>
          <w:szCs w:val="18"/>
        </w:rPr>
      </w:pPr>
      <w:r w:rsidRPr="004077CF">
        <w:rPr>
          <w:rFonts w:ascii="Segoe UI" w:hAnsi="Segoe UI" w:cs="Segoe UI"/>
          <w:bCs/>
          <w:sz w:val="18"/>
          <w:szCs w:val="18"/>
        </w:rPr>
        <w:t>Consiglio Nazionale dei Dottori Commercialisti e degli Esperti Contabili (</w:t>
      </w:r>
      <w:r w:rsidRPr="004077CF">
        <w:rPr>
          <w:rFonts w:ascii="Segoe UI" w:hAnsi="Segoe UI" w:cs="Segoe UI"/>
          <w:sz w:val="18"/>
          <w:szCs w:val="18"/>
        </w:rPr>
        <w:t>CNDCEC), “La relazione sulla gestione – Art. 2428 codice civile. La relazione sulla gestione dei bilanci d’esercizio alla luce delle novità introdotte dal d.lgs. n. 32/2007 – Informativa sull’ambiente e sul personale”, marzo 2009.</w:t>
      </w:r>
    </w:p>
    <w:p w14:paraId="60693EF3" w14:textId="14C21AEE" w:rsidR="00FB7D69" w:rsidRPr="004077CF" w:rsidRDefault="00FB7D69" w:rsidP="004077CF">
      <w:pPr>
        <w:pStyle w:val="Default"/>
        <w:numPr>
          <w:ilvl w:val="0"/>
          <w:numId w:val="21"/>
        </w:numPr>
        <w:tabs>
          <w:tab w:val="left" w:pos="284"/>
        </w:tabs>
        <w:spacing w:before="120" w:after="120"/>
        <w:ind w:left="284" w:hanging="284"/>
        <w:jc w:val="both"/>
        <w:rPr>
          <w:rFonts w:ascii="Segoe UI" w:hAnsi="Segoe UI" w:cs="Segoe UI"/>
          <w:sz w:val="18"/>
          <w:szCs w:val="18"/>
        </w:rPr>
      </w:pPr>
      <w:r w:rsidRPr="004077CF">
        <w:rPr>
          <w:rFonts w:ascii="Segoe UI" w:hAnsi="Segoe UI" w:cs="Segoe UI"/>
          <w:bCs/>
          <w:sz w:val="18"/>
          <w:szCs w:val="18"/>
        </w:rPr>
        <w:t>Consiglio Nazionale dei Dottori Commercialisti e degli Esperti Contabili (</w:t>
      </w:r>
      <w:r w:rsidRPr="004077CF">
        <w:rPr>
          <w:rFonts w:ascii="Segoe UI" w:hAnsi="Segoe UI" w:cs="Segoe UI"/>
          <w:sz w:val="18"/>
          <w:szCs w:val="18"/>
        </w:rPr>
        <w:t>CNDCEC), “La relazione sulla gestione – Art. 2428 codice civile. La relazione sulla gestione dei bilanci d’esercizio alla luce delle novità introdotte dal d.lgs. n. 32/2007”, gennaio 2009.</w:t>
      </w:r>
    </w:p>
    <w:p w14:paraId="27617B16" w14:textId="01EF9FD8" w:rsidR="00AE322B" w:rsidRPr="004077CF" w:rsidRDefault="00AE322B" w:rsidP="004077CF">
      <w:pPr>
        <w:pStyle w:val="Default"/>
        <w:numPr>
          <w:ilvl w:val="0"/>
          <w:numId w:val="21"/>
        </w:numPr>
        <w:tabs>
          <w:tab w:val="left" w:pos="284"/>
        </w:tabs>
        <w:spacing w:before="120" w:after="120"/>
        <w:ind w:left="284" w:hanging="284"/>
        <w:jc w:val="both"/>
        <w:rPr>
          <w:rFonts w:ascii="Segoe UI" w:eastAsia="Times New Roman" w:hAnsi="Segoe UI" w:cs="Segoe UI"/>
          <w:bCs/>
          <w:iCs/>
          <w:color w:val="auto"/>
          <w:sz w:val="18"/>
          <w:szCs w:val="18"/>
          <w:lang w:eastAsia="it-IT"/>
        </w:rPr>
      </w:pPr>
      <w:r w:rsidRPr="004077CF">
        <w:rPr>
          <w:rFonts w:ascii="Segoe UI" w:eastAsia="Times New Roman" w:hAnsi="Segoe UI" w:cs="Segoe UI"/>
          <w:bCs/>
          <w:iCs/>
          <w:color w:val="auto"/>
          <w:sz w:val="18"/>
          <w:szCs w:val="18"/>
          <w:lang w:eastAsia="it-IT"/>
        </w:rPr>
        <w:t>Consob, “Relazione illustrativa degli esiti della consultazione, delle conseguenze sulla regolamentazione, sull’attività delle imprese e degli operatori e sugli interessi degli investitori e dei risparmiatori. Regolamento di attuazione del d.lgs. 30 dicembre 2016, n. 254 relativo alla comunicazione di informazioni di carattere non finanziario”, 19 gennaio 2018.</w:t>
      </w:r>
    </w:p>
    <w:p w14:paraId="0404E761" w14:textId="7E4D8975" w:rsidR="00B137A2" w:rsidRPr="004077CF" w:rsidRDefault="00B137A2" w:rsidP="004077CF">
      <w:pPr>
        <w:pStyle w:val="Default"/>
        <w:numPr>
          <w:ilvl w:val="0"/>
          <w:numId w:val="21"/>
        </w:numPr>
        <w:tabs>
          <w:tab w:val="left" w:pos="284"/>
        </w:tabs>
        <w:spacing w:before="120" w:after="120"/>
        <w:ind w:left="284" w:hanging="284"/>
        <w:jc w:val="both"/>
        <w:rPr>
          <w:rFonts w:ascii="Segoe UI" w:eastAsia="Times New Roman" w:hAnsi="Segoe UI" w:cs="Segoe UI"/>
          <w:bCs/>
          <w:iCs/>
          <w:color w:val="auto"/>
          <w:sz w:val="18"/>
          <w:szCs w:val="18"/>
          <w:lang w:val="en-US" w:eastAsia="it-IT"/>
        </w:rPr>
      </w:pPr>
      <w:r w:rsidRPr="004077CF">
        <w:rPr>
          <w:rFonts w:ascii="Segoe UI" w:eastAsia="Times New Roman" w:hAnsi="Segoe UI" w:cs="Segoe UI"/>
          <w:bCs/>
          <w:iCs/>
          <w:color w:val="auto"/>
          <w:sz w:val="18"/>
          <w:szCs w:val="18"/>
          <w:lang w:val="en-US" w:eastAsia="it-IT"/>
        </w:rPr>
        <w:t>Corporate Reporting Dialogue, “Statement of Common Principles of Materiality”, marzo 2016.</w:t>
      </w:r>
    </w:p>
    <w:p w14:paraId="341D7D47" w14:textId="77777777" w:rsidR="00FB7D69" w:rsidRPr="004077CF" w:rsidRDefault="00FB7D69" w:rsidP="004077CF">
      <w:pPr>
        <w:pStyle w:val="Default"/>
        <w:numPr>
          <w:ilvl w:val="0"/>
          <w:numId w:val="21"/>
        </w:numPr>
        <w:tabs>
          <w:tab w:val="left" w:pos="284"/>
        </w:tabs>
        <w:spacing w:before="120" w:after="120"/>
        <w:ind w:left="284" w:hanging="284"/>
        <w:jc w:val="both"/>
        <w:rPr>
          <w:rFonts w:ascii="Segoe UI" w:hAnsi="Segoe UI" w:cs="Segoe UI"/>
          <w:bCs/>
          <w:sz w:val="18"/>
          <w:szCs w:val="18"/>
        </w:rPr>
      </w:pPr>
      <w:r w:rsidRPr="004077CF">
        <w:rPr>
          <w:rFonts w:ascii="Segoe UI" w:hAnsi="Segoe UI" w:cs="Segoe UI"/>
          <w:bCs/>
          <w:sz w:val="18"/>
          <w:szCs w:val="18"/>
        </w:rPr>
        <w:t>Fondazione nazionale dei commercialisti (FNC), “GRI Sustainability Reporting Guidelines e IIRC Integrated Reporting Framework – Spunti di riflessioni su due principali standard di sustainability reporting”, s</w:t>
      </w:r>
      <w:r w:rsidRPr="004077CF">
        <w:rPr>
          <w:rFonts w:ascii="Segoe UI" w:hAnsi="Segoe UI" w:cs="Segoe UI"/>
          <w:sz w:val="18"/>
          <w:szCs w:val="18"/>
        </w:rPr>
        <w:t>ettembre 2015.</w:t>
      </w:r>
    </w:p>
    <w:p w14:paraId="7043CDDD" w14:textId="1CB0A87F" w:rsidR="00CF23A4" w:rsidRPr="004077CF" w:rsidRDefault="00CF23A4" w:rsidP="004077CF">
      <w:pPr>
        <w:pStyle w:val="Default"/>
        <w:numPr>
          <w:ilvl w:val="0"/>
          <w:numId w:val="21"/>
        </w:numPr>
        <w:tabs>
          <w:tab w:val="left" w:pos="284"/>
        </w:tabs>
        <w:spacing w:before="120" w:after="120"/>
        <w:ind w:left="284" w:hanging="284"/>
        <w:jc w:val="both"/>
        <w:rPr>
          <w:rFonts w:ascii="Segoe UI" w:hAnsi="Segoe UI" w:cs="Segoe UI"/>
          <w:i/>
          <w:color w:val="auto"/>
          <w:sz w:val="18"/>
          <w:szCs w:val="18"/>
          <w:lang w:val="en-US"/>
        </w:rPr>
      </w:pPr>
      <w:r w:rsidRPr="004077CF">
        <w:rPr>
          <w:rFonts w:ascii="Segoe UI" w:hAnsi="Segoe UI" w:cs="Segoe UI"/>
          <w:sz w:val="18"/>
          <w:szCs w:val="18"/>
          <w:lang w:val="en-GB"/>
        </w:rPr>
        <w:t>Global Reporting Initiative</w:t>
      </w:r>
      <w:r w:rsidR="00D32990" w:rsidRPr="004077CF">
        <w:rPr>
          <w:rFonts w:ascii="Segoe UI" w:hAnsi="Segoe UI" w:cs="Segoe UI"/>
          <w:sz w:val="18"/>
          <w:szCs w:val="18"/>
          <w:lang w:val="en-GB"/>
        </w:rPr>
        <w:t xml:space="preserve"> </w:t>
      </w:r>
      <w:r w:rsidR="00D32990" w:rsidRPr="004077CF">
        <w:rPr>
          <w:rFonts w:ascii="Segoe UI" w:hAnsi="Segoe UI" w:cs="Segoe UI"/>
          <w:bCs/>
          <w:sz w:val="18"/>
          <w:szCs w:val="18"/>
          <w:lang w:val="en-US"/>
        </w:rPr>
        <w:t>(GRI)</w:t>
      </w:r>
      <w:r w:rsidRPr="004077CF">
        <w:rPr>
          <w:rFonts w:ascii="Segoe UI" w:hAnsi="Segoe UI" w:cs="Segoe UI"/>
          <w:sz w:val="18"/>
          <w:szCs w:val="18"/>
          <w:lang w:val="en-GB"/>
        </w:rPr>
        <w:t xml:space="preserve">, </w:t>
      </w:r>
      <w:r w:rsidR="0036531C" w:rsidRPr="004077CF">
        <w:rPr>
          <w:rFonts w:ascii="Segoe UI" w:hAnsi="Segoe UI" w:cs="Segoe UI"/>
          <w:sz w:val="18"/>
          <w:szCs w:val="18"/>
          <w:lang w:val="en-GB"/>
        </w:rPr>
        <w:t>“</w:t>
      </w:r>
      <w:r w:rsidRPr="004077CF">
        <w:rPr>
          <w:rFonts w:ascii="Segoe UI" w:hAnsi="Segoe UI" w:cs="Segoe UI"/>
          <w:sz w:val="18"/>
          <w:szCs w:val="18"/>
          <w:lang w:val="en-GB"/>
        </w:rPr>
        <w:t xml:space="preserve">Making headway in Europe. Linking GRI’s G4 Guidelines and the European Directive on non-financial and diversity </w:t>
      </w:r>
      <w:r w:rsidRPr="004077CF">
        <w:rPr>
          <w:rFonts w:ascii="Segoe UI" w:hAnsi="Segoe UI" w:cs="Segoe UI"/>
          <w:sz w:val="18"/>
          <w:szCs w:val="18"/>
          <w:lang w:val="en-US"/>
        </w:rPr>
        <w:t>disclosure</w:t>
      </w:r>
      <w:r w:rsidR="0036531C" w:rsidRPr="004077CF">
        <w:rPr>
          <w:rFonts w:ascii="Segoe UI" w:hAnsi="Segoe UI" w:cs="Segoe UI"/>
          <w:sz w:val="18"/>
          <w:szCs w:val="18"/>
          <w:lang w:val="en-US"/>
        </w:rPr>
        <w:t>”</w:t>
      </w:r>
      <w:r w:rsidRPr="004077CF">
        <w:rPr>
          <w:rFonts w:ascii="Segoe UI" w:hAnsi="Segoe UI" w:cs="Segoe UI"/>
          <w:sz w:val="18"/>
          <w:szCs w:val="18"/>
          <w:lang w:val="en-US"/>
        </w:rPr>
        <w:t>, 2015.</w:t>
      </w:r>
    </w:p>
    <w:p w14:paraId="11E58130" w14:textId="59D898E7" w:rsidR="00CF23A4" w:rsidRPr="004077CF" w:rsidRDefault="00CF23A4" w:rsidP="004077CF">
      <w:pPr>
        <w:pStyle w:val="Default"/>
        <w:numPr>
          <w:ilvl w:val="0"/>
          <w:numId w:val="21"/>
        </w:numPr>
        <w:tabs>
          <w:tab w:val="left" w:pos="284"/>
        </w:tabs>
        <w:spacing w:before="120" w:after="120"/>
        <w:ind w:left="284" w:hanging="284"/>
        <w:jc w:val="both"/>
        <w:rPr>
          <w:rFonts w:ascii="Segoe UI" w:hAnsi="Segoe UI" w:cs="Segoe UI"/>
          <w:bCs/>
          <w:sz w:val="18"/>
          <w:szCs w:val="18"/>
          <w:lang w:val="en-US"/>
        </w:rPr>
      </w:pPr>
      <w:r w:rsidRPr="004077CF">
        <w:rPr>
          <w:rFonts w:ascii="Segoe UI" w:hAnsi="Segoe UI" w:cs="Segoe UI"/>
          <w:bCs/>
          <w:sz w:val="18"/>
          <w:szCs w:val="18"/>
          <w:lang w:val="en-US"/>
        </w:rPr>
        <w:t>Global Reporting Initiative</w:t>
      </w:r>
      <w:r w:rsidR="00D32990" w:rsidRPr="004077CF">
        <w:rPr>
          <w:rFonts w:ascii="Segoe UI" w:hAnsi="Segoe UI" w:cs="Segoe UI"/>
          <w:bCs/>
          <w:sz w:val="18"/>
          <w:szCs w:val="18"/>
          <w:lang w:val="en-US"/>
        </w:rPr>
        <w:t xml:space="preserve"> (GRI)</w:t>
      </w:r>
      <w:r w:rsidRPr="004077CF">
        <w:rPr>
          <w:rFonts w:ascii="Segoe UI" w:hAnsi="Segoe UI" w:cs="Segoe UI"/>
          <w:bCs/>
          <w:sz w:val="18"/>
          <w:szCs w:val="18"/>
          <w:lang w:val="en-US"/>
        </w:rPr>
        <w:t>, “Sustainability Topics for Sectors: What do stakeholders want to know?”, 2013.</w:t>
      </w:r>
    </w:p>
    <w:p w14:paraId="24CD3BDC" w14:textId="441D82D1" w:rsidR="00CF23A4" w:rsidRPr="004077CF" w:rsidRDefault="00CF23A4" w:rsidP="004077CF">
      <w:pPr>
        <w:pStyle w:val="Default"/>
        <w:numPr>
          <w:ilvl w:val="0"/>
          <w:numId w:val="21"/>
        </w:numPr>
        <w:tabs>
          <w:tab w:val="left" w:pos="284"/>
        </w:tabs>
        <w:spacing w:before="120" w:after="120"/>
        <w:ind w:left="284" w:hanging="284"/>
        <w:jc w:val="both"/>
        <w:rPr>
          <w:rFonts w:ascii="Segoe UI" w:hAnsi="Segoe UI" w:cs="Segoe UI"/>
          <w:bCs/>
          <w:sz w:val="18"/>
          <w:szCs w:val="18"/>
          <w:lang w:val="en-US"/>
        </w:rPr>
      </w:pPr>
      <w:r w:rsidRPr="004077CF">
        <w:rPr>
          <w:rFonts w:ascii="Segoe UI" w:hAnsi="Segoe UI" w:cs="Segoe UI"/>
          <w:bCs/>
          <w:sz w:val="18"/>
          <w:szCs w:val="18"/>
          <w:lang w:val="en-US"/>
        </w:rPr>
        <w:t>Global Reporting Initiative</w:t>
      </w:r>
      <w:r w:rsidR="00D32990" w:rsidRPr="004077CF">
        <w:rPr>
          <w:rFonts w:ascii="Segoe UI" w:hAnsi="Segoe UI" w:cs="Segoe UI"/>
          <w:bCs/>
          <w:sz w:val="18"/>
          <w:szCs w:val="18"/>
          <w:lang w:val="en-US"/>
        </w:rPr>
        <w:t xml:space="preserve"> (GRI)</w:t>
      </w:r>
      <w:r w:rsidRPr="004077CF">
        <w:rPr>
          <w:rFonts w:ascii="Segoe UI" w:hAnsi="Segoe UI" w:cs="Segoe UI"/>
          <w:bCs/>
          <w:sz w:val="18"/>
          <w:szCs w:val="18"/>
          <w:lang w:val="en-US"/>
        </w:rPr>
        <w:t>, “G4 Sector Disclosures”, 2013.</w:t>
      </w:r>
    </w:p>
    <w:p w14:paraId="321D9D57" w14:textId="24C9A41F" w:rsidR="00CF23A4" w:rsidRPr="004077CF" w:rsidRDefault="00CF23A4" w:rsidP="004077CF">
      <w:pPr>
        <w:pStyle w:val="Default"/>
        <w:numPr>
          <w:ilvl w:val="0"/>
          <w:numId w:val="21"/>
        </w:numPr>
        <w:tabs>
          <w:tab w:val="left" w:pos="284"/>
        </w:tabs>
        <w:spacing w:before="120" w:after="120"/>
        <w:ind w:left="284" w:hanging="284"/>
        <w:jc w:val="both"/>
        <w:rPr>
          <w:rFonts w:ascii="Segoe UI" w:hAnsi="Segoe UI" w:cs="Segoe UI"/>
          <w:bCs/>
          <w:sz w:val="18"/>
          <w:szCs w:val="18"/>
          <w:lang w:val="en-US"/>
        </w:rPr>
      </w:pPr>
      <w:r w:rsidRPr="004077CF">
        <w:rPr>
          <w:rFonts w:ascii="Segoe UI" w:hAnsi="Segoe UI" w:cs="Segoe UI"/>
          <w:bCs/>
          <w:sz w:val="18"/>
          <w:szCs w:val="18"/>
          <w:lang w:val="en-US"/>
        </w:rPr>
        <w:t>Global Reporting Initiative</w:t>
      </w:r>
      <w:r w:rsidR="00D32990" w:rsidRPr="004077CF">
        <w:rPr>
          <w:rFonts w:ascii="Segoe UI" w:hAnsi="Segoe UI" w:cs="Segoe UI"/>
          <w:bCs/>
          <w:sz w:val="18"/>
          <w:szCs w:val="18"/>
          <w:lang w:val="en-US"/>
        </w:rPr>
        <w:t xml:space="preserve"> (GRI)</w:t>
      </w:r>
      <w:r w:rsidRPr="004077CF">
        <w:rPr>
          <w:rFonts w:ascii="Segoe UI" w:hAnsi="Segoe UI" w:cs="Segoe UI"/>
          <w:bCs/>
          <w:sz w:val="18"/>
          <w:szCs w:val="18"/>
          <w:lang w:val="en-US"/>
        </w:rPr>
        <w:t>, “Implementation manual”, 2013.</w:t>
      </w:r>
    </w:p>
    <w:p w14:paraId="1FD19798" w14:textId="136308E7" w:rsidR="00CF23A4" w:rsidRPr="004077CF" w:rsidRDefault="00CF23A4" w:rsidP="004077CF">
      <w:pPr>
        <w:pStyle w:val="Default"/>
        <w:numPr>
          <w:ilvl w:val="0"/>
          <w:numId w:val="21"/>
        </w:numPr>
        <w:tabs>
          <w:tab w:val="left" w:pos="284"/>
        </w:tabs>
        <w:spacing w:before="120" w:after="120"/>
        <w:ind w:left="284" w:hanging="284"/>
        <w:jc w:val="both"/>
        <w:rPr>
          <w:rFonts w:ascii="Segoe UI" w:hAnsi="Segoe UI" w:cs="Segoe UI"/>
          <w:bCs/>
          <w:sz w:val="18"/>
          <w:szCs w:val="18"/>
        </w:rPr>
      </w:pPr>
      <w:r w:rsidRPr="004077CF">
        <w:rPr>
          <w:rFonts w:ascii="Segoe UI" w:hAnsi="Segoe UI" w:cs="Segoe UI"/>
          <w:bCs/>
          <w:sz w:val="18"/>
          <w:szCs w:val="18"/>
          <w:lang w:val="en-US"/>
        </w:rPr>
        <w:t>Global Reporting Initiative</w:t>
      </w:r>
      <w:r w:rsidR="00D32990" w:rsidRPr="004077CF">
        <w:rPr>
          <w:rFonts w:ascii="Segoe UI" w:hAnsi="Segoe UI" w:cs="Segoe UI"/>
          <w:bCs/>
          <w:sz w:val="18"/>
          <w:szCs w:val="18"/>
          <w:lang w:val="en-US"/>
        </w:rPr>
        <w:t xml:space="preserve"> (GRI)</w:t>
      </w:r>
      <w:r w:rsidRPr="004077CF">
        <w:rPr>
          <w:rFonts w:ascii="Segoe UI" w:hAnsi="Segoe UI" w:cs="Segoe UI"/>
          <w:bCs/>
          <w:sz w:val="18"/>
          <w:szCs w:val="18"/>
          <w:lang w:val="en-US"/>
        </w:rPr>
        <w:t xml:space="preserve">, “G4 Sustainability Reporting Guidelines. </w:t>
      </w:r>
      <w:r w:rsidRPr="004077CF">
        <w:rPr>
          <w:rFonts w:ascii="Segoe UI" w:hAnsi="Segoe UI" w:cs="Segoe UI"/>
          <w:bCs/>
          <w:sz w:val="18"/>
          <w:szCs w:val="18"/>
        </w:rPr>
        <w:t>Reporting principles and standard disclosure”, 2013.</w:t>
      </w:r>
    </w:p>
    <w:p w14:paraId="1FA6B781" w14:textId="5B62DE0E" w:rsidR="00CF23A4" w:rsidRPr="004077CF" w:rsidRDefault="00CF23A4" w:rsidP="004077CF">
      <w:pPr>
        <w:pStyle w:val="Default"/>
        <w:numPr>
          <w:ilvl w:val="0"/>
          <w:numId w:val="21"/>
        </w:numPr>
        <w:tabs>
          <w:tab w:val="left" w:pos="284"/>
        </w:tabs>
        <w:spacing w:before="120" w:after="120"/>
        <w:ind w:left="284" w:hanging="284"/>
        <w:jc w:val="both"/>
        <w:rPr>
          <w:rFonts w:ascii="Segoe UI" w:hAnsi="Segoe UI" w:cs="Segoe UI"/>
          <w:bCs/>
          <w:sz w:val="18"/>
          <w:szCs w:val="18"/>
          <w:lang w:val="en-US"/>
        </w:rPr>
      </w:pPr>
      <w:r w:rsidRPr="004077CF">
        <w:rPr>
          <w:rFonts w:ascii="Segoe UI" w:hAnsi="Segoe UI" w:cs="Segoe UI"/>
          <w:bCs/>
          <w:sz w:val="18"/>
          <w:szCs w:val="18"/>
          <w:lang w:val="en-US"/>
        </w:rPr>
        <w:t>Global Reporting Initiative</w:t>
      </w:r>
      <w:r w:rsidR="00D32990" w:rsidRPr="004077CF">
        <w:rPr>
          <w:rFonts w:ascii="Segoe UI" w:hAnsi="Segoe UI" w:cs="Segoe UI"/>
          <w:bCs/>
          <w:sz w:val="18"/>
          <w:szCs w:val="18"/>
          <w:lang w:val="en-US"/>
        </w:rPr>
        <w:t xml:space="preserve"> (GRI)</w:t>
      </w:r>
      <w:r w:rsidRPr="004077CF">
        <w:rPr>
          <w:rFonts w:ascii="Segoe UI" w:hAnsi="Segoe UI" w:cs="Segoe UI"/>
          <w:bCs/>
          <w:sz w:val="18"/>
          <w:szCs w:val="18"/>
          <w:lang w:val="en-US"/>
        </w:rPr>
        <w:t>, “G4 Sustainability Reporting Guidelines”, 2013.</w:t>
      </w:r>
    </w:p>
    <w:p w14:paraId="3555321D" w14:textId="4439FAC0" w:rsidR="009752F4" w:rsidRPr="004077CF" w:rsidRDefault="009752F4" w:rsidP="004077CF">
      <w:pPr>
        <w:pStyle w:val="Default"/>
        <w:numPr>
          <w:ilvl w:val="0"/>
          <w:numId w:val="21"/>
        </w:numPr>
        <w:tabs>
          <w:tab w:val="left" w:pos="284"/>
        </w:tabs>
        <w:spacing w:before="120" w:after="120"/>
        <w:ind w:left="284" w:hanging="284"/>
        <w:jc w:val="both"/>
        <w:rPr>
          <w:rFonts w:ascii="Segoe UI" w:hAnsi="Segoe UI" w:cs="Segoe UI"/>
          <w:bCs/>
          <w:sz w:val="18"/>
          <w:szCs w:val="18"/>
          <w:lang w:val="en-US"/>
        </w:rPr>
      </w:pPr>
      <w:r w:rsidRPr="004077CF">
        <w:rPr>
          <w:rFonts w:ascii="Segoe UI" w:hAnsi="Segoe UI" w:cs="Segoe UI"/>
          <w:bCs/>
          <w:sz w:val="18"/>
          <w:szCs w:val="18"/>
          <w:lang w:val="en-US"/>
        </w:rPr>
        <w:t>Global Reporting Initiative (GRI), “G3.1 Sustainability Reporting Guidelines”, 2011.</w:t>
      </w:r>
    </w:p>
    <w:p w14:paraId="7D08C6D2" w14:textId="5558C635" w:rsidR="009752F4" w:rsidRPr="004077CF" w:rsidRDefault="009752F4" w:rsidP="004077CF">
      <w:pPr>
        <w:pStyle w:val="Default"/>
        <w:numPr>
          <w:ilvl w:val="0"/>
          <w:numId w:val="21"/>
        </w:numPr>
        <w:tabs>
          <w:tab w:val="left" w:pos="284"/>
        </w:tabs>
        <w:spacing w:before="120" w:after="120"/>
        <w:ind w:left="284" w:hanging="284"/>
        <w:jc w:val="both"/>
        <w:rPr>
          <w:rFonts w:ascii="Segoe UI" w:hAnsi="Segoe UI" w:cs="Segoe UI"/>
          <w:bCs/>
          <w:sz w:val="18"/>
          <w:szCs w:val="18"/>
          <w:lang w:val="en-US"/>
        </w:rPr>
      </w:pPr>
      <w:r w:rsidRPr="004077CF">
        <w:rPr>
          <w:rFonts w:ascii="Segoe UI" w:hAnsi="Segoe UI" w:cs="Segoe UI"/>
          <w:bCs/>
          <w:sz w:val="18"/>
          <w:szCs w:val="18"/>
          <w:lang w:val="en-US"/>
        </w:rPr>
        <w:t>Global Reporting Initiative (GRI), “G3 Sustainability Reporting Guidelines”, 2006.</w:t>
      </w:r>
    </w:p>
    <w:p w14:paraId="5BF68F85" w14:textId="55682BDC" w:rsidR="00EE7F8C" w:rsidRPr="004077CF" w:rsidRDefault="003852B8" w:rsidP="004077CF">
      <w:pPr>
        <w:pStyle w:val="Default"/>
        <w:numPr>
          <w:ilvl w:val="0"/>
          <w:numId w:val="21"/>
        </w:numPr>
        <w:tabs>
          <w:tab w:val="left" w:pos="284"/>
        </w:tabs>
        <w:spacing w:before="120" w:after="120"/>
        <w:ind w:left="284" w:hanging="284"/>
        <w:jc w:val="both"/>
        <w:rPr>
          <w:rFonts w:ascii="Segoe UI" w:hAnsi="Segoe UI" w:cs="Segoe UI"/>
          <w:bCs/>
          <w:sz w:val="18"/>
          <w:szCs w:val="18"/>
          <w:lang w:val="en-US"/>
        </w:rPr>
      </w:pPr>
      <w:r w:rsidRPr="004077CF">
        <w:rPr>
          <w:rFonts w:ascii="Segoe UI" w:hAnsi="Segoe UI" w:cs="Segoe UI"/>
          <w:bCs/>
          <w:sz w:val="18"/>
          <w:szCs w:val="18"/>
          <w:lang w:val="en-US"/>
        </w:rPr>
        <w:t>Global</w:t>
      </w:r>
      <w:r w:rsidR="0067482F" w:rsidRPr="004077CF">
        <w:rPr>
          <w:rFonts w:ascii="Segoe UI" w:hAnsi="Segoe UI" w:cs="Segoe UI"/>
          <w:bCs/>
          <w:sz w:val="18"/>
          <w:szCs w:val="18"/>
          <w:lang w:val="en-US"/>
        </w:rPr>
        <w:t xml:space="preserve"> Reporting Initiative (GRI) Global Sustainability Standards Board (GSSB), “Linking the GRI Standards and the European Directive on non-financial and diversity disclosure”, 2017.</w:t>
      </w:r>
    </w:p>
    <w:p w14:paraId="75547DC9" w14:textId="78861889" w:rsidR="00FF48C6" w:rsidRPr="004077CF" w:rsidRDefault="00EE7F8C" w:rsidP="004077CF">
      <w:pPr>
        <w:pStyle w:val="Default"/>
        <w:numPr>
          <w:ilvl w:val="0"/>
          <w:numId w:val="21"/>
        </w:numPr>
        <w:tabs>
          <w:tab w:val="left" w:pos="284"/>
        </w:tabs>
        <w:spacing w:before="120" w:after="120"/>
        <w:ind w:left="284" w:hanging="284"/>
        <w:jc w:val="both"/>
        <w:rPr>
          <w:rFonts w:ascii="Segoe UI" w:hAnsi="Segoe UI" w:cs="Segoe UI"/>
          <w:bCs/>
          <w:sz w:val="18"/>
          <w:szCs w:val="18"/>
          <w:lang w:val="en-US"/>
        </w:rPr>
      </w:pPr>
      <w:r w:rsidRPr="004077CF">
        <w:rPr>
          <w:rFonts w:ascii="Segoe UI" w:hAnsi="Segoe UI" w:cs="Segoe UI"/>
          <w:color w:val="auto"/>
          <w:sz w:val="18"/>
          <w:szCs w:val="18"/>
          <w:lang w:val="en-US"/>
        </w:rPr>
        <w:t xml:space="preserve">Global Reporting Initiative (GRI) </w:t>
      </w:r>
      <w:r w:rsidRPr="004077CF">
        <w:rPr>
          <w:rFonts w:ascii="Segoe UI" w:eastAsia="Times New Roman" w:hAnsi="Segoe UI" w:cs="Segoe UI"/>
          <w:bCs/>
          <w:iCs/>
          <w:color w:val="auto"/>
          <w:sz w:val="18"/>
          <w:szCs w:val="18"/>
          <w:lang w:val="en-US" w:eastAsia="it-IT"/>
        </w:rPr>
        <w:t xml:space="preserve">Global Sustainability Standards Board (GSSB), </w:t>
      </w:r>
      <w:r w:rsidR="00BC6398" w:rsidRPr="004077CF">
        <w:rPr>
          <w:rFonts w:ascii="Segoe UI" w:eastAsia="Times New Roman" w:hAnsi="Segoe UI" w:cs="Segoe UI"/>
          <w:bCs/>
          <w:iCs/>
          <w:color w:val="auto"/>
          <w:sz w:val="18"/>
          <w:szCs w:val="18"/>
          <w:lang w:val="en-US" w:eastAsia="it-IT"/>
        </w:rPr>
        <w:t>“</w:t>
      </w:r>
      <w:r w:rsidRPr="004077CF">
        <w:rPr>
          <w:rFonts w:ascii="Segoe UI" w:eastAsia="Times New Roman" w:hAnsi="Segoe UI" w:cs="Segoe UI"/>
          <w:bCs/>
          <w:iCs/>
          <w:color w:val="auto"/>
          <w:sz w:val="18"/>
          <w:szCs w:val="18"/>
          <w:lang w:val="en-US" w:eastAsia="it-IT"/>
        </w:rPr>
        <w:t>Sustainability Reporting (SR) Standards</w:t>
      </w:r>
      <w:r w:rsidR="00BC6398" w:rsidRPr="004077CF">
        <w:rPr>
          <w:rFonts w:ascii="Segoe UI" w:eastAsia="Times New Roman" w:hAnsi="Segoe UI" w:cs="Segoe UI"/>
          <w:bCs/>
          <w:iCs/>
          <w:color w:val="auto"/>
          <w:sz w:val="18"/>
          <w:szCs w:val="18"/>
          <w:lang w:val="en-US" w:eastAsia="it-IT"/>
        </w:rPr>
        <w:t>”</w:t>
      </w:r>
      <w:r w:rsidRPr="004077CF">
        <w:rPr>
          <w:rFonts w:ascii="Segoe UI" w:eastAsia="Times New Roman" w:hAnsi="Segoe UI" w:cs="Segoe UI"/>
          <w:bCs/>
          <w:iCs/>
          <w:color w:val="auto"/>
          <w:sz w:val="18"/>
          <w:szCs w:val="18"/>
          <w:lang w:val="en-US" w:eastAsia="it-IT"/>
        </w:rPr>
        <w:t>, 2016.</w:t>
      </w:r>
    </w:p>
    <w:p w14:paraId="628E3CB2" w14:textId="53135E02" w:rsidR="00FF48C6" w:rsidRPr="004077CF" w:rsidRDefault="00FF48C6" w:rsidP="004077CF">
      <w:pPr>
        <w:pStyle w:val="Default"/>
        <w:numPr>
          <w:ilvl w:val="0"/>
          <w:numId w:val="21"/>
        </w:numPr>
        <w:tabs>
          <w:tab w:val="left" w:pos="284"/>
        </w:tabs>
        <w:spacing w:before="120" w:after="120"/>
        <w:ind w:left="284" w:hanging="284"/>
        <w:jc w:val="both"/>
        <w:rPr>
          <w:rFonts w:ascii="Segoe UI" w:hAnsi="Segoe UI" w:cs="Segoe UI"/>
          <w:bCs/>
          <w:sz w:val="18"/>
          <w:szCs w:val="18"/>
          <w:lang w:val="en-US"/>
        </w:rPr>
      </w:pPr>
      <w:r w:rsidRPr="004077CF">
        <w:rPr>
          <w:rFonts w:ascii="Segoe UI" w:hAnsi="Segoe UI" w:cs="Segoe UI"/>
          <w:color w:val="auto"/>
          <w:sz w:val="18"/>
          <w:szCs w:val="18"/>
          <w:lang w:val="en-US"/>
        </w:rPr>
        <w:t xml:space="preserve">Global Reporting Initiative (GRI) e RobecoSAM, “Defining what matters. </w:t>
      </w:r>
      <w:r w:rsidRPr="004077CF">
        <w:rPr>
          <w:rFonts w:ascii="Segoe UI" w:hAnsi="Segoe UI" w:cs="Segoe UI"/>
          <w:color w:val="auto"/>
          <w:sz w:val="18"/>
          <w:szCs w:val="18"/>
        </w:rPr>
        <w:t>Do company and investors agree on what is material?”, 2016.</w:t>
      </w:r>
    </w:p>
    <w:p w14:paraId="5E40F845" w14:textId="77777777" w:rsidR="00571BDA" w:rsidRPr="004077CF" w:rsidRDefault="00571BDA" w:rsidP="004077CF">
      <w:pPr>
        <w:pStyle w:val="Default"/>
        <w:numPr>
          <w:ilvl w:val="0"/>
          <w:numId w:val="21"/>
        </w:numPr>
        <w:tabs>
          <w:tab w:val="left" w:pos="284"/>
        </w:tabs>
        <w:spacing w:before="120" w:after="120"/>
        <w:ind w:left="284" w:hanging="284"/>
        <w:jc w:val="both"/>
        <w:rPr>
          <w:rFonts w:ascii="Segoe UI" w:hAnsi="Segoe UI" w:cs="Segoe UI"/>
          <w:i/>
          <w:color w:val="auto"/>
          <w:sz w:val="18"/>
          <w:szCs w:val="18"/>
          <w:lang w:val="en-US"/>
        </w:rPr>
      </w:pPr>
      <w:r w:rsidRPr="004077CF">
        <w:rPr>
          <w:rFonts w:ascii="Segoe UI" w:hAnsi="Segoe UI" w:cs="Segoe UI"/>
          <w:color w:val="auto"/>
          <w:sz w:val="18"/>
          <w:szCs w:val="18"/>
          <w:lang w:val="en-US"/>
        </w:rPr>
        <w:t>Global Reporting Initiative (GRI) e RobecoSAM, “Defining materiality. What matters to reporters and investors”, 2015.</w:t>
      </w:r>
    </w:p>
    <w:p w14:paraId="4A4303CF" w14:textId="23AD6921" w:rsidR="00944468" w:rsidRPr="004077CF" w:rsidRDefault="00944468" w:rsidP="004077CF">
      <w:pPr>
        <w:pStyle w:val="Default"/>
        <w:numPr>
          <w:ilvl w:val="0"/>
          <w:numId w:val="21"/>
        </w:numPr>
        <w:tabs>
          <w:tab w:val="left" w:pos="284"/>
        </w:tabs>
        <w:spacing w:before="120" w:after="120"/>
        <w:ind w:left="284" w:hanging="284"/>
        <w:jc w:val="both"/>
        <w:rPr>
          <w:rFonts w:ascii="Segoe UI" w:hAnsi="Segoe UI" w:cs="Segoe UI"/>
          <w:bCs/>
          <w:sz w:val="18"/>
          <w:szCs w:val="18"/>
          <w:lang w:val="en-US"/>
        </w:rPr>
      </w:pPr>
      <w:r w:rsidRPr="004077CF">
        <w:rPr>
          <w:rFonts w:ascii="Segoe UI" w:hAnsi="Segoe UI" w:cs="Segoe UI"/>
          <w:bCs/>
          <w:sz w:val="18"/>
          <w:szCs w:val="18"/>
          <w:lang w:val="en-US"/>
        </w:rPr>
        <w:t xml:space="preserve">International Accounting Standards Board (IASB), “Definition of Material. Proposed amendments to IAS 1 and IAS 8”, </w:t>
      </w:r>
      <w:r w:rsidRPr="004077CF">
        <w:rPr>
          <w:rFonts w:ascii="Segoe UI" w:hAnsi="Segoe UI" w:cs="Segoe UI"/>
          <w:bCs/>
          <w:i/>
          <w:sz w:val="18"/>
          <w:szCs w:val="18"/>
          <w:lang w:val="en-US"/>
        </w:rPr>
        <w:t>Exposure Draft</w:t>
      </w:r>
      <w:r w:rsidRPr="004077CF">
        <w:rPr>
          <w:rFonts w:ascii="Segoe UI" w:hAnsi="Segoe UI" w:cs="Segoe UI"/>
          <w:bCs/>
          <w:sz w:val="18"/>
          <w:szCs w:val="18"/>
          <w:lang w:val="en-US"/>
        </w:rPr>
        <w:t xml:space="preserve"> ED/2017/6, IFRS,</w:t>
      </w:r>
      <w:r w:rsidR="002A352A" w:rsidRPr="004077CF">
        <w:rPr>
          <w:rFonts w:ascii="Segoe UI" w:hAnsi="Segoe UI" w:cs="Segoe UI"/>
          <w:bCs/>
          <w:sz w:val="18"/>
          <w:szCs w:val="18"/>
          <w:lang w:val="en-US"/>
        </w:rPr>
        <w:t xml:space="preserve"> </w:t>
      </w:r>
      <w:r w:rsidRPr="004077CF">
        <w:rPr>
          <w:rFonts w:ascii="Segoe UI" w:hAnsi="Segoe UI" w:cs="Segoe UI"/>
          <w:bCs/>
          <w:sz w:val="18"/>
          <w:szCs w:val="18"/>
          <w:lang w:val="en-US"/>
        </w:rPr>
        <w:t>settembre 2017.</w:t>
      </w:r>
    </w:p>
    <w:p w14:paraId="07F5F37F" w14:textId="618E767E" w:rsidR="00944468" w:rsidRPr="004077CF" w:rsidRDefault="00944468" w:rsidP="004077CF">
      <w:pPr>
        <w:pStyle w:val="Default"/>
        <w:numPr>
          <w:ilvl w:val="0"/>
          <w:numId w:val="21"/>
        </w:numPr>
        <w:tabs>
          <w:tab w:val="left" w:pos="284"/>
        </w:tabs>
        <w:spacing w:before="120" w:after="120"/>
        <w:ind w:left="284" w:hanging="284"/>
        <w:jc w:val="both"/>
        <w:rPr>
          <w:rFonts w:ascii="Segoe UI" w:hAnsi="Segoe UI" w:cs="Segoe UI"/>
          <w:bCs/>
          <w:sz w:val="18"/>
          <w:szCs w:val="18"/>
          <w:lang w:val="en-US"/>
        </w:rPr>
      </w:pPr>
      <w:r w:rsidRPr="004077CF">
        <w:rPr>
          <w:rFonts w:ascii="Segoe UI" w:hAnsi="Segoe UI" w:cs="Segoe UI"/>
          <w:bCs/>
          <w:sz w:val="18"/>
          <w:szCs w:val="18"/>
          <w:lang w:val="en-US"/>
        </w:rPr>
        <w:t>International Accounting Standards Board (IASB), “Making Materiality Judgements. Practice Statement 2”, IFRS, settembre 2017.</w:t>
      </w:r>
    </w:p>
    <w:p w14:paraId="0CABBB3F" w14:textId="77777777" w:rsidR="00C323C0" w:rsidRPr="004077CF" w:rsidRDefault="00C323C0" w:rsidP="004077CF">
      <w:pPr>
        <w:pStyle w:val="Default"/>
        <w:numPr>
          <w:ilvl w:val="0"/>
          <w:numId w:val="21"/>
        </w:numPr>
        <w:tabs>
          <w:tab w:val="left" w:pos="284"/>
        </w:tabs>
        <w:spacing w:before="120" w:after="120"/>
        <w:ind w:left="284" w:hanging="284"/>
        <w:jc w:val="both"/>
        <w:rPr>
          <w:rFonts w:ascii="Segoe UI" w:hAnsi="Segoe UI" w:cs="Segoe UI"/>
          <w:bCs/>
          <w:sz w:val="18"/>
          <w:szCs w:val="18"/>
          <w:lang w:val="en-US"/>
        </w:rPr>
      </w:pPr>
      <w:r w:rsidRPr="004077CF">
        <w:rPr>
          <w:rFonts w:ascii="Segoe UI" w:hAnsi="Segoe UI" w:cs="Segoe UI"/>
          <w:bCs/>
          <w:sz w:val="18"/>
          <w:szCs w:val="18"/>
          <w:lang w:val="en-US"/>
        </w:rPr>
        <w:t>International Accounting Standards Board (IASB), “The Conceptual Framework for Financial Reporting”, settembre 2010.</w:t>
      </w:r>
    </w:p>
    <w:p w14:paraId="0D5F23DE" w14:textId="18AF843E" w:rsidR="00FB7D69" w:rsidRPr="004077CF" w:rsidRDefault="00FB7D69" w:rsidP="004077CF">
      <w:pPr>
        <w:pStyle w:val="Default"/>
        <w:numPr>
          <w:ilvl w:val="0"/>
          <w:numId w:val="21"/>
        </w:numPr>
        <w:tabs>
          <w:tab w:val="left" w:pos="284"/>
        </w:tabs>
        <w:spacing w:before="120" w:after="120"/>
        <w:ind w:left="284" w:hanging="284"/>
        <w:jc w:val="both"/>
        <w:rPr>
          <w:rFonts w:ascii="Segoe UI" w:hAnsi="Segoe UI" w:cs="Segoe UI"/>
          <w:bCs/>
          <w:sz w:val="18"/>
          <w:szCs w:val="18"/>
        </w:rPr>
      </w:pPr>
      <w:r w:rsidRPr="004077CF">
        <w:rPr>
          <w:rFonts w:ascii="Segoe UI" w:hAnsi="Segoe UI" w:cs="Segoe UI"/>
          <w:bCs/>
          <w:sz w:val="18"/>
          <w:szCs w:val="18"/>
        </w:rPr>
        <w:t>International Accounting Standards Board (IASB), “Quadro sistematico (Framework) per la preparazione e la presentazione del bilancio”, in IFRS, 200</w:t>
      </w:r>
      <w:r w:rsidR="00C323C0" w:rsidRPr="004077CF">
        <w:rPr>
          <w:rFonts w:ascii="Segoe UI" w:hAnsi="Segoe UI" w:cs="Segoe UI"/>
          <w:bCs/>
          <w:sz w:val="18"/>
          <w:szCs w:val="18"/>
        </w:rPr>
        <w:t>9</w:t>
      </w:r>
      <w:r w:rsidRPr="004077CF">
        <w:rPr>
          <w:rFonts w:ascii="Segoe UI" w:hAnsi="Segoe UI" w:cs="Segoe UI"/>
          <w:bCs/>
          <w:sz w:val="18"/>
          <w:szCs w:val="18"/>
        </w:rPr>
        <w:t>.</w:t>
      </w:r>
    </w:p>
    <w:p w14:paraId="785FF882" w14:textId="05B8CD60" w:rsidR="0047388C" w:rsidRPr="004077CF" w:rsidRDefault="00071522" w:rsidP="004077CF">
      <w:pPr>
        <w:pStyle w:val="Default"/>
        <w:numPr>
          <w:ilvl w:val="0"/>
          <w:numId w:val="21"/>
        </w:numPr>
        <w:tabs>
          <w:tab w:val="left" w:pos="284"/>
        </w:tabs>
        <w:spacing w:before="120" w:after="120"/>
        <w:ind w:left="284" w:hanging="284"/>
        <w:jc w:val="both"/>
        <w:rPr>
          <w:rFonts w:ascii="Segoe UI" w:hAnsi="Segoe UI" w:cs="Segoe UI"/>
          <w:bCs/>
          <w:sz w:val="18"/>
          <w:szCs w:val="18"/>
        </w:rPr>
      </w:pPr>
      <w:r w:rsidRPr="004077CF">
        <w:rPr>
          <w:rFonts w:ascii="Segoe UI" w:hAnsi="Segoe UI" w:cs="Segoe UI"/>
          <w:bCs/>
          <w:sz w:val="18"/>
          <w:szCs w:val="18"/>
          <w:lang w:val="en-US"/>
        </w:rPr>
        <w:t>International Accounting Standards Board (IASB), “Framework for the Preparation and Presentation of Financial Statements”, in IFRS, 2009.</w:t>
      </w:r>
    </w:p>
    <w:p w14:paraId="6BF24BBC" w14:textId="7FE7468E" w:rsidR="0047388C" w:rsidRPr="004077CF" w:rsidRDefault="0047388C" w:rsidP="004077CF">
      <w:pPr>
        <w:pStyle w:val="Default"/>
        <w:numPr>
          <w:ilvl w:val="0"/>
          <w:numId w:val="21"/>
        </w:numPr>
        <w:tabs>
          <w:tab w:val="left" w:pos="284"/>
        </w:tabs>
        <w:spacing w:before="120" w:after="120"/>
        <w:ind w:left="284" w:hanging="284"/>
        <w:jc w:val="both"/>
        <w:rPr>
          <w:rFonts w:ascii="Segoe UI" w:hAnsi="Segoe UI" w:cs="Segoe UI"/>
          <w:bCs/>
          <w:sz w:val="18"/>
          <w:szCs w:val="18"/>
        </w:rPr>
      </w:pPr>
      <w:r w:rsidRPr="004077CF">
        <w:rPr>
          <w:rFonts w:ascii="Segoe UI" w:eastAsia="Times New Roman" w:hAnsi="Segoe UI" w:cs="Segoe UI"/>
          <w:bCs/>
          <w:color w:val="auto"/>
          <w:sz w:val="18"/>
          <w:szCs w:val="18"/>
          <w:lang w:val="en-US" w:eastAsia="it-IT"/>
        </w:rPr>
        <w:t>International Federation of Accountants (IFAC) e International Integrated Reporting Council (IIRC), “Materiality in IR. Guidance for the preparation of integrated reports”, novembre 2015.</w:t>
      </w:r>
    </w:p>
    <w:p w14:paraId="71255515" w14:textId="1407D7B1" w:rsidR="00FB7D69" w:rsidRPr="004077CF" w:rsidRDefault="00FB7D69" w:rsidP="004077CF">
      <w:pPr>
        <w:pStyle w:val="Default"/>
        <w:numPr>
          <w:ilvl w:val="0"/>
          <w:numId w:val="21"/>
        </w:numPr>
        <w:tabs>
          <w:tab w:val="left" w:pos="284"/>
        </w:tabs>
        <w:spacing w:before="120" w:after="120"/>
        <w:ind w:left="284" w:hanging="284"/>
        <w:jc w:val="both"/>
        <w:rPr>
          <w:rFonts w:ascii="Segoe UI" w:eastAsia="Times New Roman" w:hAnsi="Segoe UI" w:cs="Segoe UI"/>
          <w:bCs/>
          <w:i/>
          <w:iCs/>
          <w:color w:val="auto"/>
          <w:sz w:val="18"/>
          <w:szCs w:val="18"/>
          <w:lang w:val="en-US" w:eastAsia="it-IT"/>
        </w:rPr>
      </w:pPr>
      <w:r w:rsidRPr="004077CF">
        <w:rPr>
          <w:rFonts w:ascii="Segoe UI" w:eastAsia="Times New Roman" w:hAnsi="Segoe UI" w:cs="Segoe UI"/>
          <w:bCs/>
          <w:color w:val="auto"/>
          <w:sz w:val="18"/>
          <w:szCs w:val="18"/>
          <w:lang w:val="en-US" w:eastAsia="it-IT"/>
        </w:rPr>
        <w:t>International Integrated Reporting Council</w:t>
      </w:r>
      <w:r w:rsidR="00685CC9" w:rsidRPr="004077CF">
        <w:rPr>
          <w:rFonts w:ascii="Segoe UI" w:eastAsia="Times New Roman" w:hAnsi="Segoe UI" w:cs="Segoe UI"/>
          <w:bCs/>
          <w:color w:val="auto"/>
          <w:sz w:val="18"/>
          <w:szCs w:val="18"/>
          <w:lang w:val="en-US" w:eastAsia="it-IT"/>
        </w:rPr>
        <w:t xml:space="preserve"> (IIRC)</w:t>
      </w:r>
      <w:r w:rsidRPr="004077CF">
        <w:rPr>
          <w:rFonts w:ascii="Segoe UI" w:eastAsia="Times New Roman" w:hAnsi="Segoe UI" w:cs="Segoe UI"/>
          <w:bCs/>
          <w:color w:val="auto"/>
          <w:sz w:val="18"/>
          <w:szCs w:val="18"/>
          <w:lang w:val="en-US" w:eastAsia="it-IT"/>
        </w:rPr>
        <w:t>, International Integrated Reporting Framework 1.0, 2013.</w:t>
      </w:r>
    </w:p>
    <w:p w14:paraId="7A58BDC4" w14:textId="7111F466" w:rsidR="00491CC9" w:rsidRPr="004077CF" w:rsidRDefault="00AF402B" w:rsidP="004077CF">
      <w:pPr>
        <w:pStyle w:val="Default"/>
        <w:numPr>
          <w:ilvl w:val="0"/>
          <w:numId w:val="21"/>
        </w:numPr>
        <w:tabs>
          <w:tab w:val="left" w:pos="284"/>
        </w:tabs>
        <w:spacing w:before="120" w:after="120"/>
        <w:ind w:left="284" w:hanging="284"/>
        <w:jc w:val="both"/>
        <w:rPr>
          <w:rFonts w:ascii="Segoe UI" w:eastAsia="Times New Roman" w:hAnsi="Segoe UI" w:cs="Segoe UI"/>
          <w:bCs/>
          <w:i/>
          <w:iCs/>
          <w:color w:val="auto"/>
          <w:sz w:val="18"/>
          <w:szCs w:val="18"/>
          <w:lang w:eastAsia="it-IT"/>
        </w:rPr>
      </w:pPr>
      <w:r w:rsidRPr="004077CF">
        <w:rPr>
          <w:rFonts w:ascii="Segoe UI" w:eastAsia="Times New Roman" w:hAnsi="Segoe UI" w:cs="Segoe UI"/>
          <w:bCs/>
          <w:color w:val="auto"/>
          <w:sz w:val="18"/>
          <w:szCs w:val="18"/>
          <w:lang w:eastAsia="it-IT"/>
        </w:rPr>
        <w:t>Ned</w:t>
      </w:r>
      <w:r w:rsidR="002B4313" w:rsidRPr="004077CF">
        <w:rPr>
          <w:rFonts w:ascii="Segoe UI" w:eastAsia="Times New Roman" w:hAnsi="Segoe UI" w:cs="Segoe UI"/>
          <w:bCs/>
          <w:color w:val="auto"/>
          <w:sz w:val="18"/>
          <w:szCs w:val="18"/>
          <w:lang w:eastAsia="it-IT"/>
        </w:rPr>
        <w:t>c</w:t>
      </w:r>
      <w:r w:rsidRPr="004077CF">
        <w:rPr>
          <w:rFonts w:ascii="Segoe UI" w:eastAsia="Times New Roman" w:hAnsi="Segoe UI" w:cs="Segoe UI"/>
          <w:bCs/>
          <w:color w:val="auto"/>
          <w:sz w:val="18"/>
          <w:szCs w:val="18"/>
          <w:lang w:eastAsia="it-IT"/>
        </w:rPr>
        <w:t>ommunity, “Effective governance outlook. La dichiarazione sulle informazioni non finanziarie: ruoli e responsabilità degli organi aziendali”, n. 5, gennaio</w:t>
      </w:r>
      <w:r w:rsidR="003B2335" w:rsidRPr="004077CF">
        <w:rPr>
          <w:rFonts w:ascii="Segoe UI" w:eastAsia="Times New Roman" w:hAnsi="Segoe UI" w:cs="Segoe UI"/>
          <w:bCs/>
          <w:color w:val="auto"/>
          <w:sz w:val="18"/>
          <w:szCs w:val="18"/>
          <w:lang w:eastAsia="it-IT"/>
        </w:rPr>
        <w:t xml:space="preserve"> </w:t>
      </w:r>
      <w:r w:rsidRPr="004077CF">
        <w:rPr>
          <w:rFonts w:ascii="Segoe UI" w:eastAsia="Times New Roman" w:hAnsi="Segoe UI" w:cs="Segoe UI"/>
          <w:bCs/>
          <w:color w:val="auto"/>
          <w:sz w:val="18"/>
          <w:szCs w:val="18"/>
          <w:lang w:eastAsia="it-IT"/>
        </w:rPr>
        <w:t>2018.</w:t>
      </w:r>
    </w:p>
    <w:p w14:paraId="50F6B29F" w14:textId="55FFF26D" w:rsidR="002274BE" w:rsidRPr="00AF402B" w:rsidRDefault="002274BE" w:rsidP="002274BE">
      <w:pPr>
        <w:pStyle w:val="Default"/>
        <w:tabs>
          <w:tab w:val="left" w:pos="284"/>
        </w:tabs>
        <w:spacing w:before="120" w:after="120"/>
        <w:jc w:val="both"/>
        <w:rPr>
          <w:rFonts w:ascii="Segoe UI" w:eastAsia="Times New Roman" w:hAnsi="Segoe UI" w:cs="Segoe UI"/>
          <w:bCs/>
          <w:i/>
          <w:iCs/>
          <w:color w:val="auto"/>
          <w:sz w:val="18"/>
          <w:szCs w:val="18"/>
          <w:lang w:eastAsia="it-IT"/>
        </w:rPr>
      </w:pPr>
    </w:p>
    <w:p w14:paraId="7088AA3B" w14:textId="77777777" w:rsidR="002274BE" w:rsidRPr="00AF402B" w:rsidRDefault="002274BE" w:rsidP="002274BE">
      <w:pPr>
        <w:pStyle w:val="Default"/>
        <w:tabs>
          <w:tab w:val="left" w:pos="284"/>
        </w:tabs>
        <w:spacing w:before="120" w:after="120"/>
        <w:jc w:val="both"/>
        <w:rPr>
          <w:rFonts w:ascii="Segoe UI" w:eastAsia="Times New Roman" w:hAnsi="Segoe UI" w:cs="Segoe UI"/>
          <w:bCs/>
          <w:i/>
          <w:iCs/>
          <w:color w:val="auto"/>
          <w:sz w:val="18"/>
          <w:szCs w:val="18"/>
          <w:lang w:eastAsia="it-IT"/>
        </w:rPr>
        <w:sectPr w:rsidR="002274BE" w:rsidRPr="00AF402B" w:rsidSect="00A827A2">
          <w:pgSz w:w="11906" w:h="16838" w:code="9"/>
          <w:pgMar w:top="1985" w:right="1134" w:bottom="1418" w:left="1134" w:header="709" w:footer="709" w:gutter="0"/>
          <w:cols w:space="709"/>
        </w:sectPr>
      </w:pPr>
    </w:p>
    <w:p w14:paraId="69206BB0" w14:textId="77777777" w:rsidR="00FB7D69" w:rsidRPr="00AF402B" w:rsidRDefault="00FB7D69" w:rsidP="00FB7D69">
      <w:pPr>
        <w:keepNext/>
        <w:keepLines/>
        <w:tabs>
          <w:tab w:val="left" w:pos="426"/>
        </w:tabs>
        <w:spacing w:before="120" w:after="120" w:line="240" w:lineRule="auto"/>
        <w:rPr>
          <w:rFonts w:ascii="Segoe UI" w:hAnsi="Segoe UI" w:cs="Segoe UI"/>
          <w:bCs/>
        </w:rPr>
      </w:pPr>
      <w:bookmarkStart w:id="53" w:name="_Toc474511378"/>
      <w:bookmarkStart w:id="54" w:name="_Toc489728471"/>
    </w:p>
    <w:p w14:paraId="1BD03FBE" w14:textId="77777777" w:rsidR="00FB7D69" w:rsidRPr="00AF402B" w:rsidRDefault="00FB7D69" w:rsidP="00FB7D69">
      <w:pPr>
        <w:keepNext/>
        <w:keepLines/>
        <w:tabs>
          <w:tab w:val="left" w:pos="426"/>
        </w:tabs>
        <w:spacing w:before="120" w:after="120" w:line="240" w:lineRule="auto"/>
        <w:rPr>
          <w:rFonts w:ascii="Segoe UI" w:hAnsi="Segoe UI" w:cs="Segoe UI"/>
          <w:bCs/>
        </w:rPr>
      </w:pPr>
    </w:p>
    <w:p w14:paraId="1F2A18B8" w14:textId="77777777" w:rsidR="00FB7D69" w:rsidRDefault="00FB7D69" w:rsidP="00FB7D69">
      <w:pPr>
        <w:pStyle w:val="NormaleWeb"/>
        <w:keepNext/>
        <w:keepLines/>
        <w:tabs>
          <w:tab w:val="left" w:pos="0"/>
        </w:tabs>
        <w:spacing w:before="120" w:beforeAutospacing="0" w:after="120" w:afterAutospacing="0"/>
        <w:jc w:val="both"/>
        <w:outlineLvl w:val="0"/>
        <w:rPr>
          <w:rFonts w:ascii="Segoe UI" w:hAnsi="Segoe UI" w:cs="Segoe UI"/>
          <w:sz w:val="22"/>
          <w:szCs w:val="22"/>
        </w:rPr>
      </w:pPr>
      <w:bookmarkStart w:id="55" w:name="_Toc499810530"/>
      <w:bookmarkStart w:id="56" w:name="_Toc500778482"/>
      <w:bookmarkStart w:id="57" w:name="_Toc500778663"/>
      <w:bookmarkStart w:id="58" w:name="_Toc507973970"/>
      <w:r w:rsidRPr="00A81A91">
        <w:rPr>
          <w:rFonts w:ascii="Segoe UI" w:hAnsi="Segoe UI" w:cs="Segoe UI"/>
          <w:sz w:val="22"/>
          <w:szCs w:val="22"/>
        </w:rPr>
        <w:t>Linee guida di rendicontazione richiamati nella relazione alla direttiva 2014/95/UE</w:t>
      </w:r>
      <w:bookmarkEnd w:id="53"/>
      <w:bookmarkEnd w:id="55"/>
      <w:bookmarkEnd w:id="56"/>
      <w:bookmarkEnd w:id="57"/>
      <w:bookmarkEnd w:id="58"/>
    </w:p>
    <w:p w14:paraId="2D030344" w14:textId="77777777" w:rsidR="00FB7D69" w:rsidRDefault="00FB7D69" w:rsidP="00FB7D69">
      <w:pPr>
        <w:pStyle w:val="NormaleWeb"/>
        <w:keepNext/>
        <w:keepLines/>
        <w:tabs>
          <w:tab w:val="left" w:pos="0"/>
        </w:tabs>
        <w:spacing w:before="120" w:beforeAutospacing="0" w:after="120" w:afterAutospacing="0"/>
        <w:jc w:val="both"/>
        <w:rPr>
          <w:rFonts w:ascii="Segoe UI" w:hAnsi="Segoe UI" w:cs="Segoe UI"/>
          <w:i/>
          <w:sz w:val="18"/>
          <w:szCs w:val="18"/>
        </w:rPr>
      </w:pPr>
      <w:r w:rsidRPr="00A81A91">
        <w:rPr>
          <w:rFonts w:ascii="Segoe UI" w:hAnsi="Segoe UI" w:cs="Segoe UI"/>
          <w:i/>
          <w:sz w:val="18"/>
          <w:szCs w:val="18"/>
        </w:rPr>
        <w:t>(in ordine cronologico decrescente)</w:t>
      </w:r>
    </w:p>
    <w:p w14:paraId="192BF29F" w14:textId="77777777" w:rsidR="00683BD5" w:rsidRPr="009626EC" w:rsidRDefault="00683BD5" w:rsidP="00683BD5">
      <w:pPr>
        <w:pStyle w:val="NormaleWeb"/>
        <w:keepNext/>
        <w:keepLines/>
        <w:tabs>
          <w:tab w:val="left" w:pos="0"/>
        </w:tabs>
        <w:spacing w:before="120" w:beforeAutospacing="0" w:after="120" w:afterAutospacing="0"/>
        <w:jc w:val="both"/>
        <w:rPr>
          <w:rFonts w:ascii="Segoe UI" w:hAnsi="Segoe UI" w:cs="Segoe UI"/>
          <w:sz w:val="18"/>
          <w:szCs w:val="18"/>
        </w:rPr>
      </w:pPr>
    </w:p>
    <w:p w14:paraId="67A118EC" w14:textId="77777777" w:rsidR="00FB7D69" w:rsidRPr="009626EC" w:rsidRDefault="00FB7D69" w:rsidP="004077CF">
      <w:pPr>
        <w:pStyle w:val="Paragrafoelenco"/>
        <w:numPr>
          <w:ilvl w:val="0"/>
          <w:numId w:val="19"/>
        </w:numPr>
        <w:tabs>
          <w:tab w:val="left" w:pos="284"/>
        </w:tabs>
        <w:spacing w:before="120" w:after="0" w:line="240" w:lineRule="auto"/>
        <w:ind w:left="284" w:hanging="284"/>
        <w:contextualSpacing w:val="0"/>
        <w:jc w:val="both"/>
        <w:rPr>
          <w:rFonts w:ascii="Segoe UI" w:hAnsi="Segoe UI" w:cs="Segoe UI"/>
          <w:sz w:val="18"/>
          <w:szCs w:val="18"/>
          <w:lang w:val="fr-FR"/>
        </w:rPr>
      </w:pPr>
      <w:r w:rsidRPr="009626EC">
        <w:rPr>
          <w:rFonts w:ascii="Segoe UI" w:hAnsi="Segoe UI" w:cs="Segoe UI"/>
          <w:sz w:val="18"/>
          <w:szCs w:val="18"/>
          <w:lang w:val="fr-FR"/>
        </w:rPr>
        <w:t>Global Reporting Initiative.</w:t>
      </w:r>
    </w:p>
    <w:p w14:paraId="2A46120B" w14:textId="77777777" w:rsidR="00FB7D69" w:rsidRPr="009626EC" w:rsidRDefault="0047350D" w:rsidP="004077CF">
      <w:pPr>
        <w:pStyle w:val="Paragrafoelenco"/>
        <w:tabs>
          <w:tab w:val="left" w:pos="284"/>
        </w:tabs>
        <w:autoSpaceDE w:val="0"/>
        <w:autoSpaceDN w:val="0"/>
        <w:adjustRightInd w:val="0"/>
        <w:spacing w:before="60" w:after="120" w:line="240" w:lineRule="auto"/>
        <w:ind w:left="284"/>
        <w:contextualSpacing w:val="0"/>
        <w:jc w:val="both"/>
        <w:rPr>
          <w:rStyle w:val="Collegamentoipertestuale"/>
          <w:rFonts w:ascii="Segoe UI" w:hAnsi="Segoe UI" w:cs="Segoe UI"/>
          <w:sz w:val="18"/>
          <w:szCs w:val="18"/>
          <w:u w:val="none"/>
          <w:lang w:val="fr-FR"/>
        </w:rPr>
      </w:pPr>
      <w:hyperlink r:id="rId21" w:history="1">
        <w:r w:rsidR="00FB7D69" w:rsidRPr="009626EC">
          <w:rPr>
            <w:rStyle w:val="Collegamentoipertestuale"/>
            <w:rFonts w:ascii="Segoe UI" w:hAnsi="Segoe UI" w:cs="Segoe UI"/>
            <w:sz w:val="18"/>
            <w:szCs w:val="18"/>
            <w:u w:val="none"/>
            <w:lang w:val="fr-FR"/>
          </w:rPr>
          <w:t>https://www.globalreporting.org/standards/gri-standards-download-center/</w:t>
        </w:r>
      </w:hyperlink>
    </w:p>
    <w:p w14:paraId="5D2EF095" w14:textId="77777777" w:rsidR="00FB7D69" w:rsidRPr="009626EC" w:rsidRDefault="00FB7D69" w:rsidP="004077CF">
      <w:pPr>
        <w:pStyle w:val="Paragrafoelenco"/>
        <w:numPr>
          <w:ilvl w:val="0"/>
          <w:numId w:val="19"/>
        </w:numPr>
        <w:tabs>
          <w:tab w:val="left" w:pos="284"/>
        </w:tabs>
        <w:spacing w:before="120" w:after="0" w:line="240" w:lineRule="auto"/>
        <w:ind w:left="284" w:hanging="284"/>
        <w:contextualSpacing w:val="0"/>
        <w:jc w:val="both"/>
        <w:rPr>
          <w:rFonts w:ascii="Segoe UI" w:hAnsi="Segoe UI" w:cs="Segoe UI"/>
          <w:sz w:val="18"/>
          <w:szCs w:val="18"/>
        </w:rPr>
      </w:pPr>
      <w:r w:rsidRPr="009626EC">
        <w:rPr>
          <w:rFonts w:ascii="Segoe UI" w:hAnsi="Segoe UI" w:cs="Segoe UI"/>
          <w:sz w:val="18"/>
          <w:szCs w:val="18"/>
        </w:rPr>
        <w:t>Nazioni unite, Global Compact.</w:t>
      </w:r>
    </w:p>
    <w:p w14:paraId="6CD073FF" w14:textId="77777777" w:rsidR="00FB7D69" w:rsidRPr="009626EC" w:rsidRDefault="0047350D" w:rsidP="004077CF">
      <w:pPr>
        <w:pStyle w:val="Paragrafoelenco"/>
        <w:tabs>
          <w:tab w:val="left" w:pos="284"/>
        </w:tabs>
        <w:autoSpaceDE w:val="0"/>
        <w:autoSpaceDN w:val="0"/>
        <w:adjustRightInd w:val="0"/>
        <w:spacing w:before="60" w:after="120" w:line="240" w:lineRule="auto"/>
        <w:ind w:left="284"/>
        <w:contextualSpacing w:val="0"/>
        <w:jc w:val="both"/>
        <w:rPr>
          <w:rFonts w:ascii="Segoe UI" w:hAnsi="Segoe UI" w:cs="Segoe UI"/>
          <w:sz w:val="18"/>
          <w:szCs w:val="18"/>
        </w:rPr>
      </w:pPr>
      <w:hyperlink r:id="rId22" w:history="1">
        <w:r w:rsidR="00FB7D69" w:rsidRPr="009626EC">
          <w:rPr>
            <w:rStyle w:val="Collegamentoipertestuale"/>
            <w:rFonts w:ascii="Segoe UI" w:hAnsi="Segoe UI" w:cs="Segoe UI"/>
            <w:sz w:val="18"/>
            <w:szCs w:val="18"/>
            <w:u w:val="none"/>
          </w:rPr>
          <w:t>http://www.unglobalcompact.org/AboutTheGC/TheTenPrinciples/index.html</w:t>
        </w:r>
      </w:hyperlink>
    </w:p>
    <w:p w14:paraId="13FEDEBF" w14:textId="77777777" w:rsidR="00FB7D69" w:rsidRPr="009626EC" w:rsidRDefault="00FB7D69" w:rsidP="004077CF">
      <w:pPr>
        <w:pStyle w:val="Paragrafoelenco"/>
        <w:numPr>
          <w:ilvl w:val="0"/>
          <w:numId w:val="19"/>
        </w:numPr>
        <w:tabs>
          <w:tab w:val="left" w:pos="284"/>
        </w:tabs>
        <w:spacing w:before="120" w:after="0" w:line="240" w:lineRule="auto"/>
        <w:ind w:left="284" w:hanging="284"/>
        <w:contextualSpacing w:val="0"/>
        <w:jc w:val="both"/>
        <w:rPr>
          <w:rFonts w:ascii="Segoe UI" w:hAnsi="Segoe UI" w:cs="Segoe UI"/>
          <w:sz w:val="18"/>
          <w:szCs w:val="18"/>
          <w:lang w:val="en-US"/>
        </w:rPr>
      </w:pPr>
      <w:r w:rsidRPr="009626EC">
        <w:rPr>
          <w:rFonts w:ascii="Segoe UI" w:hAnsi="Segoe UI" w:cs="Segoe UI"/>
          <w:sz w:val="18"/>
          <w:szCs w:val="18"/>
          <w:lang w:val="en-US"/>
        </w:rPr>
        <w:t>Nazioni unite, “Guiding Principles on Business and Human Rights”, 2011.</w:t>
      </w:r>
    </w:p>
    <w:p w14:paraId="33B40873" w14:textId="77777777" w:rsidR="00FB7D69" w:rsidRPr="009626EC" w:rsidRDefault="0047350D" w:rsidP="004077CF">
      <w:pPr>
        <w:pStyle w:val="Paragrafoelenco"/>
        <w:tabs>
          <w:tab w:val="left" w:pos="284"/>
        </w:tabs>
        <w:autoSpaceDE w:val="0"/>
        <w:autoSpaceDN w:val="0"/>
        <w:adjustRightInd w:val="0"/>
        <w:spacing w:before="60" w:after="120" w:line="240" w:lineRule="auto"/>
        <w:ind w:left="568" w:hanging="284"/>
        <w:contextualSpacing w:val="0"/>
        <w:jc w:val="both"/>
        <w:rPr>
          <w:rFonts w:ascii="Segoe UI" w:hAnsi="Segoe UI" w:cs="Segoe UI"/>
          <w:sz w:val="18"/>
          <w:szCs w:val="18"/>
          <w:lang w:val="en-US"/>
        </w:rPr>
      </w:pPr>
      <w:hyperlink r:id="rId23" w:history="1">
        <w:r w:rsidR="00FB7D69" w:rsidRPr="009626EC">
          <w:rPr>
            <w:rStyle w:val="Collegamentoipertestuale"/>
            <w:rFonts w:ascii="Segoe UI" w:hAnsi="Segoe UI" w:cs="Segoe UI"/>
            <w:sz w:val="18"/>
            <w:szCs w:val="18"/>
            <w:u w:val="none"/>
            <w:lang w:val="en-US"/>
          </w:rPr>
          <w:t>http://www.ohchr.org/Documents/Publications/GuidingPrinciplesBusinessHR_EN.pdf</w:t>
        </w:r>
      </w:hyperlink>
    </w:p>
    <w:p w14:paraId="1CB4ED0F" w14:textId="77777777" w:rsidR="00FB7D69" w:rsidRPr="009626EC" w:rsidRDefault="00FB7D69" w:rsidP="004077CF">
      <w:pPr>
        <w:pStyle w:val="Paragrafoelenco"/>
        <w:numPr>
          <w:ilvl w:val="0"/>
          <w:numId w:val="19"/>
        </w:numPr>
        <w:tabs>
          <w:tab w:val="left" w:pos="284"/>
        </w:tabs>
        <w:spacing w:before="120" w:after="0" w:line="240" w:lineRule="auto"/>
        <w:ind w:left="284" w:hanging="284"/>
        <w:contextualSpacing w:val="0"/>
        <w:jc w:val="both"/>
        <w:rPr>
          <w:rFonts w:ascii="Segoe UI" w:hAnsi="Segoe UI" w:cs="Segoe UI"/>
          <w:sz w:val="18"/>
          <w:szCs w:val="18"/>
          <w:lang w:val="en-US"/>
        </w:rPr>
      </w:pPr>
      <w:r w:rsidRPr="009626EC">
        <w:rPr>
          <w:rFonts w:ascii="Segoe UI" w:hAnsi="Segoe UI" w:cs="Segoe UI"/>
          <w:sz w:val="18"/>
          <w:szCs w:val="18"/>
          <w:lang w:val="en-US"/>
        </w:rPr>
        <w:t>Organisation for Economic Co-operation and Development (OECD), “Guidelines for Multinational Enterprises”, ultima versione, 2011.</w:t>
      </w:r>
    </w:p>
    <w:p w14:paraId="63F724A6" w14:textId="77777777" w:rsidR="00FB7D69" w:rsidRPr="009626EC" w:rsidRDefault="0047350D" w:rsidP="004077CF">
      <w:pPr>
        <w:pStyle w:val="Paragrafoelenco"/>
        <w:tabs>
          <w:tab w:val="left" w:pos="284"/>
        </w:tabs>
        <w:autoSpaceDE w:val="0"/>
        <w:autoSpaceDN w:val="0"/>
        <w:adjustRightInd w:val="0"/>
        <w:spacing w:before="60" w:after="120" w:line="240" w:lineRule="auto"/>
        <w:ind w:left="284"/>
        <w:contextualSpacing w:val="0"/>
        <w:jc w:val="both"/>
        <w:rPr>
          <w:rFonts w:ascii="Segoe UI" w:hAnsi="Segoe UI" w:cs="Segoe UI"/>
          <w:sz w:val="18"/>
          <w:szCs w:val="18"/>
          <w:lang w:val="en-US"/>
        </w:rPr>
      </w:pPr>
      <w:hyperlink r:id="rId24" w:history="1">
        <w:r w:rsidR="00FB7D69" w:rsidRPr="009626EC">
          <w:rPr>
            <w:rStyle w:val="Collegamentoipertestuale"/>
            <w:rFonts w:ascii="Segoe UI" w:hAnsi="Segoe UI" w:cs="Segoe UI"/>
            <w:sz w:val="18"/>
            <w:szCs w:val="18"/>
            <w:u w:val="none"/>
            <w:lang w:val="en-US"/>
          </w:rPr>
          <w:t>http://www.oecd.org/daf/inv/mne/48004323.pdf</w:t>
        </w:r>
      </w:hyperlink>
    </w:p>
    <w:p w14:paraId="1B45EA18" w14:textId="77777777" w:rsidR="00FB7D69" w:rsidRPr="009626EC" w:rsidRDefault="00FB7D69" w:rsidP="004077CF">
      <w:pPr>
        <w:pStyle w:val="Paragrafoelenco"/>
        <w:numPr>
          <w:ilvl w:val="0"/>
          <w:numId w:val="19"/>
        </w:numPr>
        <w:tabs>
          <w:tab w:val="left" w:pos="284"/>
        </w:tabs>
        <w:spacing w:before="120" w:after="0" w:line="240" w:lineRule="auto"/>
        <w:ind w:left="284" w:hanging="284"/>
        <w:contextualSpacing w:val="0"/>
        <w:jc w:val="both"/>
        <w:rPr>
          <w:rFonts w:ascii="Segoe UI" w:hAnsi="Segoe UI" w:cs="Segoe UI"/>
          <w:sz w:val="18"/>
          <w:szCs w:val="18"/>
          <w:lang w:val="en-US"/>
        </w:rPr>
      </w:pPr>
      <w:r w:rsidRPr="009626EC">
        <w:rPr>
          <w:rFonts w:ascii="Segoe UI" w:hAnsi="Segoe UI" w:cs="Segoe UI"/>
          <w:sz w:val="18"/>
          <w:szCs w:val="18"/>
          <w:lang w:val="en-US"/>
        </w:rPr>
        <w:t>International Organization for Standardization (ISO), ISO 26000 “Social responsibility”, ultima versione, 2010.</w:t>
      </w:r>
    </w:p>
    <w:p w14:paraId="643262DF" w14:textId="77777777" w:rsidR="00FB7D69" w:rsidRPr="009626EC" w:rsidRDefault="0047350D" w:rsidP="004077CF">
      <w:pPr>
        <w:pStyle w:val="Paragrafoelenco"/>
        <w:tabs>
          <w:tab w:val="left" w:pos="284"/>
        </w:tabs>
        <w:autoSpaceDE w:val="0"/>
        <w:autoSpaceDN w:val="0"/>
        <w:adjustRightInd w:val="0"/>
        <w:spacing w:before="60" w:after="120" w:line="240" w:lineRule="auto"/>
        <w:ind w:left="284"/>
        <w:contextualSpacing w:val="0"/>
        <w:jc w:val="both"/>
        <w:rPr>
          <w:rFonts w:ascii="Segoe UI" w:hAnsi="Segoe UI" w:cs="Segoe UI"/>
          <w:sz w:val="18"/>
          <w:szCs w:val="18"/>
          <w:lang w:val="en-US"/>
        </w:rPr>
      </w:pPr>
      <w:hyperlink r:id="rId25" w:history="1">
        <w:r w:rsidR="00FB7D69" w:rsidRPr="009626EC">
          <w:rPr>
            <w:rStyle w:val="Collegamentoipertestuale"/>
            <w:rFonts w:ascii="Segoe UI" w:hAnsi="Segoe UI" w:cs="Segoe UI"/>
            <w:sz w:val="18"/>
            <w:szCs w:val="18"/>
            <w:u w:val="none"/>
            <w:lang w:val="en-US"/>
          </w:rPr>
          <w:t>http://www.iso.org/iso/catalogue_detail?csnumber=42546</w:t>
        </w:r>
      </w:hyperlink>
    </w:p>
    <w:p w14:paraId="7C080223" w14:textId="77777777" w:rsidR="00FB7D69" w:rsidRPr="009626EC" w:rsidRDefault="00FB7D69" w:rsidP="004077CF">
      <w:pPr>
        <w:pStyle w:val="Paragrafoelenco"/>
        <w:numPr>
          <w:ilvl w:val="0"/>
          <w:numId w:val="19"/>
        </w:numPr>
        <w:tabs>
          <w:tab w:val="left" w:pos="284"/>
        </w:tabs>
        <w:spacing w:before="120" w:after="0" w:line="240" w:lineRule="auto"/>
        <w:ind w:left="284" w:hanging="284"/>
        <w:contextualSpacing w:val="0"/>
        <w:jc w:val="both"/>
        <w:rPr>
          <w:rFonts w:ascii="Segoe UI" w:hAnsi="Segoe UI" w:cs="Segoe UI"/>
          <w:sz w:val="18"/>
          <w:szCs w:val="18"/>
          <w:lang w:val="en-US"/>
        </w:rPr>
      </w:pPr>
      <w:r w:rsidRPr="009626EC">
        <w:rPr>
          <w:rFonts w:ascii="Segoe UI" w:hAnsi="Segoe UI" w:cs="Segoe UI"/>
          <w:sz w:val="18"/>
          <w:szCs w:val="18"/>
          <w:lang w:val="en-US"/>
        </w:rPr>
        <w:t>Unione europea, Eco-Management and Audit Scheme (EMAS), ultima versione, 2009.</w:t>
      </w:r>
    </w:p>
    <w:p w14:paraId="5A4705F4" w14:textId="77777777" w:rsidR="00FB7D69" w:rsidRPr="009626EC" w:rsidRDefault="0047350D" w:rsidP="004077CF">
      <w:pPr>
        <w:pStyle w:val="Paragrafoelenco"/>
        <w:tabs>
          <w:tab w:val="left" w:pos="284"/>
        </w:tabs>
        <w:autoSpaceDE w:val="0"/>
        <w:autoSpaceDN w:val="0"/>
        <w:adjustRightInd w:val="0"/>
        <w:spacing w:before="60" w:after="120" w:line="240" w:lineRule="auto"/>
        <w:ind w:left="284"/>
        <w:contextualSpacing w:val="0"/>
        <w:jc w:val="both"/>
        <w:rPr>
          <w:rFonts w:ascii="Segoe UI" w:hAnsi="Segoe UI" w:cs="Segoe UI"/>
          <w:sz w:val="18"/>
          <w:szCs w:val="18"/>
          <w:lang w:val="en-US"/>
        </w:rPr>
      </w:pPr>
      <w:hyperlink r:id="rId26" w:history="1">
        <w:r w:rsidR="00FB7D69" w:rsidRPr="009626EC">
          <w:rPr>
            <w:rStyle w:val="Collegamentoipertestuale"/>
            <w:rFonts w:ascii="Segoe UI" w:hAnsi="Segoe UI" w:cs="Segoe UI"/>
            <w:sz w:val="18"/>
            <w:szCs w:val="18"/>
            <w:u w:val="none"/>
            <w:lang w:val="en-US"/>
          </w:rPr>
          <w:t>http://ec.europa.eu/environment/emas/index_en.htm</w:t>
        </w:r>
      </w:hyperlink>
    </w:p>
    <w:p w14:paraId="71BC4A9D" w14:textId="77777777" w:rsidR="00FB7D69" w:rsidRPr="009626EC" w:rsidRDefault="00FB7D69" w:rsidP="004077CF">
      <w:pPr>
        <w:pStyle w:val="Paragrafoelenco"/>
        <w:numPr>
          <w:ilvl w:val="0"/>
          <w:numId w:val="19"/>
        </w:numPr>
        <w:tabs>
          <w:tab w:val="left" w:pos="284"/>
        </w:tabs>
        <w:spacing w:before="120" w:after="0" w:line="240" w:lineRule="auto"/>
        <w:ind w:left="284" w:hanging="284"/>
        <w:contextualSpacing w:val="0"/>
        <w:jc w:val="both"/>
        <w:rPr>
          <w:rFonts w:ascii="Segoe UI" w:hAnsi="Segoe UI" w:cs="Segoe UI"/>
          <w:sz w:val="18"/>
          <w:szCs w:val="18"/>
          <w:lang w:val="en-US"/>
        </w:rPr>
      </w:pPr>
      <w:r w:rsidRPr="009626EC">
        <w:rPr>
          <w:rFonts w:ascii="Segoe UI" w:hAnsi="Segoe UI" w:cs="Segoe UI"/>
          <w:sz w:val="18"/>
          <w:szCs w:val="18"/>
          <w:lang w:val="en-US"/>
        </w:rPr>
        <w:t>International Labour Organization (ILO), “Tripartite declaration of principles concerning multinational enterprises and social policy”, ultima versione, 2006.</w:t>
      </w:r>
    </w:p>
    <w:p w14:paraId="5F87553B" w14:textId="77777777" w:rsidR="00FB7D69" w:rsidRPr="009626EC" w:rsidRDefault="0047350D" w:rsidP="004077CF">
      <w:pPr>
        <w:pStyle w:val="Paragrafoelenco"/>
        <w:tabs>
          <w:tab w:val="left" w:pos="284"/>
        </w:tabs>
        <w:autoSpaceDE w:val="0"/>
        <w:autoSpaceDN w:val="0"/>
        <w:adjustRightInd w:val="0"/>
        <w:spacing w:before="60" w:after="120" w:line="240" w:lineRule="auto"/>
        <w:ind w:left="284"/>
        <w:contextualSpacing w:val="0"/>
        <w:jc w:val="both"/>
        <w:rPr>
          <w:rFonts w:ascii="Segoe UI" w:hAnsi="Segoe UI" w:cs="Segoe UI"/>
          <w:sz w:val="18"/>
          <w:szCs w:val="18"/>
          <w:lang w:val="en-US"/>
        </w:rPr>
      </w:pPr>
      <w:hyperlink r:id="rId27" w:history="1">
        <w:r w:rsidR="00FB7D69" w:rsidRPr="009626EC">
          <w:rPr>
            <w:rStyle w:val="Collegamentoipertestuale"/>
            <w:rFonts w:ascii="Segoe UI" w:hAnsi="Segoe UI" w:cs="Segoe UI"/>
            <w:sz w:val="18"/>
            <w:szCs w:val="18"/>
            <w:u w:val="none"/>
            <w:lang w:val="en-US"/>
          </w:rPr>
          <w:t>http://www.ilo.org/wcmsp5/groups/public/---ed_emp/---emp_ent/---multi/documents/publication/wcms_094386.pdf</w:t>
        </w:r>
      </w:hyperlink>
    </w:p>
    <w:p w14:paraId="65DD9D5C" w14:textId="77777777" w:rsidR="00FB7D69" w:rsidRDefault="00FB7D69" w:rsidP="00FB7D69">
      <w:pPr>
        <w:pStyle w:val="NormaleWeb"/>
        <w:tabs>
          <w:tab w:val="left" w:pos="0"/>
        </w:tabs>
        <w:spacing w:before="120" w:beforeAutospacing="0" w:after="120" w:afterAutospacing="0"/>
        <w:jc w:val="both"/>
        <w:outlineLvl w:val="0"/>
        <w:rPr>
          <w:rFonts w:ascii="Segoe UI" w:hAnsi="Segoe UI" w:cs="Segoe UI"/>
          <w:sz w:val="18"/>
          <w:szCs w:val="18"/>
          <w:lang w:val="en-US"/>
        </w:rPr>
      </w:pPr>
    </w:p>
    <w:p w14:paraId="01EAC5F7" w14:textId="77777777" w:rsidR="00FB7D69" w:rsidRPr="00BB3E9F" w:rsidRDefault="00FB7D69" w:rsidP="00FB7D69">
      <w:pPr>
        <w:pStyle w:val="NormaleWeb"/>
        <w:tabs>
          <w:tab w:val="left" w:pos="0"/>
        </w:tabs>
        <w:spacing w:before="120" w:beforeAutospacing="0" w:after="120" w:afterAutospacing="0"/>
        <w:jc w:val="both"/>
        <w:outlineLvl w:val="0"/>
        <w:rPr>
          <w:rFonts w:ascii="Segoe UI" w:hAnsi="Segoe UI" w:cs="Segoe UI"/>
          <w:sz w:val="18"/>
          <w:szCs w:val="18"/>
          <w:lang w:val="en-US"/>
        </w:rPr>
        <w:sectPr w:rsidR="00FB7D69" w:rsidRPr="00BB3E9F" w:rsidSect="00A827A2">
          <w:pgSz w:w="11906" w:h="16838" w:code="9"/>
          <w:pgMar w:top="1985" w:right="1134" w:bottom="1418" w:left="1134" w:header="709" w:footer="709" w:gutter="0"/>
          <w:cols w:space="708"/>
          <w:docGrid w:linePitch="360"/>
        </w:sectPr>
      </w:pPr>
    </w:p>
    <w:p w14:paraId="26B94BA8" w14:textId="77777777" w:rsidR="00FB7D69" w:rsidRPr="00A827A2" w:rsidRDefault="00FB7D69" w:rsidP="006B6DFF">
      <w:pPr>
        <w:keepNext/>
        <w:keepLines/>
        <w:tabs>
          <w:tab w:val="left" w:pos="426"/>
        </w:tabs>
        <w:spacing w:before="120" w:after="120" w:line="240" w:lineRule="auto"/>
        <w:rPr>
          <w:rFonts w:ascii="Segoe UI" w:hAnsi="Segoe UI" w:cs="Segoe UI"/>
          <w:bCs/>
        </w:rPr>
      </w:pPr>
      <w:bookmarkStart w:id="59" w:name="_Toc499810531"/>
    </w:p>
    <w:p w14:paraId="2D9824FB" w14:textId="77777777" w:rsidR="00FB7D69" w:rsidRPr="00A827A2" w:rsidRDefault="00FB7D69" w:rsidP="006B6DFF">
      <w:pPr>
        <w:keepNext/>
        <w:keepLines/>
        <w:tabs>
          <w:tab w:val="left" w:pos="426"/>
        </w:tabs>
        <w:spacing w:before="120" w:after="120" w:line="240" w:lineRule="auto"/>
        <w:rPr>
          <w:rFonts w:ascii="Segoe UI" w:hAnsi="Segoe UI" w:cs="Segoe UI"/>
          <w:bCs/>
        </w:rPr>
      </w:pPr>
    </w:p>
    <w:p w14:paraId="40CF7D76" w14:textId="77777777" w:rsidR="00FB7D69" w:rsidRPr="00A81A91" w:rsidRDefault="00FB7D69" w:rsidP="006B6DFF">
      <w:pPr>
        <w:pStyle w:val="NormaleWeb"/>
        <w:keepNext/>
        <w:keepLines/>
        <w:tabs>
          <w:tab w:val="left" w:pos="0"/>
        </w:tabs>
        <w:spacing w:before="120" w:beforeAutospacing="0" w:after="120" w:afterAutospacing="0"/>
        <w:jc w:val="both"/>
        <w:outlineLvl w:val="0"/>
        <w:rPr>
          <w:rFonts w:ascii="Segoe UI" w:hAnsi="Segoe UI" w:cs="Segoe UI"/>
          <w:sz w:val="22"/>
          <w:szCs w:val="22"/>
        </w:rPr>
      </w:pPr>
      <w:bookmarkStart w:id="60" w:name="_Toc500778483"/>
      <w:bookmarkStart w:id="61" w:name="_Toc500778664"/>
      <w:bookmarkStart w:id="62" w:name="_Toc507973971"/>
      <w:r w:rsidRPr="00A81A91">
        <w:rPr>
          <w:rFonts w:ascii="Segoe UI" w:hAnsi="Segoe UI" w:cs="Segoe UI"/>
          <w:sz w:val="22"/>
          <w:szCs w:val="22"/>
        </w:rPr>
        <w:t>Principi e standard di rendicontazione</w:t>
      </w:r>
      <w:bookmarkEnd w:id="54"/>
      <w:r w:rsidRPr="00A81A91">
        <w:rPr>
          <w:rFonts w:ascii="Segoe UI" w:hAnsi="Segoe UI" w:cs="Segoe UI"/>
          <w:sz w:val="22"/>
          <w:szCs w:val="22"/>
        </w:rPr>
        <w:t xml:space="preserve"> di organizzazioni internazionali</w:t>
      </w:r>
      <w:bookmarkEnd w:id="59"/>
      <w:bookmarkEnd w:id="60"/>
      <w:bookmarkEnd w:id="61"/>
      <w:bookmarkEnd w:id="62"/>
    </w:p>
    <w:p w14:paraId="730CEE42" w14:textId="77777777" w:rsidR="00FB7D69" w:rsidRDefault="00FB7D69" w:rsidP="006B6DFF">
      <w:pPr>
        <w:pStyle w:val="NormaleWeb"/>
        <w:keepNext/>
        <w:keepLines/>
        <w:tabs>
          <w:tab w:val="left" w:pos="0"/>
        </w:tabs>
        <w:spacing w:before="120" w:beforeAutospacing="0" w:after="120" w:afterAutospacing="0"/>
        <w:jc w:val="both"/>
        <w:rPr>
          <w:rFonts w:ascii="Segoe UI" w:hAnsi="Segoe UI" w:cs="Segoe UI"/>
          <w:i/>
          <w:sz w:val="18"/>
          <w:szCs w:val="18"/>
        </w:rPr>
      </w:pPr>
      <w:r w:rsidRPr="009E442D">
        <w:rPr>
          <w:rFonts w:ascii="Segoe UI" w:hAnsi="Segoe UI" w:cs="Segoe UI"/>
          <w:i/>
          <w:sz w:val="18"/>
          <w:szCs w:val="18"/>
        </w:rPr>
        <w:t>Linee guida generali (in ordine cronologico decrescente)</w:t>
      </w:r>
    </w:p>
    <w:p w14:paraId="21C30BB0" w14:textId="77777777" w:rsidR="00683BD5" w:rsidRPr="00683BD5" w:rsidRDefault="00683BD5" w:rsidP="006B6DFF">
      <w:pPr>
        <w:pStyle w:val="NormaleWeb"/>
        <w:keepNext/>
        <w:keepLines/>
        <w:tabs>
          <w:tab w:val="left" w:pos="0"/>
        </w:tabs>
        <w:spacing w:before="120" w:beforeAutospacing="0" w:after="120" w:afterAutospacing="0"/>
        <w:jc w:val="both"/>
        <w:rPr>
          <w:rFonts w:ascii="Segoe UI" w:hAnsi="Segoe UI" w:cs="Segoe UI"/>
          <w:sz w:val="18"/>
          <w:szCs w:val="18"/>
        </w:rPr>
      </w:pPr>
    </w:p>
    <w:p w14:paraId="521D4460" w14:textId="24BC8A80" w:rsidR="00FB7D69" w:rsidRPr="00B137A2" w:rsidRDefault="00B137A2" w:rsidP="006B6DFF">
      <w:pPr>
        <w:pStyle w:val="Paragrafoelenco"/>
        <w:numPr>
          <w:ilvl w:val="0"/>
          <w:numId w:val="19"/>
        </w:numPr>
        <w:tabs>
          <w:tab w:val="left" w:pos="426"/>
        </w:tabs>
        <w:spacing w:before="120" w:after="120" w:line="240" w:lineRule="auto"/>
        <w:ind w:left="426" w:hanging="426"/>
        <w:contextualSpacing w:val="0"/>
        <w:jc w:val="both"/>
        <w:rPr>
          <w:rFonts w:ascii="Segoe UI" w:hAnsi="Segoe UI" w:cs="Segoe UI"/>
          <w:sz w:val="18"/>
          <w:szCs w:val="18"/>
          <w:lang w:val="en-US"/>
        </w:rPr>
      </w:pPr>
      <w:r w:rsidRPr="00B137A2">
        <w:rPr>
          <w:rFonts w:ascii="Segoe UI" w:hAnsi="Segoe UI" w:cs="Segoe UI"/>
          <w:sz w:val="18"/>
          <w:szCs w:val="18"/>
          <w:lang w:val="en-US"/>
        </w:rPr>
        <w:t>Global Reporting Initiative (GRI) Global Sustainability Standards Board (GSSB), “Sustainability Reporting (SR) Standards”,</w:t>
      </w:r>
      <w:r>
        <w:rPr>
          <w:rFonts w:ascii="Segoe UI" w:hAnsi="Segoe UI" w:cs="Segoe UI"/>
          <w:sz w:val="18"/>
          <w:szCs w:val="18"/>
          <w:lang w:val="en-US"/>
        </w:rPr>
        <w:t xml:space="preserve"> </w:t>
      </w:r>
      <w:r w:rsidR="00FB7D69" w:rsidRPr="00B137A2">
        <w:rPr>
          <w:rFonts w:ascii="Segoe UI" w:hAnsi="Segoe UI" w:cs="Segoe UI"/>
          <w:sz w:val="18"/>
          <w:szCs w:val="18"/>
          <w:lang w:val="en-US"/>
        </w:rPr>
        <w:t>ottobre 2016.</w:t>
      </w:r>
    </w:p>
    <w:p w14:paraId="47D4EE04" w14:textId="77777777" w:rsidR="00FB7D69" w:rsidRPr="009E442D" w:rsidRDefault="00FB7D69" w:rsidP="006B6DFF">
      <w:pPr>
        <w:pStyle w:val="Paragrafoelenco"/>
        <w:numPr>
          <w:ilvl w:val="0"/>
          <w:numId w:val="19"/>
        </w:numPr>
        <w:tabs>
          <w:tab w:val="left" w:pos="426"/>
        </w:tabs>
        <w:spacing w:before="120" w:after="120" w:line="240" w:lineRule="auto"/>
        <w:ind w:left="426" w:hanging="426"/>
        <w:contextualSpacing w:val="0"/>
        <w:jc w:val="both"/>
        <w:rPr>
          <w:rFonts w:ascii="Segoe UI" w:hAnsi="Segoe UI" w:cs="Segoe UI"/>
          <w:bCs/>
          <w:sz w:val="18"/>
          <w:szCs w:val="18"/>
          <w:lang w:val="en-US"/>
        </w:rPr>
      </w:pPr>
      <w:r w:rsidRPr="009E442D">
        <w:rPr>
          <w:rFonts w:ascii="Segoe UI" w:hAnsi="Segoe UI" w:cs="Segoe UI"/>
          <w:bCs/>
          <w:sz w:val="18"/>
          <w:szCs w:val="18"/>
          <w:lang w:val="en-US"/>
        </w:rPr>
        <w:t>International Integrated Reporting Council (IIRC), “International Integrated Reporting (IR) Framework 1.0”, dicembre 2013.</w:t>
      </w:r>
    </w:p>
    <w:p w14:paraId="50238A9A" w14:textId="0D7E7B73" w:rsidR="00CF23A4" w:rsidRPr="0014338D" w:rsidRDefault="00FB7D69" w:rsidP="00252BDF">
      <w:pPr>
        <w:pStyle w:val="Paragrafoelenco"/>
        <w:numPr>
          <w:ilvl w:val="0"/>
          <w:numId w:val="19"/>
        </w:numPr>
        <w:tabs>
          <w:tab w:val="left" w:pos="426"/>
        </w:tabs>
        <w:autoSpaceDE w:val="0"/>
        <w:autoSpaceDN w:val="0"/>
        <w:adjustRightInd w:val="0"/>
        <w:spacing w:before="120" w:after="120" w:line="240" w:lineRule="auto"/>
        <w:ind w:left="426" w:hanging="426"/>
        <w:contextualSpacing w:val="0"/>
        <w:jc w:val="both"/>
        <w:rPr>
          <w:rFonts w:ascii="Segoe UI" w:eastAsia="Times New Roman" w:hAnsi="Segoe UI" w:cs="Segoe UI"/>
          <w:bCs/>
          <w:szCs w:val="20"/>
          <w:lang w:val="en-US" w:eastAsia="it-IT"/>
        </w:rPr>
      </w:pPr>
      <w:r w:rsidRPr="0014338D">
        <w:rPr>
          <w:rFonts w:ascii="Segoe UI" w:hAnsi="Segoe UI" w:cs="Segoe UI"/>
          <w:bCs/>
          <w:sz w:val="18"/>
          <w:szCs w:val="18"/>
          <w:lang w:val="en-US"/>
        </w:rPr>
        <w:t>AccountAbility, AA1000 AccountAbility Principles Standard, 2008.</w:t>
      </w:r>
      <w:bookmarkEnd w:id="43"/>
    </w:p>
    <w:p w14:paraId="7E890584" w14:textId="77777777" w:rsidR="00CF23A4" w:rsidRPr="0062207D" w:rsidRDefault="00CF23A4" w:rsidP="002B1C06">
      <w:pPr>
        <w:autoSpaceDE w:val="0"/>
        <w:autoSpaceDN w:val="0"/>
        <w:adjustRightInd w:val="0"/>
        <w:spacing w:before="120" w:after="120" w:line="240" w:lineRule="auto"/>
        <w:jc w:val="both"/>
        <w:rPr>
          <w:rFonts w:ascii="Segoe UI" w:eastAsia="Times New Roman" w:hAnsi="Segoe UI" w:cs="Segoe UI"/>
          <w:bCs/>
          <w:szCs w:val="20"/>
          <w:lang w:val="en-US" w:eastAsia="it-IT"/>
        </w:rPr>
      </w:pPr>
    </w:p>
    <w:p w14:paraId="19FBADE7" w14:textId="77777777" w:rsidR="008F191E" w:rsidRPr="0062207D" w:rsidRDefault="008F191E" w:rsidP="002B1C06">
      <w:pPr>
        <w:autoSpaceDE w:val="0"/>
        <w:autoSpaceDN w:val="0"/>
        <w:adjustRightInd w:val="0"/>
        <w:spacing w:before="120" w:after="120" w:line="240" w:lineRule="auto"/>
        <w:jc w:val="both"/>
        <w:rPr>
          <w:rFonts w:ascii="Segoe UI" w:eastAsia="Times New Roman" w:hAnsi="Segoe UI" w:cs="Segoe UI"/>
          <w:bCs/>
          <w:szCs w:val="20"/>
          <w:lang w:val="en-US" w:eastAsia="it-IT"/>
        </w:rPr>
        <w:sectPr w:rsidR="008F191E" w:rsidRPr="0062207D" w:rsidSect="00A827A2">
          <w:pgSz w:w="11906" w:h="16838" w:code="9"/>
          <w:pgMar w:top="1985" w:right="1134" w:bottom="1134" w:left="1134" w:header="709" w:footer="709" w:gutter="0"/>
          <w:cols w:space="708"/>
          <w:docGrid w:linePitch="360"/>
        </w:sectPr>
      </w:pPr>
    </w:p>
    <w:p w14:paraId="3BE28057" w14:textId="77777777" w:rsidR="009B71E5" w:rsidRPr="0062207D" w:rsidRDefault="009B71E5" w:rsidP="00204CF1">
      <w:pPr>
        <w:tabs>
          <w:tab w:val="left" w:pos="709"/>
        </w:tabs>
        <w:spacing w:before="120" w:after="120" w:line="240" w:lineRule="auto"/>
        <w:jc w:val="center"/>
        <w:rPr>
          <w:rFonts w:ascii="Segoe UI" w:eastAsia="Times New Roman" w:hAnsi="Segoe UI" w:cs="Segoe UI"/>
          <w:bCs/>
          <w:szCs w:val="20"/>
          <w:lang w:val="en-US" w:eastAsia="it-IT"/>
        </w:rPr>
      </w:pPr>
    </w:p>
    <w:p w14:paraId="7D3CD385" w14:textId="77777777" w:rsidR="007A6E3E" w:rsidRPr="0062207D" w:rsidRDefault="007A6E3E" w:rsidP="00204CF1">
      <w:pPr>
        <w:tabs>
          <w:tab w:val="left" w:pos="709"/>
        </w:tabs>
        <w:spacing w:before="120" w:after="120" w:line="240" w:lineRule="auto"/>
        <w:jc w:val="center"/>
        <w:rPr>
          <w:rFonts w:ascii="Segoe UI" w:eastAsia="Times New Roman" w:hAnsi="Segoe UI" w:cs="Segoe UI"/>
          <w:bCs/>
          <w:szCs w:val="20"/>
          <w:lang w:val="en-US" w:eastAsia="it-IT"/>
        </w:rPr>
      </w:pPr>
    </w:p>
    <w:p w14:paraId="218BA0D6" w14:textId="77777777" w:rsidR="000F1227" w:rsidRPr="0062207D" w:rsidRDefault="000F1227" w:rsidP="00204CF1">
      <w:pPr>
        <w:tabs>
          <w:tab w:val="left" w:pos="709"/>
        </w:tabs>
        <w:spacing w:before="120" w:after="120" w:line="240" w:lineRule="auto"/>
        <w:jc w:val="center"/>
        <w:rPr>
          <w:rFonts w:ascii="Segoe UI" w:eastAsia="Times New Roman" w:hAnsi="Segoe UI" w:cs="Segoe UI"/>
          <w:bCs/>
          <w:szCs w:val="20"/>
          <w:lang w:val="en-US" w:eastAsia="it-IT"/>
        </w:rPr>
      </w:pPr>
    </w:p>
    <w:p w14:paraId="04A5ED9D" w14:textId="77777777" w:rsidR="000F1227" w:rsidRPr="0062207D" w:rsidRDefault="000F1227" w:rsidP="00204CF1">
      <w:pPr>
        <w:tabs>
          <w:tab w:val="left" w:pos="709"/>
        </w:tabs>
        <w:spacing w:before="120" w:after="120" w:line="240" w:lineRule="auto"/>
        <w:jc w:val="center"/>
        <w:rPr>
          <w:rFonts w:ascii="Segoe UI" w:eastAsia="Times New Roman" w:hAnsi="Segoe UI" w:cs="Segoe UI"/>
          <w:bCs/>
          <w:szCs w:val="20"/>
          <w:lang w:val="en-US" w:eastAsia="it-IT"/>
        </w:rPr>
      </w:pPr>
    </w:p>
    <w:p w14:paraId="6C995887" w14:textId="77777777" w:rsidR="000F1227" w:rsidRPr="0062207D" w:rsidRDefault="000F1227" w:rsidP="00204CF1">
      <w:pPr>
        <w:tabs>
          <w:tab w:val="left" w:pos="709"/>
        </w:tabs>
        <w:spacing w:before="120" w:after="120" w:line="240" w:lineRule="auto"/>
        <w:jc w:val="center"/>
        <w:rPr>
          <w:rFonts w:ascii="Segoe UI" w:eastAsia="Times New Roman" w:hAnsi="Segoe UI" w:cs="Segoe UI"/>
          <w:bCs/>
          <w:szCs w:val="20"/>
          <w:lang w:val="en-US" w:eastAsia="it-IT"/>
        </w:rPr>
      </w:pPr>
    </w:p>
    <w:p w14:paraId="51E63199" w14:textId="77777777" w:rsidR="000F1227" w:rsidRPr="0062207D" w:rsidRDefault="000F1227" w:rsidP="00204CF1">
      <w:pPr>
        <w:tabs>
          <w:tab w:val="left" w:pos="709"/>
        </w:tabs>
        <w:spacing w:before="120" w:after="120" w:line="240" w:lineRule="auto"/>
        <w:jc w:val="center"/>
        <w:rPr>
          <w:rFonts w:ascii="Segoe UI" w:eastAsia="Times New Roman" w:hAnsi="Segoe UI" w:cs="Segoe UI"/>
          <w:bCs/>
          <w:szCs w:val="20"/>
          <w:lang w:val="en-US" w:eastAsia="it-IT"/>
        </w:rPr>
      </w:pPr>
    </w:p>
    <w:p w14:paraId="07098C7C" w14:textId="77777777" w:rsidR="000F1227" w:rsidRPr="0062207D" w:rsidRDefault="000F1227" w:rsidP="00204CF1">
      <w:pPr>
        <w:tabs>
          <w:tab w:val="left" w:pos="709"/>
        </w:tabs>
        <w:spacing w:before="120" w:after="120" w:line="240" w:lineRule="auto"/>
        <w:jc w:val="center"/>
        <w:rPr>
          <w:rFonts w:ascii="Segoe UI" w:eastAsia="Times New Roman" w:hAnsi="Segoe UI" w:cs="Segoe UI"/>
          <w:bCs/>
          <w:szCs w:val="20"/>
          <w:lang w:val="en-US" w:eastAsia="it-IT"/>
        </w:rPr>
      </w:pPr>
    </w:p>
    <w:p w14:paraId="145F129E" w14:textId="77777777" w:rsidR="000F1227" w:rsidRPr="0062207D" w:rsidRDefault="000F1227" w:rsidP="00204CF1">
      <w:pPr>
        <w:tabs>
          <w:tab w:val="left" w:pos="709"/>
        </w:tabs>
        <w:spacing w:before="120" w:after="120" w:line="240" w:lineRule="auto"/>
        <w:jc w:val="center"/>
        <w:rPr>
          <w:rFonts w:ascii="Segoe UI" w:eastAsia="Times New Roman" w:hAnsi="Segoe UI" w:cs="Segoe UI"/>
          <w:bCs/>
          <w:szCs w:val="20"/>
          <w:lang w:val="en-US" w:eastAsia="it-IT"/>
        </w:rPr>
      </w:pPr>
    </w:p>
    <w:p w14:paraId="1E59F943" w14:textId="77777777" w:rsidR="00057B23" w:rsidRPr="0062207D"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7CBC4C37" w14:textId="77777777" w:rsidR="00057B23" w:rsidRPr="0062207D"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5EC4C1C1" w14:textId="77777777" w:rsidR="00057B23" w:rsidRPr="0062207D"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3D49F8FB" w14:textId="77777777" w:rsidR="00057B23" w:rsidRPr="0062207D"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59E1964A" w14:textId="77777777" w:rsidR="00057B23" w:rsidRPr="0062207D"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3E4F7E4F" w14:textId="77777777" w:rsidR="00057B23"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0AAD65FC" w14:textId="77777777" w:rsidR="00057B23"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1E141C28" w14:textId="77777777" w:rsidR="001C219D" w:rsidRPr="0062207D" w:rsidRDefault="001C219D" w:rsidP="00204CF1">
      <w:pPr>
        <w:tabs>
          <w:tab w:val="left" w:pos="709"/>
        </w:tabs>
        <w:spacing w:before="120" w:after="120" w:line="240" w:lineRule="auto"/>
        <w:jc w:val="center"/>
        <w:rPr>
          <w:rFonts w:ascii="Segoe UI" w:eastAsia="Times New Roman" w:hAnsi="Segoe UI" w:cs="Segoe UI"/>
          <w:bCs/>
          <w:szCs w:val="20"/>
          <w:lang w:val="en-US" w:eastAsia="it-IT"/>
        </w:rPr>
      </w:pPr>
    </w:p>
    <w:p w14:paraId="392E1A63" w14:textId="77777777" w:rsidR="00057B23" w:rsidRPr="0062207D"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38B71764" w14:textId="77777777" w:rsidR="00057B23" w:rsidRPr="0062207D"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63091F7B" w14:textId="77777777" w:rsidR="00057B23" w:rsidRPr="0062207D"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7009AED0" w14:textId="77777777" w:rsidR="00057B23" w:rsidRPr="0062207D"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3E844871" w14:textId="77777777" w:rsidR="00057B23" w:rsidRPr="0062207D"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73DBD9A9" w14:textId="77777777" w:rsidR="00057B23" w:rsidRPr="0062207D" w:rsidRDefault="00057B23" w:rsidP="00204CF1">
      <w:pPr>
        <w:tabs>
          <w:tab w:val="left" w:pos="709"/>
        </w:tabs>
        <w:spacing w:before="120" w:after="120" w:line="240" w:lineRule="auto"/>
        <w:jc w:val="center"/>
        <w:rPr>
          <w:rFonts w:ascii="Segoe UI" w:eastAsia="Times New Roman" w:hAnsi="Segoe UI" w:cs="Segoe UI"/>
          <w:bCs/>
          <w:szCs w:val="20"/>
          <w:lang w:val="en-US" w:eastAsia="it-IT"/>
        </w:rPr>
      </w:pPr>
    </w:p>
    <w:p w14:paraId="543A1497" w14:textId="77777777" w:rsidR="000F1227" w:rsidRPr="0062207D" w:rsidRDefault="000F1227" w:rsidP="00204CF1">
      <w:pPr>
        <w:tabs>
          <w:tab w:val="left" w:pos="709"/>
        </w:tabs>
        <w:spacing w:before="120" w:after="120" w:line="240" w:lineRule="auto"/>
        <w:jc w:val="center"/>
        <w:rPr>
          <w:rFonts w:ascii="Segoe UI" w:eastAsia="Times New Roman" w:hAnsi="Segoe UI" w:cs="Segoe UI"/>
          <w:bCs/>
          <w:szCs w:val="20"/>
          <w:lang w:val="en-US" w:eastAsia="it-IT"/>
        </w:rPr>
      </w:pPr>
    </w:p>
    <w:p w14:paraId="5334C9C8" w14:textId="77777777" w:rsidR="000F1227" w:rsidRPr="0062207D" w:rsidRDefault="000F1227" w:rsidP="00204CF1">
      <w:pPr>
        <w:tabs>
          <w:tab w:val="left" w:pos="709"/>
        </w:tabs>
        <w:spacing w:before="120" w:after="120" w:line="240" w:lineRule="auto"/>
        <w:jc w:val="center"/>
        <w:rPr>
          <w:rFonts w:ascii="Segoe UI" w:eastAsia="Times New Roman" w:hAnsi="Segoe UI" w:cs="Segoe UI"/>
          <w:bCs/>
          <w:szCs w:val="20"/>
          <w:lang w:val="en-US" w:eastAsia="it-IT"/>
        </w:rPr>
      </w:pPr>
    </w:p>
    <w:tbl>
      <w:tblPr>
        <w:tblStyle w:val="Grigliatabella"/>
        <w:tblW w:w="9072" w:type="dxa"/>
        <w:jc w:val="center"/>
        <w:tblBorders>
          <w:top w:val="single" w:sz="24" w:space="0" w:color="833C0B" w:themeColor="accent2" w:themeShade="80"/>
          <w:left w:val="none" w:sz="0" w:space="0" w:color="auto"/>
          <w:bottom w:val="none" w:sz="0" w:space="0" w:color="auto"/>
          <w:right w:val="none" w:sz="0" w:space="0" w:color="auto"/>
          <w:insideH w:val="none" w:sz="0" w:space="0" w:color="auto"/>
          <w:insideV w:val="none" w:sz="0" w:space="0" w:color="auto"/>
        </w:tblBorders>
        <w:tblLayout w:type="fixed"/>
        <w:tblCellMar>
          <w:top w:w="85" w:type="dxa"/>
          <w:left w:w="85" w:type="dxa"/>
          <w:bottom w:w="85" w:type="dxa"/>
          <w:right w:w="85" w:type="dxa"/>
        </w:tblCellMar>
        <w:tblLook w:val="04A0" w:firstRow="1" w:lastRow="0" w:firstColumn="1" w:lastColumn="0" w:noHBand="0" w:noVBand="1"/>
      </w:tblPr>
      <w:tblGrid>
        <w:gridCol w:w="9072"/>
      </w:tblGrid>
      <w:tr w:rsidR="00057B23" w:rsidRPr="00057B23" w14:paraId="3AE9F85B" w14:textId="77777777" w:rsidTr="008A2A21">
        <w:trPr>
          <w:jc w:val="center"/>
        </w:trPr>
        <w:tc>
          <w:tcPr>
            <w:tcW w:w="9072" w:type="dxa"/>
            <w:vAlign w:val="center"/>
          </w:tcPr>
          <w:p w14:paraId="2B2DF133" w14:textId="77777777" w:rsidR="00057B23" w:rsidRPr="00B97B7D" w:rsidRDefault="00057B23" w:rsidP="00057B23">
            <w:pPr>
              <w:keepNext/>
              <w:keepLines/>
              <w:spacing w:before="120" w:after="120" w:line="240" w:lineRule="auto"/>
              <w:jc w:val="center"/>
              <w:rPr>
                <w:rFonts w:ascii="Segoe UI" w:hAnsi="Segoe UI" w:cs="Segoe UI"/>
                <w:bCs/>
                <w:sz w:val="18"/>
                <w:szCs w:val="18"/>
                <w:lang w:val="en-US"/>
              </w:rPr>
            </w:pPr>
          </w:p>
          <w:p w14:paraId="1C8AE874" w14:textId="77777777" w:rsidR="00057B23" w:rsidRPr="0062207D" w:rsidRDefault="00057B23" w:rsidP="00057B23">
            <w:pPr>
              <w:keepNext/>
              <w:keepLines/>
              <w:spacing w:before="120" w:after="120" w:line="240" w:lineRule="auto"/>
              <w:jc w:val="center"/>
              <w:rPr>
                <w:rFonts w:ascii="Segoe UI" w:hAnsi="Segoe UI" w:cs="Segoe UI"/>
                <w:bCs/>
                <w:szCs w:val="20"/>
              </w:rPr>
            </w:pPr>
            <w:r w:rsidRPr="0062207D">
              <w:rPr>
                <w:rFonts w:ascii="Segoe UI" w:hAnsi="Segoe UI" w:cs="Segoe UI"/>
                <w:bCs/>
                <w:szCs w:val="20"/>
              </w:rPr>
              <w:t>Consiglio Nazionale dei Dottori Commercialisti e degli Esperti Contabili</w:t>
            </w:r>
          </w:p>
          <w:p w14:paraId="18046317" w14:textId="77777777" w:rsidR="00057B23" w:rsidRPr="00057B23" w:rsidRDefault="00057B23" w:rsidP="00057B23">
            <w:pPr>
              <w:keepNext/>
              <w:keepLines/>
              <w:spacing w:before="120" w:after="120" w:line="240" w:lineRule="auto"/>
              <w:jc w:val="center"/>
              <w:rPr>
                <w:rFonts w:ascii="Segoe UI" w:hAnsi="Segoe UI" w:cs="Segoe UI"/>
                <w:sz w:val="18"/>
                <w:szCs w:val="18"/>
              </w:rPr>
            </w:pPr>
          </w:p>
          <w:p w14:paraId="7B5A1EA0" w14:textId="77777777" w:rsidR="00057B23" w:rsidRPr="00057B23" w:rsidRDefault="00057B23" w:rsidP="00057B23">
            <w:pPr>
              <w:keepNext/>
              <w:keepLines/>
              <w:spacing w:before="120" w:after="120" w:line="240" w:lineRule="auto"/>
              <w:jc w:val="center"/>
              <w:rPr>
                <w:rFonts w:ascii="Segoe UI" w:hAnsi="Segoe UI" w:cs="Segoe UI"/>
                <w:sz w:val="18"/>
                <w:szCs w:val="18"/>
              </w:rPr>
            </w:pPr>
            <w:r w:rsidRPr="00057B23">
              <w:rPr>
                <w:rFonts w:ascii="Segoe UI" w:hAnsi="Segoe UI" w:cs="Segoe UI"/>
                <w:sz w:val="18"/>
                <w:szCs w:val="18"/>
              </w:rPr>
              <w:t>Piazza della Repubblica, 59 – 00185 Roma</w:t>
            </w:r>
          </w:p>
          <w:p w14:paraId="4B55E5F2" w14:textId="77777777" w:rsidR="00057B23" w:rsidRPr="00057B23" w:rsidRDefault="00057B23" w:rsidP="00057B23">
            <w:pPr>
              <w:keepNext/>
              <w:keepLines/>
              <w:spacing w:before="120" w:after="120" w:line="240" w:lineRule="auto"/>
              <w:jc w:val="center"/>
              <w:rPr>
                <w:rFonts w:ascii="Segoe UI" w:hAnsi="Segoe UI" w:cs="Segoe UI"/>
                <w:sz w:val="18"/>
                <w:szCs w:val="18"/>
              </w:rPr>
            </w:pPr>
            <w:r w:rsidRPr="00057B23">
              <w:rPr>
                <w:rFonts w:ascii="Segoe UI" w:hAnsi="Segoe UI" w:cs="Segoe UI"/>
                <w:sz w:val="18"/>
                <w:szCs w:val="18"/>
              </w:rPr>
              <w:t>Tel. 06 47863 300 – Fax 06 47863 349</w:t>
            </w:r>
          </w:p>
          <w:p w14:paraId="39635EA3" w14:textId="77777777" w:rsidR="00057B23" w:rsidRPr="00057B23" w:rsidRDefault="00057B23" w:rsidP="00057B23">
            <w:pPr>
              <w:keepNext/>
              <w:keepLines/>
              <w:spacing w:before="120" w:after="120" w:line="240" w:lineRule="auto"/>
              <w:jc w:val="center"/>
              <w:rPr>
                <w:rFonts w:ascii="Segoe UI" w:hAnsi="Segoe UI" w:cs="Segoe UI"/>
                <w:b/>
                <w:bCs/>
                <w:sz w:val="18"/>
                <w:szCs w:val="18"/>
              </w:rPr>
            </w:pPr>
            <w:r w:rsidRPr="00057B23">
              <w:rPr>
                <w:rFonts w:ascii="Segoe UI" w:hAnsi="Segoe UI" w:cs="Segoe UI"/>
                <w:sz w:val="18"/>
                <w:szCs w:val="18"/>
              </w:rPr>
              <w:t>consiglio.nazionale@pec.commercialisti.it</w:t>
            </w:r>
          </w:p>
          <w:p w14:paraId="3432785E" w14:textId="77777777" w:rsidR="00057B23" w:rsidRPr="00057B23" w:rsidRDefault="00057B23" w:rsidP="00057B23">
            <w:pPr>
              <w:keepNext/>
              <w:keepLines/>
              <w:spacing w:before="120" w:after="120" w:line="240" w:lineRule="auto"/>
              <w:jc w:val="center"/>
              <w:rPr>
                <w:rFonts w:ascii="Segoe UI" w:hAnsi="Segoe UI" w:cs="Segoe UI"/>
                <w:sz w:val="18"/>
                <w:szCs w:val="18"/>
              </w:rPr>
            </w:pPr>
          </w:p>
          <w:p w14:paraId="0F40903C" w14:textId="77777777" w:rsidR="00057B23" w:rsidRPr="00057B23" w:rsidRDefault="00057B23" w:rsidP="00057B23">
            <w:pPr>
              <w:keepNext/>
              <w:keepLines/>
              <w:spacing w:before="120" w:after="120" w:line="240" w:lineRule="auto"/>
              <w:jc w:val="center"/>
              <w:rPr>
                <w:rFonts w:ascii="Segoe UI" w:hAnsi="Segoe UI" w:cs="Segoe UI"/>
                <w:sz w:val="18"/>
                <w:szCs w:val="18"/>
              </w:rPr>
            </w:pPr>
            <w:r w:rsidRPr="00057B23">
              <w:rPr>
                <w:rFonts w:ascii="Segoe UI" w:hAnsi="Segoe UI" w:cs="Segoe UI"/>
                <w:sz w:val="18"/>
                <w:szCs w:val="18"/>
              </w:rPr>
              <w:t>www.commercialisti.it</w:t>
            </w:r>
          </w:p>
        </w:tc>
      </w:tr>
    </w:tbl>
    <w:p w14:paraId="3CE99B7E" w14:textId="77777777" w:rsidR="00057B23" w:rsidRPr="00057B23" w:rsidRDefault="00057B23" w:rsidP="00057B23">
      <w:pPr>
        <w:spacing w:before="120" w:after="120" w:line="240" w:lineRule="auto"/>
        <w:jc w:val="center"/>
        <w:rPr>
          <w:rFonts w:ascii="Segoe UI" w:hAnsi="Segoe UI" w:cs="Segoe UI"/>
          <w:sz w:val="18"/>
          <w:szCs w:val="18"/>
        </w:rPr>
      </w:pPr>
    </w:p>
    <w:sectPr w:rsidR="00057B23" w:rsidRPr="00057B23" w:rsidSect="00E62AA3">
      <w:footerReference w:type="default" r:id="rId28"/>
      <w:pgSz w:w="11906" w:h="16838" w:code="9"/>
      <w:pgMar w:top="1985"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9A5FD1" w14:textId="77777777" w:rsidR="0047350D" w:rsidRDefault="0047350D" w:rsidP="00FB6DB5">
      <w:pPr>
        <w:spacing w:after="0" w:line="240" w:lineRule="auto"/>
      </w:pPr>
      <w:r>
        <w:separator/>
      </w:r>
    </w:p>
  </w:endnote>
  <w:endnote w:type="continuationSeparator" w:id="0">
    <w:p w14:paraId="3DEC8701" w14:textId="77777777" w:rsidR="0047350D" w:rsidRDefault="0047350D" w:rsidP="00FB6D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uturaStd-Medium">
    <w:altName w:val="Century Gothic"/>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yriad Pr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font242">
    <w:altName w:val="Times New Roman"/>
    <w:charset w:val="00"/>
    <w:family w:val="auto"/>
    <w:pitch w:val="variable"/>
  </w:font>
  <w:font w:name="font161">
    <w:charset w:val="00"/>
    <w:family w:val="auto"/>
    <w:pitch w:val="variable"/>
  </w:font>
  <w:font w:name="SimSun">
    <w:altName w:val="宋体"/>
    <w:panose1 w:val="02010600030101010101"/>
    <w:charset w:val="86"/>
    <w:family w:val="auto"/>
    <w:pitch w:val="variable"/>
    <w:sig w:usb0="00000003" w:usb1="288F0000" w:usb2="00000016" w:usb3="00000000" w:csb0="00040001" w:csb1="00000000"/>
  </w:font>
  <w:font w:name="EUAlbertina">
    <w:altName w:val="EU Albertina"/>
    <w:panose1 w:val="00000000000000000000"/>
    <w:charset w:val="00"/>
    <w:family w:val="roman"/>
    <w:notTrueType/>
    <w:pitch w:val="default"/>
    <w:sig w:usb0="00000003" w:usb1="00000000" w:usb2="00000000" w:usb3="00000000" w:csb0="00000001" w:csb1="00000000"/>
  </w:font>
  <w:font w:name="Gill Sans Nova Book">
    <w:altName w:val="Gill Sans Nova Book"/>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EAFDF3" w14:textId="77777777" w:rsidR="002C2390" w:rsidRPr="002B1FC6" w:rsidRDefault="002C2390" w:rsidP="00D777E1">
    <w:pPr>
      <w:pStyle w:val="Pidipagina"/>
      <w:jc w:val="center"/>
      <w:rPr>
        <w:rFonts w:ascii="Segoe UI" w:hAnsi="Segoe UI" w:cs="Segoe UI"/>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A0DC6B" w14:textId="77777777" w:rsidR="002C2390" w:rsidRPr="00E62AA3" w:rsidRDefault="002C2390" w:rsidP="00E62AA3">
    <w:pPr>
      <w:pStyle w:val="Pidipagina"/>
      <w:jc w:val="both"/>
      <w:rPr>
        <w:rFonts w:ascii="Segoe UI" w:hAnsi="Segoe UI" w:cs="Segoe UI"/>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84C96F" w14:textId="77777777" w:rsidR="002C2390" w:rsidRPr="002B1FC6" w:rsidRDefault="002C2390" w:rsidP="00D777E1">
    <w:pPr>
      <w:pStyle w:val="Pidipagina"/>
      <w:jc w:val="center"/>
      <w:rPr>
        <w:rFonts w:ascii="Segoe UI" w:hAnsi="Segoe UI" w:cs="Segoe UI"/>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4E3236" w14:textId="6C27DFA7" w:rsidR="002C2390" w:rsidRPr="00D426F3" w:rsidRDefault="002C2390">
    <w:pPr>
      <w:pStyle w:val="Pidipagina"/>
      <w:jc w:val="center"/>
      <w:rPr>
        <w:rFonts w:ascii="Segoe UI" w:hAnsi="Segoe UI" w:cs="Segoe UI"/>
        <w:sz w:val="16"/>
        <w:szCs w:val="16"/>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028868"/>
      <w:docPartObj>
        <w:docPartGallery w:val="Page Numbers (Bottom of Page)"/>
        <w:docPartUnique/>
      </w:docPartObj>
    </w:sdtPr>
    <w:sdtEndPr>
      <w:rPr>
        <w:rFonts w:ascii="Segoe UI" w:hAnsi="Segoe UI" w:cs="Segoe UI"/>
        <w:sz w:val="16"/>
        <w:szCs w:val="16"/>
      </w:rPr>
    </w:sdtEndPr>
    <w:sdtContent>
      <w:sdt>
        <w:sdtPr>
          <w:id w:val="-905679576"/>
          <w:docPartObj>
            <w:docPartGallery w:val="Page Numbers (Top of Page)"/>
            <w:docPartUnique/>
          </w:docPartObj>
        </w:sdtPr>
        <w:sdtEndPr>
          <w:rPr>
            <w:rFonts w:ascii="Segoe UI" w:hAnsi="Segoe UI" w:cs="Segoe UI"/>
            <w:sz w:val="16"/>
            <w:szCs w:val="16"/>
          </w:rPr>
        </w:sdtEndPr>
        <w:sdtContent>
          <w:p w14:paraId="78D84EFB" w14:textId="625B357D" w:rsidR="002C2390" w:rsidRPr="00C43DF5" w:rsidRDefault="002C2390">
            <w:pPr>
              <w:pStyle w:val="Pidipagina"/>
              <w:jc w:val="center"/>
              <w:rPr>
                <w:rFonts w:ascii="Segoe UI" w:hAnsi="Segoe UI" w:cs="Segoe UI"/>
                <w:sz w:val="16"/>
                <w:szCs w:val="16"/>
              </w:rPr>
            </w:pPr>
            <w:r w:rsidRPr="00C43DF5">
              <w:rPr>
                <w:rFonts w:ascii="Segoe UI" w:hAnsi="Segoe UI" w:cs="Segoe UI"/>
                <w:bCs/>
                <w:sz w:val="16"/>
                <w:szCs w:val="16"/>
              </w:rPr>
              <w:fldChar w:fldCharType="begin"/>
            </w:r>
            <w:r w:rsidRPr="00C43DF5">
              <w:rPr>
                <w:rFonts w:ascii="Segoe UI" w:hAnsi="Segoe UI" w:cs="Segoe UI"/>
                <w:bCs/>
                <w:sz w:val="16"/>
                <w:szCs w:val="16"/>
              </w:rPr>
              <w:instrText>PAGE</w:instrText>
            </w:r>
            <w:r w:rsidRPr="00C43DF5">
              <w:rPr>
                <w:rFonts w:ascii="Segoe UI" w:hAnsi="Segoe UI" w:cs="Segoe UI"/>
                <w:bCs/>
                <w:sz w:val="16"/>
                <w:szCs w:val="16"/>
              </w:rPr>
              <w:fldChar w:fldCharType="separate"/>
            </w:r>
            <w:r w:rsidR="003E7DE6">
              <w:rPr>
                <w:rFonts w:ascii="Segoe UI" w:hAnsi="Segoe UI" w:cs="Segoe UI"/>
                <w:bCs/>
                <w:noProof/>
                <w:sz w:val="16"/>
                <w:szCs w:val="16"/>
              </w:rPr>
              <w:t>1</w:t>
            </w:r>
            <w:r w:rsidRPr="00C43DF5">
              <w:rPr>
                <w:rFonts w:ascii="Segoe UI" w:hAnsi="Segoe UI" w:cs="Segoe UI"/>
                <w:bCs/>
                <w:sz w:val="16"/>
                <w:szCs w:val="16"/>
              </w:rPr>
              <w:fldChar w:fldCharType="end"/>
            </w:r>
            <w:r w:rsidRPr="00C43DF5">
              <w:rPr>
                <w:rFonts w:ascii="Segoe UI" w:hAnsi="Segoe UI" w:cs="Segoe UI"/>
                <w:sz w:val="16"/>
                <w:szCs w:val="16"/>
              </w:rPr>
              <w:t xml:space="preserve"> / 87</w:t>
            </w:r>
          </w:p>
        </w:sdtContent>
      </w:sdt>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BE563E" w14:textId="77777777" w:rsidR="002C2390" w:rsidRPr="00D426F3" w:rsidRDefault="002C2390">
    <w:pPr>
      <w:pStyle w:val="Pidipagina"/>
      <w:jc w:val="center"/>
      <w:rPr>
        <w:rFonts w:ascii="Segoe UI" w:hAnsi="Segoe UI" w:cs="Segoe U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285122" w14:textId="77777777" w:rsidR="0047350D" w:rsidRDefault="0047350D" w:rsidP="00FB6DB5">
      <w:pPr>
        <w:spacing w:after="0" w:line="240" w:lineRule="auto"/>
      </w:pPr>
      <w:r>
        <w:separator/>
      </w:r>
    </w:p>
  </w:footnote>
  <w:footnote w:type="continuationSeparator" w:id="0">
    <w:p w14:paraId="7853F908" w14:textId="77777777" w:rsidR="0047350D" w:rsidRDefault="0047350D" w:rsidP="00FB6DB5">
      <w:pPr>
        <w:spacing w:after="0" w:line="240" w:lineRule="auto"/>
      </w:pPr>
      <w:r>
        <w:continuationSeparator/>
      </w:r>
    </w:p>
  </w:footnote>
  <w:footnote w:id="1">
    <w:p w14:paraId="4E288A64" w14:textId="111E8C41" w:rsidR="002C2390" w:rsidRPr="00015BAA" w:rsidRDefault="002C2390" w:rsidP="00015BAA">
      <w:pPr>
        <w:pStyle w:val="Testonotaapidipagina"/>
        <w:keepNext/>
        <w:keepLines/>
        <w:spacing w:before="120" w:after="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Ai sensi dell’art. 16, co. 1, del d.lgs. n. 39/2010,</w:t>
      </w:r>
      <w:r w:rsidRPr="00015BAA">
        <w:rPr>
          <w:rFonts w:ascii="Segoe UI" w:hAnsi="Segoe UI" w:cs="Segoe UI"/>
          <w:bCs/>
          <w:sz w:val="18"/>
          <w:szCs w:val="18"/>
        </w:rPr>
        <w:t xml:space="preserve"> “</w:t>
      </w:r>
      <w:r w:rsidRPr="00015BAA">
        <w:rPr>
          <w:rFonts w:ascii="Segoe UI" w:hAnsi="Segoe UI" w:cs="Segoe UI"/>
          <w:bCs/>
          <w:i/>
          <w:sz w:val="18"/>
          <w:szCs w:val="18"/>
        </w:rPr>
        <w:t xml:space="preserve">Attuazione </w:t>
      </w:r>
      <w:r w:rsidRPr="00015BAA">
        <w:rPr>
          <w:rFonts w:ascii="Segoe UI" w:hAnsi="Segoe UI" w:cs="Segoe UI"/>
          <w:i/>
          <w:sz w:val="18"/>
          <w:szCs w:val="18"/>
        </w:rPr>
        <w:t xml:space="preserve">della direttiva 2006/43/CE, relativa alle revisioni legali dei conti annuali e dei conti consolidati, che modifica le direttive 78/660/CEE e 83/349/CEE, e che abroga la direttiva 84/253/CEE” </w:t>
      </w:r>
      <w:r w:rsidRPr="00015BAA">
        <w:rPr>
          <w:rFonts w:ascii="Segoe UI" w:hAnsi="Segoe UI" w:cs="Segoe UI"/>
          <w:sz w:val="18"/>
          <w:szCs w:val="18"/>
        </w:rPr>
        <w:t>(pubblicato nel S.O. n. 58 alla Gazzetta Ufficiale n. 68 del 23 marzo 2010), come modificato dall’art. 18, co. 1, del d.lgs. n. 135/2016, “</w:t>
      </w:r>
      <w:r w:rsidRPr="00015BAA">
        <w:rPr>
          <w:rFonts w:ascii="Segoe UI" w:hAnsi="Segoe UI" w:cs="Segoe UI"/>
          <w:i/>
          <w:sz w:val="18"/>
          <w:szCs w:val="18"/>
        </w:rPr>
        <w:t xml:space="preserve">Attuazione della direttiva 2014/56/UE che modifica la direttiva 2006/43/CE concernente la revisione legale dei conti annuali e dei conti consolidati” </w:t>
      </w:r>
      <w:r w:rsidRPr="00015BAA">
        <w:rPr>
          <w:rFonts w:ascii="Segoe UI" w:hAnsi="Segoe UI" w:cs="Segoe UI"/>
          <w:sz w:val="18"/>
          <w:szCs w:val="18"/>
        </w:rPr>
        <w:t>(pubblicato in Gazzetta Ufficiale n. 169 del 21 luglio 2016):</w:t>
      </w:r>
    </w:p>
    <w:p w14:paraId="045209DB" w14:textId="77777777" w:rsidR="002C2390" w:rsidRPr="00015BAA" w:rsidRDefault="002C2390" w:rsidP="00015BAA">
      <w:pPr>
        <w:pStyle w:val="Testonotaapidipagina"/>
        <w:keepNext/>
        <w:keepLines/>
        <w:spacing w:after="0" w:line="240" w:lineRule="auto"/>
        <w:jc w:val="both"/>
        <w:rPr>
          <w:rFonts w:ascii="Segoe UI" w:hAnsi="Segoe UI" w:cs="Segoe UI"/>
          <w:i/>
          <w:sz w:val="18"/>
          <w:szCs w:val="18"/>
        </w:rPr>
      </w:pPr>
      <w:r w:rsidRPr="00015BAA">
        <w:rPr>
          <w:rFonts w:ascii="Segoe UI" w:hAnsi="Segoe UI" w:cs="Segoe UI"/>
          <w:sz w:val="18"/>
          <w:szCs w:val="18"/>
        </w:rPr>
        <w:t>“</w:t>
      </w:r>
      <w:r w:rsidRPr="00015BAA">
        <w:rPr>
          <w:rFonts w:ascii="Segoe UI" w:hAnsi="Segoe UI" w:cs="Segoe UI"/>
          <w:i/>
          <w:sz w:val="18"/>
          <w:szCs w:val="18"/>
        </w:rPr>
        <w:t>Sono enti di interesse pubblico:</w:t>
      </w:r>
    </w:p>
    <w:p w14:paraId="5A50BCC5" w14:textId="77777777" w:rsidR="002C2390" w:rsidRPr="00015BAA" w:rsidRDefault="002C2390" w:rsidP="00015BAA">
      <w:pPr>
        <w:pStyle w:val="Testonotaapidipagina"/>
        <w:spacing w:after="0" w:line="240" w:lineRule="auto"/>
        <w:jc w:val="both"/>
        <w:rPr>
          <w:rFonts w:ascii="Segoe UI" w:hAnsi="Segoe UI" w:cs="Segoe UI"/>
          <w:i/>
          <w:sz w:val="18"/>
          <w:szCs w:val="18"/>
        </w:rPr>
      </w:pPr>
      <w:r w:rsidRPr="00015BAA">
        <w:rPr>
          <w:rFonts w:ascii="Segoe UI" w:hAnsi="Segoe UI" w:cs="Segoe UI"/>
          <w:i/>
          <w:sz w:val="18"/>
          <w:szCs w:val="18"/>
        </w:rPr>
        <w:t>a) le società italiane emittenti valori mobiliari ammessi alla negoziazione su mercati regolamentati italiani e dell’Unione europea;</w:t>
      </w:r>
    </w:p>
    <w:p w14:paraId="6666C3D4" w14:textId="77777777" w:rsidR="002C2390" w:rsidRPr="00015BAA" w:rsidRDefault="002C2390" w:rsidP="00015BAA">
      <w:pPr>
        <w:pStyle w:val="Testonotaapidipagina"/>
        <w:spacing w:after="0" w:line="240" w:lineRule="auto"/>
        <w:jc w:val="both"/>
        <w:rPr>
          <w:rFonts w:ascii="Segoe UI" w:hAnsi="Segoe UI" w:cs="Segoe UI"/>
          <w:i/>
          <w:sz w:val="18"/>
          <w:szCs w:val="18"/>
        </w:rPr>
      </w:pPr>
      <w:r w:rsidRPr="00015BAA">
        <w:rPr>
          <w:rFonts w:ascii="Segoe UI" w:hAnsi="Segoe UI" w:cs="Segoe UI"/>
          <w:i/>
          <w:sz w:val="18"/>
          <w:szCs w:val="18"/>
        </w:rPr>
        <w:t>b) le banche;</w:t>
      </w:r>
    </w:p>
    <w:p w14:paraId="0F739C4C" w14:textId="77777777" w:rsidR="002C2390" w:rsidRPr="00015BAA" w:rsidRDefault="002C2390" w:rsidP="00015BAA">
      <w:pPr>
        <w:pStyle w:val="Testonotaapidipagina"/>
        <w:spacing w:after="0" w:line="240" w:lineRule="auto"/>
        <w:jc w:val="both"/>
        <w:rPr>
          <w:rFonts w:ascii="Segoe UI" w:hAnsi="Segoe UI" w:cs="Segoe UI"/>
          <w:i/>
          <w:sz w:val="18"/>
          <w:szCs w:val="18"/>
        </w:rPr>
      </w:pPr>
      <w:r w:rsidRPr="00015BAA">
        <w:rPr>
          <w:rFonts w:ascii="Segoe UI" w:hAnsi="Segoe UI" w:cs="Segoe UI"/>
          <w:i/>
          <w:sz w:val="18"/>
          <w:szCs w:val="18"/>
        </w:rPr>
        <w:t>c) le imprese di assicurazione di cui all’ articolo 1, comma 1, lettera u), del codice delle assicurazioni private;</w:t>
      </w:r>
    </w:p>
    <w:p w14:paraId="613FC1E2" w14:textId="77777777" w:rsidR="002C2390" w:rsidRPr="00015BAA" w:rsidRDefault="002C2390" w:rsidP="00015BAA">
      <w:pPr>
        <w:pStyle w:val="Testonotaapidipagina"/>
        <w:spacing w:after="0" w:line="240" w:lineRule="auto"/>
        <w:jc w:val="both"/>
        <w:rPr>
          <w:rFonts w:ascii="Segoe UI" w:hAnsi="Segoe UI" w:cs="Segoe UI"/>
          <w:sz w:val="18"/>
          <w:szCs w:val="18"/>
        </w:rPr>
      </w:pPr>
      <w:r w:rsidRPr="00015BAA">
        <w:rPr>
          <w:rFonts w:ascii="Segoe UI" w:hAnsi="Segoe UI" w:cs="Segoe UI"/>
          <w:i/>
          <w:sz w:val="18"/>
          <w:szCs w:val="18"/>
        </w:rPr>
        <w:t>d) le imprese di riassicurazione di cui all’ articolo 1, comma 1, lettera cc), del codice delle assicurazioni private, con sede legale in Italia, e le sedi secondarie in Italia delle imprese di riassicurazione extracomunitarie di cui all’articolo 1, comma 1, lettera cc-ter), del codice delle assicurazioni private.</w:t>
      </w:r>
      <w:r w:rsidRPr="00015BAA">
        <w:rPr>
          <w:rFonts w:ascii="Segoe UI" w:hAnsi="Segoe UI" w:cs="Segoe UI"/>
          <w:sz w:val="18"/>
          <w:szCs w:val="18"/>
        </w:rPr>
        <w:t>”</w:t>
      </w:r>
    </w:p>
  </w:footnote>
  <w:footnote w:id="2">
    <w:p w14:paraId="65FDF6BB" w14:textId="258C8E35" w:rsidR="002C2390" w:rsidRPr="00015BAA" w:rsidRDefault="002C2390" w:rsidP="00015BAA">
      <w:pPr>
        <w:pStyle w:val="Testonotaapidipagina"/>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Tale indicazione è fornita dal Consiglio Nazionale dei Dottori Commercialisti e degli Esperti Contabili (CNDCEC), al fine di chiarire tecnicamente il parametro oggetto di valutazione, nella proposta di modifica all’art. 2 in CNDCEC, “Schema di decreto legislativo recante attuazione della direttiva 2014/95/UE recante modifica della direttiva 2013/34/UE per quanto riguarda la comunicazione di informazioni di carattere non finanziario e di informazioni sulla diversità da parte di talune imprese e di taluni gruppi di grandi dimensioni (Atto Governo 347). Osservazioni e proposte di modifica”, 26 ottobre 2016.</w:t>
      </w:r>
    </w:p>
  </w:footnote>
  <w:footnote w:id="3">
    <w:p w14:paraId="5AEF58E5" w14:textId="320300B9" w:rsidR="002C2390" w:rsidRPr="00015BAA" w:rsidRDefault="002C2390" w:rsidP="00015BAA">
      <w:pPr>
        <w:pStyle w:val="Testonotaapidipagina"/>
        <w:spacing w:after="0" w:line="240" w:lineRule="auto"/>
        <w:jc w:val="both"/>
        <w:rPr>
          <w:rFonts w:ascii="Segoe UI" w:hAnsi="Segoe UI" w:cs="Segoe UI"/>
          <w: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Cfr. art. 6 del d.lgs. n. 254/2016, “Esonero e casi di equivalenza”, co. 1: “</w:t>
      </w:r>
      <w:r w:rsidRPr="00015BAA">
        <w:rPr>
          <w:rFonts w:ascii="Segoe UI" w:hAnsi="Segoe UI" w:cs="Segoe UI"/>
          <w:i/>
          <w:sz w:val="18"/>
          <w:szCs w:val="18"/>
        </w:rPr>
        <w:t>Un ente di interesse pubblico ricompreso nell'ambito di applicazione del presente decreto legislativo non è soggetto all'obbligo di redigere la dichiarazione di cui all'articolo 3 qualora tale ente di interesse pubblico rediga una dichiarazione consolidata di carattere non finanziario ai sensi dell'articolo 4, oppure tale ente e le sue eventuali società figlie sono ricomprese nella dichiarazione di carattere non finanziario consolidata resa:</w:t>
      </w:r>
    </w:p>
    <w:p w14:paraId="2B3237CA" w14:textId="77777777" w:rsidR="002C2390" w:rsidRPr="00015BAA" w:rsidRDefault="002C2390" w:rsidP="00015BAA">
      <w:pPr>
        <w:pStyle w:val="Testonotaapidipagina"/>
        <w:spacing w:after="0" w:line="240" w:lineRule="auto"/>
        <w:jc w:val="both"/>
        <w:rPr>
          <w:rFonts w:ascii="Segoe UI" w:hAnsi="Segoe UI" w:cs="Segoe UI"/>
          <w:i/>
          <w:sz w:val="18"/>
          <w:szCs w:val="18"/>
        </w:rPr>
      </w:pPr>
      <w:r w:rsidRPr="00015BAA">
        <w:rPr>
          <w:rFonts w:ascii="Segoe UI" w:hAnsi="Segoe UI" w:cs="Segoe UI"/>
          <w:i/>
          <w:sz w:val="18"/>
          <w:szCs w:val="18"/>
        </w:rPr>
        <w:t>a) da un'altra società madre soggetta ai medesimi obblighi o;</w:t>
      </w:r>
    </w:p>
    <w:p w14:paraId="4092F7C1" w14:textId="77777777" w:rsidR="002C2390" w:rsidRPr="00015BAA" w:rsidRDefault="002C2390" w:rsidP="00015BAA">
      <w:pPr>
        <w:pStyle w:val="Testonotaapidipagina"/>
        <w:spacing w:after="120" w:line="240" w:lineRule="auto"/>
        <w:jc w:val="both"/>
        <w:rPr>
          <w:rFonts w:ascii="Segoe UI" w:hAnsi="Segoe UI" w:cs="Segoe UI"/>
          <w:sz w:val="18"/>
          <w:szCs w:val="18"/>
        </w:rPr>
      </w:pPr>
      <w:r w:rsidRPr="00015BAA">
        <w:rPr>
          <w:rFonts w:ascii="Segoe UI" w:hAnsi="Segoe UI" w:cs="Segoe UI"/>
          <w:i/>
          <w:sz w:val="18"/>
          <w:szCs w:val="18"/>
        </w:rPr>
        <w:t>b) da una società madre europea che redige tali dichiarazioni ai sensi e conformemente agli articoli 19-bis e 29-bis della direttiva 2013/34fUE.</w:t>
      </w:r>
      <w:r w:rsidRPr="00015BAA">
        <w:rPr>
          <w:rFonts w:ascii="Segoe UI" w:hAnsi="Segoe UI" w:cs="Segoe UI"/>
          <w:sz w:val="18"/>
          <w:szCs w:val="18"/>
        </w:rPr>
        <w:t>”.</w:t>
      </w:r>
    </w:p>
  </w:footnote>
  <w:footnote w:id="4">
    <w:p w14:paraId="613789DE" w14:textId="6B67D40B" w:rsidR="002C2390" w:rsidRPr="00015BAA" w:rsidRDefault="002C2390" w:rsidP="00015BAA">
      <w:pPr>
        <w:pStyle w:val="Testonotaapidipagina"/>
        <w:spacing w:after="0" w:line="240" w:lineRule="auto"/>
        <w:jc w:val="both"/>
        <w:rPr>
          <w:rFonts w:ascii="Segoe UI" w:hAnsi="Segoe UI" w:cs="Segoe UI"/>
          <w: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Cfr. art. 6 del d.lgs. n. 254/2016, “Esonero e casi di equivalenza”, co. 2: “</w:t>
      </w:r>
      <w:r w:rsidRPr="00015BAA">
        <w:rPr>
          <w:rFonts w:ascii="Segoe UI" w:hAnsi="Segoe UI" w:cs="Segoe UI"/>
          <w:i/>
          <w:sz w:val="18"/>
          <w:szCs w:val="18"/>
        </w:rPr>
        <w:t>Un ente di interesse pubblico che è società madre di un gruppo di grandi dimensioni non è soggetto all'obbligo di redigere la dichiarazione di cui all'articolo 4 qualora tale ente di interesse pubblico è anche una società figlia ricompresa nella dichiarazione consolidata di carattere non finanziario resa da:</w:t>
      </w:r>
    </w:p>
    <w:p w14:paraId="2AB0F2ED" w14:textId="77777777" w:rsidR="002C2390" w:rsidRPr="00015BAA" w:rsidRDefault="002C2390" w:rsidP="00015BAA">
      <w:pPr>
        <w:pStyle w:val="Testonotaapidipagina"/>
        <w:spacing w:after="0" w:line="240" w:lineRule="auto"/>
        <w:jc w:val="both"/>
        <w:rPr>
          <w:rFonts w:ascii="Segoe UI" w:hAnsi="Segoe UI" w:cs="Segoe UI"/>
          <w:i/>
          <w:sz w:val="18"/>
          <w:szCs w:val="18"/>
        </w:rPr>
      </w:pPr>
      <w:r w:rsidRPr="00015BAA">
        <w:rPr>
          <w:rFonts w:ascii="Segoe UI" w:hAnsi="Segoe UI" w:cs="Segoe UI"/>
          <w:i/>
          <w:sz w:val="18"/>
          <w:szCs w:val="18"/>
        </w:rPr>
        <w:t>a) una società madre soggetta ai medesimi obblighi o;</w:t>
      </w:r>
    </w:p>
    <w:p w14:paraId="61642970" w14:textId="77777777" w:rsidR="002C2390" w:rsidRPr="00015BAA" w:rsidRDefault="002C2390" w:rsidP="00015BAA">
      <w:pPr>
        <w:pStyle w:val="Testonotaapidipagina"/>
        <w:spacing w:after="0" w:line="240" w:lineRule="auto"/>
        <w:jc w:val="both"/>
        <w:rPr>
          <w:rFonts w:ascii="Segoe UI" w:hAnsi="Segoe UI" w:cs="Segoe UI"/>
          <w:i/>
          <w:sz w:val="18"/>
          <w:szCs w:val="18"/>
        </w:rPr>
      </w:pPr>
      <w:r w:rsidRPr="00015BAA">
        <w:rPr>
          <w:rFonts w:ascii="Segoe UI" w:hAnsi="Segoe UI" w:cs="Segoe UI"/>
          <w:i/>
          <w:sz w:val="18"/>
          <w:szCs w:val="18"/>
        </w:rPr>
        <w:t>b) una società madre europea che redige tali dichiarazione ai sensi e conformemente agli articoli 19-bis e 29-bis della direttiva 2013/34 UE.</w:t>
      </w:r>
      <w:r w:rsidRPr="00015BAA">
        <w:rPr>
          <w:rFonts w:ascii="Segoe UI" w:hAnsi="Segoe UI" w:cs="Segoe UI"/>
          <w:sz w:val="18"/>
          <w:szCs w:val="18"/>
        </w:rPr>
        <w:t>”.</w:t>
      </w:r>
    </w:p>
  </w:footnote>
  <w:footnote w:id="5">
    <w:p w14:paraId="5A96A87E" w14:textId="6B01673F" w:rsidR="002C2390" w:rsidRPr="00015BAA" w:rsidRDefault="002C2390" w:rsidP="00015BAA">
      <w:pPr>
        <w:autoSpaceDE w:val="0"/>
        <w:autoSpaceDN w:val="0"/>
        <w:adjustRightInd w:val="0"/>
        <w:spacing w:before="120" w:after="120" w:line="240" w:lineRule="auto"/>
        <w:jc w:val="both"/>
        <w:rPr>
          <w:rFonts w:ascii="Segoe UI" w:hAnsi="Segoe UI" w:cs="Segoe UI"/>
          <w: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Cfr. art. 3 del d.lgs. n. 254/2016, “Dichiarazione individuale di carattere non finanziario”, co. 6: “</w:t>
      </w:r>
      <w:r w:rsidRPr="00015BAA">
        <w:rPr>
          <w:rFonts w:ascii="Segoe UI" w:hAnsi="Segoe UI" w:cs="Segoe UI"/>
          <w:i/>
          <w:sz w:val="18"/>
          <w:szCs w:val="18"/>
        </w:rPr>
        <w:t>Gli enti di interesse pubblico soggetti all'obbligo di redigere la dichiarazione di carattere non finanziario che non praticano politiche in relazione a uno o più degli ambiti di cui al comma l, forniscono all'interno della medesima dichiarazione, per ciascuno di tali ambiti, le motivazioni di tale scelta, indicandone le ragioni in maniera chiara e articolata.</w:t>
      </w:r>
      <w:r w:rsidRPr="00015BAA">
        <w:rPr>
          <w:rFonts w:ascii="Segoe UI" w:hAnsi="Segoe UI" w:cs="Segoe UI"/>
          <w:sz w:val="18"/>
          <w:szCs w:val="18"/>
        </w:rPr>
        <w:t>”.</w:t>
      </w:r>
    </w:p>
  </w:footnote>
  <w:footnote w:id="6">
    <w:p w14:paraId="60CADECF" w14:textId="47AF8078" w:rsidR="002C2390" w:rsidRPr="00015BAA" w:rsidRDefault="002C2390" w:rsidP="00015BAA">
      <w:pPr>
        <w:autoSpaceDE w:val="0"/>
        <w:autoSpaceDN w:val="0"/>
        <w:adjustRightInd w:val="0"/>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Cfr. art. 3 del d.lgs. n. 254/2016, “Dichiarazione individuale di carattere non finanziario”, co. 8: “</w:t>
      </w:r>
      <w:r w:rsidRPr="00015BAA">
        <w:rPr>
          <w:rFonts w:ascii="Segoe UI" w:hAnsi="Segoe UI" w:cs="Segoe UI"/>
          <w:i/>
          <w:sz w:val="18"/>
          <w:szCs w:val="18"/>
        </w:rPr>
        <w:t>Fermi restando gli obblighi discendenti dalla ammissione o dalla richiesta di ammissione di valori mobiliari alla negoziazione in un mercato regolamentato, previa deliberazione motivata dell'organo di amministrazione, sentito l'organo di controllo, nella dichiarazione di carattere non finanziario possono essere omesse, in casi eccezionali, le informazioni concernenti sviluppi imminenti ed operazioni in corso di negoziazione, qualora la loro divulgazione possa compromettere gravemente la posizione commerciale dell'impresa. Qualora si avvalga di questa facoltà, l'ente di interesse pubblico ne fa menzione nella dichiarazione non finanziaria con esplicito rimando al presente comma. L'omissione non è comunque consentita quando ciò possa pregiudicare una comprensione corretta ed equilibrata dell'andamento dell'impresa, dei suoi risultati e della sua situazione, nonché degli impatti prodotti dalla sua attività in relazione agli ambiti di cui al comma 1.</w:t>
      </w:r>
      <w:r w:rsidRPr="00015BAA">
        <w:rPr>
          <w:rFonts w:ascii="Segoe UI" w:hAnsi="Segoe UI" w:cs="Segoe UI"/>
          <w:sz w:val="18"/>
          <w:szCs w:val="18"/>
        </w:rPr>
        <w:t>”.</w:t>
      </w:r>
    </w:p>
  </w:footnote>
  <w:footnote w:id="7">
    <w:p w14:paraId="61D2A0C3" w14:textId="77777777" w:rsidR="002C2390" w:rsidRPr="00015BAA" w:rsidRDefault="002C2390" w:rsidP="00015BAA">
      <w:pPr>
        <w:autoSpaceDE w:val="0"/>
        <w:autoSpaceDN w:val="0"/>
        <w:adjustRightInd w:val="0"/>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Al </w:t>
      </w:r>
      <w:r w:rsidRPr="00015BAA">
        <w:rPr>
          <w:rFonts w:ascii="Segoe UI" w:hAnsi="Segoe UI" w:cs="Segoe UI"/>
          <w:i/>
          <w:sz w:val="18"/>
          <w:szCs w:val="18"/>
        </w:rPr>
        <w:t>considerando</w:t>
      </w:r>
      <w:r w:rsidRPr="00015BAA">
        <w:rPr>
          <w:rFonts w:ascii="Segoe UI" w:hAnsi="Segoe UI" w:cs="Segoe UI"/>
          <w:sz w:val="18"/>
          <w:szCs w:val="18"/>
        </w:rPr>
        <w:t xml:space="preserve"> 9, la direttiva 2014/95/UE rimarcava che nella rendicontazione in oggetto le imprese potessero “</w:t>
      </w:r>
      <w:r w:rsidRPr="00015BAA">
        <w:rPr>
          <w:rFonts w:ascii="Segoe UI" w:hAnsi="Segoe UI" w:cs="Segoe UI"/>
          <w:i/>
          <w:sz w:val="18"/>
          <w:szCs w:val="18"/>
        </w:rPr>
        <w:t>basarsi su standard nazionali, su standard unionali, quale il sistema di ecogestione e audit (EMAS), o su standard internazionali, quali il Patto mondiale (</w:t>
      </w:r>
      <w:r w:rsidRPr="00015BAA">
        <w:rPr>
          <w:rFonts w:ascii="Segoe UI" w:hAnsi="Segoe UI" w:cs="Segoe UI"/>
          <w:iCs/>
          <w:sz w:val="18"/>
          <w:szCs w:val="18"/>
        </w:rPr>
        <w:t>Global Compact</w:t>
      </w:r>
      <w:r w:rsidRPr="00015BAA">
        <w:rPr>
          <w:rFonts w:ascii="Segoe UI" w:hAnsi="Segoe UI" w:cs="Segoe UI"/>
          <w:i/>
          <w:sz w:val="18"/>
          <w:szCs w:val="18"/>
        </w:rPr>
        <w:t>) delle Nazioni Unite, i principi guida su imprese e diritti umani delle Nazioni Unite (</w:t>
      </w:r>
      <w:r w:rsidRPr="00015BAA">
        <w:rPr>
          <w:rFonts w:ascii="Segoe UI" w:hAnsi="Segoe UI" w:cs="Segoe UI"/>
          <w:iCs/>
          <w:sz w:val="18"/>
          <w:szCs w:val="18"/>
        </w:rPr>
        <w:t>Guiding Principles on Business and Human Rights</w:t>
      </w:r>
      <w:r w:rsidRPr="00015BAA">
        <w:rPr>
          <w:rFonts w:ascii="Segoe UI" w:hAnsi="Segoe UI" w:cs="Segoe UI"/>
          <w:i/>
          <w:sz w:val="18"/>
          <w:szCs w:val="18"/>
        </w:rPr>
        <w:t>) in attuazione del quadro di riferimento «Proteggere, Rispettare e Rimediare» (</w:t>
      </w:r>
      <w:r w:rsidRPr="00015BAA">
        <w:rPr>
          <w:rFonts w:ascii="Segoe UI" w:hAnsi="Segoe UI" w:cs="Segoe UI"/>
          <w:i/>
          <w:iCs/>
          <w:sz w:val="18"/>
          <w:szCs w:val="18"/>
        </w:rPr>
        <w:t>«</w:t>
      </w:r>
      <w:r w:rsidRPr="00015BAA">
        <w:rPr>
          <w:rFonts w:ascii="Segoe UI" w:hAnsi="Segoe UI" w:cs="Segoe UI"/>
          <w:iCs/>
          <w:sz w:val="18"/>
          <w:szCs w:val="18"/>
        </w:rPr>
        <w:t>Protect, Respect and Remedy</w:t>
      </w:r>
      <w:r w:rsidRPr="00015BAA">
        <w:rPr>
          <w:rFonts w:ascii="Segoe UI" w:hAnsi="Segoe UI" w:cs="Segoe UI"/>
          <w:i/>
          <w:iCs/>
          <w:sz w:val="18"/>
          <w:szCs w:val="18"/>
        </w:rPr>
        <w:t>» Framework</w:t>
      </w:r>
      <w:r w:rsidRPr="00015BAA">
        <w:rPr>
          <w:rFonts w:ascii="Segoe UI" w:hAnsi="Segoe UI" w:cs="Segoe UI"/>
          <w:i/>
          <w:sz w:val="18"/>
          <w:szCs w:val="18"/>
        </w:rPr>
        <w:t xml:space="preserve">), gli orientamenti dell'OCSE per le imprese multinazionali, la norma ISO 26000 dell'Organizzazione internazionale per la normazione, la dichiarazione tripartita di principi sulle imprese multinazionali e la politica sociale dell'Organizzazione internazionale del lavoro, la </w:t>
      </w:r>
      <w:r w:rsidRPr="00015BAA">
        <w:rPr>
          <w:rFonts w:ascii="Segoe UI" w:hAnsi="Segoe UI" w:cs="Segoe UI"/>
          <w:iCs/>
          <w:sz w:val="18"/>
          <w:szCs w:val="18"/>
        </w:rPr>
        <w:t>Global Reporting Initiative</w:t>
      </w:r>
      <w:r w:rsidRPr="00015BAA">
        <w:rPr>
          <w:rFonts w:ascii="Segoe UI" w:hAnsi="Segoe UI" w:cs="Segoe UI"/>
          <w:i/>
          <w:iCs/>
          <w:sz w:val="18"/>
          <w:szCs w:val="18"/>
        </w:rPr>
        <w:t xml:space="preserve"> </w:t>
      </w:r>
      <w:r w:rsidRPr="00015BAA">
        <w:rPr>
          <w:rFonts w:ascii="Segoe UI" w:hAnsi="Segoe UI" w:cs="Segoe UI"/>
          <w:i/>
          <w:sz w:val="18"/>
          <w:szCs w:val="18"/>
        </w:rPr>
        <w:t>o altri standard internazionali riconosciuti</w:t>
      </w:r>
      <w:r w:rsidRPr="00015BAA">
        <w:rPr>
          <w:rFonts w:ascii="Segoe UI" w:hAnsi="Segoe UI" w:cs="Segoe UI"/>
          <w:sz w:val="18"/>
          <w:szCs w:val="18"/>
        </w:rPr>
        <w:t>.”.</w:t>
      </w:r>
    </w:p>
  </w:footnote>
  <w:footnote w:id="8">
    <w:p w14:paraId="686E3274" w14:textId="69EF05BB" w:rsidR="002C2390" w:rsidRPr="00015BAA" w:rsidRDefault="002C2390" w:rsidP="00015BAA">
      <w:pPr>
        <w:autoSpaceDE w:val="0"/>
        <w:autoSpaceDN w:val="0"/>
        <w:adjustRightInd w:val="0"/>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Negli ultimi vent’anni sono state elaborate diverse linee guida nazionali di rendicontazione non finanziaria (più o meno dettagliate e</w:t>
      </w:r>
      <w:r>
        <w:rPr>
          <w:rFonts w:ascii="Segoe UI" w:hAnsi="Segoe UI" w:cs="Segoe UI"/>
          <w:sz w:val="18"/>
          <w:szCs w:val="18"/>
        </w:rPr>
        <w:t xml:space="preserve"> più o meno diffuse</w:t>
      </w:r>
      <w:r w:rsidRPr="00015BAA">
        <w:rPr>
          <w:rFonts w:ascii="Segoe UI" w:hAnsi="Segoe UI" w:cs="Segoe UI"/>
          <w:sz w:val="18"/>
          <w:szCs w:val="18"/>
        </w:rPr>
        <w:t>),</w:t>
      </w:r>
      <w:r>
        <w:rPr>
          <w:rFonts w:ascii="Segoe UI" w:hAnsi="Segoe UI" w:cs="Segoe UI"/>
          <w:sz w:val="18"/>
          <w:szCs w:val="18"/>
        </w:rPr>
        <w:t xml:space="preserve"> </w:t>
      </w:r>
      <w:r w:rsidRPr="00015BAA">
        <w:rPr>
          <w:rFonts w:ascii="Segoe UI" w:hAnsi="Segoe UI" w:cs="Segoe UI"/>
          <w:sz w:val="18"/>
          <w:szCs w:val="18"/>
        </w:rPr>
        <w:t xml:space="preserve">il più delle volte dedicate a specifiche tipologie di organizzazioni, tra le quali: </w:t>
      </w:r>
      <w:r w:rsidRPr="00015BAA">
        <w:rPr>
          <w:rFonts w:ascii="Segoe UI" w:hAnsi="Segoe UI" w:cs="Segoe UI"/>
          <w:color w:val="000000"/>
          <w:sz w:val="18"/>
          <w:szCs w:val="18"/>
        </w:rPr>
        <w:t>Agenzia per le Organizzazioni non lucrative e di utilità sociale (Agenzia per le Onlus), “Linee guida per la redazione del bilancio sociale delle organizzazioni non profit”, febbraio 2010; Coordinamento Nazionale dei Centri di Servizio per il Volontariato (CSV.net), “Linee Guida per la redazione del bilancio di missione e del bilancio sociale delle organizzazioni di volontariato”, febbraio 2008; CNDCEC, Raccomandazione n. 7, “Il bilancio sociale nelle aziende non profit: principi generali e linee guida per la sua adozione”, in Codice unico delle aziende non profit, 2007; Consiglio Nazionale dei Dottori Commercialisti (CNDC), Il report di sostenibilità ambientale e sociale: principi e contenuti, 2004; Gruppo di Studio per il Bilancio Sociale (GBS), “Principi di Redazione del Bilancio Sociale”, aprile 2001.</w:t>
      </w:r>
    </w:p>
  </w:footnote>
  <w:footnote w:id="9">
    <w:p w14:paraId="66926F45" w14:textId="384AE86D" w:rsidR="002C2390" w:rsidRPr="00015BAA" w:rsidRDefault="002C2390" w:rsidP="00015BAA">
      <w:pPr>
        <w:pStyle w:val="Testonotaapidipagina"/>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Cfr. art. 3 del d.lgs. n. 254/2016, “Dichiarazione individuale di carattere non finanziario”, co. 5: “</w:t>
      </w:r>
      <w:r w:rsidRPr="00015BAA">
        <w:rPr>
          <w:rFonts w:ascii="Segoe UI" w:hAnsi="Segoe UI" w:cs="Segoe UI"/>
          <w:i/>
          <w:sz w:val="18"/>
          <w:szCs w:val="18"/>
        </w:rPr>
        <w:t>Ai fini della rendicontazione, gli indicatori di prestazione utilizzati, di cui al comma l, lettera b), sono quelli previsti dallo standard di rendicontazione adottato e sono rappresentativi dei diversi ambiti, nonché coerenti con l'attività svolta e gli impatti da essa prodotti. Nel caso in cui si faccia ricorso ad una metodologia autonoma di rendicontazione, ovvero nel caso in cui gli indicatori di prestazione previsti dallo standard di rendicontazione adottato non siano del tutto adeguati o sufficienti a rappresentare con coerenza l'attività svolta e gli impatti da essa prodotti, l'impresa seleziona gli indicatori più adatti a tale scopo, fornendo in maniera chiara e articolata le ragioni sottese a tale scelta. La scelta degli indicatori di prestazione è effettuata anche tenendo conto, ove opportuno, degli orientamenti emanati dalla Commissione europea in forza di quanto previsto dalla direttiva 20 14/95/UE.</w:t>
      </w:r>
      <w:r w:rsidRPr="00015BAA">
        <w:rPr>
          <w:rFonts w:ascii="Segoe UI" w:hAnsi="Segoe UI" w:cs="Segoe UI"/>
          <w:sz w:val="18"/>
          <w:szCs w:val="18"/>
        </w:rPr>
        <w:t>”.</w:t>
      </w:r>
    </w:p>
  </w:footnote>
  <w:footnote w:id="10">
    <w:p w14:paraId="5BF3BE90" w14:textId="47892909" w:rsidR="002C2390" w:rsidRPr="00015BAA" w:rsidRDefault="002C2390" w:rsidP="00015BAA">
      <w:pPr>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w:t>
      </w:r>
      <w:r w:rsidRPr="00015BAA">
        <w:rPr>
          <w:rFonts w:ascii="Segoe UI" w:eastAsia="Times New Roman" w:hAnsi="Segoe UI" w:cs="Segoe UI"/>
          <w:sz w:val="18"/>
          <w:szCs w:val="18"/>
        </w:rPr>
        <w:t xml:space="preserve">La base giuridica del multilinguismo dell’Unione si fonda sull’art. 55 del </w:t>
      </w:r>
      <w:r w:rsidRPr="00015BAA">
        <w:rPr>
          <w:rFonts w:ascii="Segoe UI" w:eastAsia="Times New Roman" w:hAnsi="Segoe UI" w:cs="Segoe UI"/>
          <w:bCs/>
          <w:sz w:val="18"/>
          <w:szCs w:val="18"/>
        </w:rPr>
        <w:t>Trattato sull'Unione europea (</w:t>
      </w:r>
      <w:r w:rsidRPr="00015BAA">
        <w:rPr>
          <w:rFonts w:ascii="Segoe UI" w:eastAsia="Times New Roman" w:hAnsi="Segoe UI" w:cs="Segoe UI"/>
          <w:sz w:val="18"/>
          <w:szCs w:val="18"/>
        </w:rPr>
        <w:t>TUE), che, dopo l’elencazione delle 24 lingue delle versioni del Trattato, afferma che i testi di ciascuna di queste versioni fa fede.</w:t>
      </w:r>
    </w:p>
  </w:footnote>
  <w:footnote w:id="11">
    <w:p w14:paraId="3ACFE8F1" w14:textId="6C8EC3BF" w:rsidR="002C2390" w:rsidRPr="00015BAA" w:rsidRDefault="002C2390" w:rsidP="00015BAA">
      <w:pPr>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w:t>
      </w:r>
      <w:r w:rsidRPr="00015BAA">
        <w:rPr>
          <w:rFonts w:ascii="Segoe UI" w:eastAsia="Times New Roman" w:hAnsi="Segoe UI" w:cs="Segoe UI"/>
          <w:sz w:val="18"/>
          <w:szCs w:val="18"/>
        </w:rPr>
        <w:t>L’impossibilità di rinviare a un’unica base giuridica, ovvero a un testo unico in una sola lingua, solleva una serie di problematiche, soprattutto da un punto di vista giuridico. Invero, il legislatore europeo (già dai lavori preparatori) aveva subito manifestato perplessità su tale approccio: da una parte vi erano esigenze di coerenza giuridica, che sarebbero state garantite e soddisfatte al meglio con la scelta di un’unica lingua facente fede, dall’altra, i diritti dei destinatari della legge, che potevano essere garantiti solo concedendo all’Unione un regime linguistico basato sul multilinguismo. Fra tali due esigenze, il Comitato giuridico incaricato di operare la scelta con riferimento al regime linguistico da applicare ha alla fine deciso di privilegiare il secondo aspetto.</w:t>
      </w:r>
    </w:p>
  </w:footnote>
  <w:footnote w:id="12">
    <w:p w14:paraId="243884AA" w14:textId="0EAD8681" w:rsidR="002C2390" w:rsidRPr="00015BAA" w:rsidRDefault="002C2390" w:rsidP="00015BAA">
      <w:pPr>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eastAsia="Times New Roman" w:hAnsi="Segoe UI" w:cs="Segoe UI"/>
          <w:sz w:val="18"/>
          <w:szCs w:val="18"/>
        </w:rPr>
        <w:t xml:space="preserve"> Il Regolamento n. 1/1958 del Consiglio, “</w:t>
      </w:r>
      <w:r w:rsidRPr="00015BAA">
        <w:rPr>
          <w:rFonts w:ascii="Segoe UI" w:eastAsia="Times New Roman" w:hAnsi="Segoe UI" w:cs="Segoe UI"/>
          <w:i/>
          <w:sz w:val="18"/>
          <w:szCs w:val="18"/>
        </w:rPr>
        <w:t>che stabilisce il regime linguistico della Comunità economica europea</w:t>
      </w:r>
      <w:r w:rsidRPr="00015BAA">
        <w:rPr>
          <w:rFonts w:ascii="Segoe UI" w:eastAsia="Times New Roman" w:hAnsi="Segoe UI" w:cs="Segoe UI"/>
          <w:sz w:val="18"/>
          <w:szCs w:val="18"/>
        </w:rPr>
        <w:t xml:space="preserve">”, più volte modificato per tener conto, tra l’altro, delle varie fasi dell’allargamento, stabilisce che le lingue ufficiali e le lingue di lavoro delle istituzioni dell’Unione sono tutte le lingue ufficiali parlate negli Stati membri (attualmente, nell’Unione a 28, appunto, se ne contano 24) ma </w:t>
      </w:r>
      <w:r w:rsidRPr="00015BAA">
        <w:rPr>
          <w:rFonts w:ascii="Segoe UI" w:hAnsi="Segoe UI" w:cs="Segoe UI"/>
          <w:sz w:val="18"/>
          <w:szCs w:val="18"/>
        </w:rPr>
        <w:t>rimanda poi, in un modo di dubbia efficacia, ai singoli Stati membri e alle singole istituzioni le “</w:t>
      </w:r>
      <w:r w:rsidRPr="00015BAA">
        <w:rPr>
          <w:rFonts w:ascii="Segoe UI" w:hAnsi="Segoe UI" w:cs="Segoe UI"/>
          <w:i/>
          <w:sz w:val="18"/>
          <w:szCs w:val="18"/>
        </w:rPr>
        <w:t>modalità di applicazione del presente regime linguistico</w:t>
      </w:r>
      <w:r w:rsidRPr="00015BAA">
        <w:rPr>
          <w:rFonts w:ascii="Segoe UI" w:hAnsi="Segoe UI" w:cs="Segoe UI"/>
          <w:sz w:val="18"/>
          <w:szCs w:val="18"/>
        </w:rPr>
        <w:t xml:space="preserve">”, sicché, per esempio, la Commissione europea ha adottato francese, inglese e tedesco come lingue procedurali mentre il Parlamento europeo regola il numero di traduzioni in base alle richieste dei parlamentari (tali scelte sono giustificate dalla volontà di conseguire risparmi di oneri temporali e finanziari legati alle attività di </w:t>
      </w:r>
      <w:r w:rsidRPr="00015BAA">
        <w:rPr>
          <w:rStyle w:val="Enfasigrassetto"/>
          <w:rFonts w:ascii="Segoe UI" w:hAnsi="Segoe UI" w:cs="Segoe UI"/>
          <w:b w:val="0"/>
          <w:sz w:val="18"/>
          <w:szCs w:val="18"/>
        </w:rPr>
        <w:t>interpretariato</w:t>
      </w:r>
      <w:r w:rsidRPr="00015BAA">
        <w:rPr>
          <w:rFonts w:ascii="Segoe UI" w:hAnsi="Segoe UI" w:cs="Segoe UI"/>
          <w:sz w:val="18"/>
          <w:szCs w:val="18"/>
        </w:rPr>
        <w:t>).</w:t>
      </w:r>
    </w:p>
  </w:footnote>
  <w:footnote w:id="13">
    <w:p w14:paraId="73F588FB" w14:textId="77777777" w:rsidR="002C2390" w:rsidRPr="00015BAA" w:rsidRDefault="002C2390" w:rsidP="00015BAA">
      <w:pPr>
        <w:spacing w:before="120" w:after="120" w:line="240" w:lineRule="auto"/>
        <w:jc w:val="both"/>
        <w:rPr>
          <w:rFonts w:ascii="Segoe UI" w:eastAsia="Times New Roman" w:hAnsi="Segoe UI" w:cs="Segoe UI"/>
          <w:bCs/>
          <w:sz w:val="18"/>
          <w:szCs w:val="18"/>
          <w:lang w:eastAsia="it-IT"/>
        </w:rPr>
      </w:pPr>
      <w:r w:rsidRPr="00015BAA">
        <w:rPr>
          <w:rStyle w:val="Rimandonotaapidipagina"/>
          <w:rFonts w:cs="Segoe UI"/>
          <w:sz w:val="18"/>
          <w:szCs w:val="18"/>
        </w:rPr>
        <w:footnoteRef/>
      </w:r>
      <w:r w:rsidRPr="00015BAA">
        <w:rPr>
          <w:rFonts w:ascii="Segoe UI" w:hAnsi="Segoe UI" w:cs="Segoe UI"/>
          <w:sz w:val="18"/>
          <w:szCs w:val="18"/>
        </w:rPr>
        <w:t xml:space="preserve"> Evidentemente, questa corrispondenza terminologica è fraintendibile e purtroppo, di fatto, confonde; la traduzione del termine “</w:t>
      </w:r>
      <w:r w:rsidRPr="00015BAA">
        <w:rPr>
          <w:rFonts w:ascii="Segoe UI" w:hAnsi="Segoe UI" w:cs="Segoe UI"/>
          <w:i/>
          <w:sz w:val="18"/>
          <w:szCs w:val="18"/>
        </w:rPr>
        <w:t>relevance</w:t>
      </w:r>
      <w:r w:rsidRPr="00015BAA">
        <w:rPr>
          <w:rFonts w:ascii="Segoe UI" w:hAnsi="Segoe UI" w:cs="Segoe UI"/>
          <w:sz w:val="18"/>
          <w:szCs w:val="18"/>
        </w:rPr>
        <w:t>” con il termine “significatività” (e del termine “</w:t>
      </w:r>
      <w:r w:rsidRPr="00015BAA">
        <w:rPr>
          <w:rFonts w:ascii="Segoe UI" w:hAnsi="Segoe UI" w:cs="Segoe UI"/>
          <w:i/>
          <w:sz w:val="18"/>
          <w:szCs w:val="18"/>
        </w:rPr>
        <w:t>materiality</w:t>
      </w:r>
      <w:r w:rsidRPr="00015BAA">
        <w:rPr>
          <w:rFonts w:ascii="Segoe UI" w:hAnsi="Segoe UI" w:cs="Segoe UI"/>
          <w:sz w:val="18"/>
          <w:szCs w:val="18"/>
        </w:rPr>
        <w:t>” col termine “rilevanza”) è nei parr. 26-30 del “Quadro sistematico (Framework) per la preparazione e la presentazione del bilancio” (“</w:t>
      </w:r>
      <w:r w:rsidRPr="00015BAA">
        <w:rPr>
          <w:rFonts w:ascii="Segoe UI" w:eastAsia="Times New Roman" w:hAnsi="Segoe UI" w:cs="Segoe UI"/>
          <w:iCs/>
          <w:sz w:val="18"/>
          <w:szCs w:val="18"/>
          <w:shd w:val="clear" w:color="auto" w:fill="FFFFFF"/>
          <w:lang w:eastAsia="it-IT"/>
        </w:rPr>
        <w:t xml:space="preserve">Framework for the Preparation and Presentation of Financial Statements), </w:t>
      </w:r>
      <w:r w:rsidRPr="00015BAA">
        <w:rPr>
          <w:rFonts w:ascii="Segoe UI" w:hAnsi="Segoe UI" w:cs="Segoe UI"/>
          <w:sz w:val="18"/>
          <w:szCs w:val="18"/>
        </w:rPr>
        <w:t>pubblicato in IFRS 2009 dell’</w:t>
      </w:r>
      <w:r w:rsidRPr="00015BAA">
        <w:rPr>
          <w:rFonts w:ascii="Segoe UI" w:eastAsia="Times New Roman" w:hAnsi="Segoe UI" w:cs="Segoe UI"/>
          <w:bCs/>
          <w:sz w:val="18"/>
          <w:szCs w:val="18"/>
          <w:lang w:eastAsia="it-IT"/>
        </w:rPr>
        <w:t xml:space="preserve">International Accounting Standards Board (IASB); il problema è che il Framework è stato sostituito </w:t>
      </w:r>
      <w:r w:rsidRPr="00015BAA">
        <w:rPr>
          <w:rFonts w:ascii="Segoe UI" w:eastAsia="Times New Roman" w:hAnsi="Segoe UI" w:cs="Segoe UI"/>
          <w:bCs/>
          <w:i/>
          <w:sz w:val="18"/>
          <w:szCs w:val="18"/>
          <w:lang w:eastAsia="it-IT"/>
        </w:rPr>
        <w:t>in toto</w:t>
      </w:r>
      <w:r w:rsidRPr="00015BAA">
        <w:rPr>
          <w:rFonts w:ascii="Segoe UI" w:eastAsia="Times New Roman" w:hAnsi="Segoe UI" w:cs="Segoe UI"/>
          <w:bCs/>
          <w:sz w:val="18"/>
          <w:szCs w:val="18"/>
          <w:lang w:eastAsia="it-IT"/>
        </w:rPr>
        <w:t xml:space="preserve"> nel 2010 dal “The Conceptual Framework for Financial Reporting” dello IASB, di cui, al momento, non v’è traduzione italiana ufficiale: dopo i recenti sviluppi negli </w:t>
      </w:r>
      <w:r w:rsidRPr="00015BAA">
        <w:rPr>
          <w:rFonts w:ascii="Segoe UI" w:eastAsia="Times New Roman" w:hAnsi="Segoe UI" w:cs="Segoe UI"/>
          <w:bCs/>
          <w:i/>
          <w:sz w:val="18"/>
          <w:szCs w:val="18"/>
          <w:lang w:eastAsia="it-IT"/>
        </w:rPr>
        <w:t>standard</w:t>
      </w:r>
      <w:r w:rsidRPr="00015BAA">
        <w:rPr>
          <w:rFonts w:ascii="Segoe UI" w:eastAsia="Times New Roman" w:hAnsi="Segoe UI" w:cs="Segoe UI"/>
          <w:bCs/>
          <w:sz w:val="18"/>
          <w:szCs w:val="18"/>
          <w:lang w:eastAsia="it-IT"/>
        </w:rPr>
        <w:t xml:space="preserve"> di rendicontazione non finanziaria, in cui “</w:t>
      </w:r>
      <w:r w:rsidRPr="00015BAA">
        <w:rPr>
          <w:rFonts w:ascii="Segoe UI" w:eastAsia="Times New Roman" w:hAnsi="Segoe UI" w:cs="Segoe UI"/>
          <w:bCs/>
          <w:i/>
          <w:sz w:val="18"/>
          <w:szCs w:val="18"/>
          <w:lang w:eastAsia="it-IT"/>
        </w:rPr>
        <w:t>relevance</w:t>
      </w:r>
      <w:r w:rsidRPr="00015BAA">
        <w:rPr>
          <w:rFonts w:ascii="Segoe UI" w:eastAsia="Times New Roman" w:hAnsi="Segoe UI" w:cs="Segoe UI"/>
          <w:bCs/>
          <w:sz w:val="18"/>
          <w:szCs w:val="18"/>
          <w:lang w:eastAsia="it-IT"/>
        </w:rPr>
        <w:t>” è spesso tradotto con “rilevante” e “</w:t>
      </w:r>
      <w:r w:rsidRPr="00015BAA">
        <w:rPr>
          <w:rFonts w:ascii="Segoe UI" w:eastAsia="Times New Roman" w:hAnsi="Segoe UI" w:cs="Segoe UI"/>
          <w:bCs/>
          <w:i/>
          <w:sz w:val="18"/>
          <w:szCs w:val="18"/>
          <w:lang w:eastAsia="it-IT"/>
        </w:rPr>
        <w:t>material</w:t>
      </w:r>
      <w:r w:rsidRPr="00015BAA">
        <w:rPr>
          <w:rFonts w:ascii="Segoe UI" w:eastAsia="Times New Roman" w:hAnsi="Segoe UI" w:cs="Segoe UI"/>
          <w:bCs/>
          <w:sz w:val="18"/>
          <w:szCs w:val="18"/>
          <w:lang w:eastAsia="it-IT"/>
        </w:rPr>
        <w:t>” con “materiale”, si è accentuato il disallineamento terminologico tra disposizioni normative e indicazioni tecniche.</w:t>
      </w:r>
    </w:p>
  </w:footnote>
  <w:footnote w:id="14">
    <w:p w14:paraId="6AF166FA" w14:textId="77777777" w:rsidR="002C2390" w:rsidRPr="00015BAA" w:rsidRDefault="002C2390" w:rsidP="00015BAA">
      <w:pPr>
        <w:pStyle w:val="Testonotaapidipagina"/>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Con riguardo al binomio “significatività” e “rilevanza” qui associato al binomio “</w:t>
      </w:r>
      <w:r w:rsidRPr="00015BAA">
        <w:rPr>
          <w:rFonts w:ascii="Segoe UI" w:hAnsi="Segoe UI" w:cs="Segoe UI"/>
          <w:i/>
          <w:sz w:val="18"/>
          <w:szCs w:val="18"/>
        </w:rPr>
        <w:t>relevance</w:t>
      </w:r>
      <w:r w:rsidRPr="00015BAA">
        <w:rPr>
          <w:rFonts w:ascii="Segoe UI" w:hAnsi="Segoe UI" w:cs="Segoe UI"/>
          <w:sz w:val="18"/>
          <w:szCs w:val="18"/>
        </w:rPr>
        <w:t>” e “</w:t>
      </w:r>
      <w:r w:rsidRPr="00015BAA">
        <w:rPr>
          <w:rFonts w:ascii="Segoe UI" w:hAnsi="Segoe UI" w:cs="Segoe UI"/>
          <w:i/>
          <w:sz w:val="18"/>
          <w:szCs w:val="18"/>
        </w:rPr>
        <w:t>materiality</w:t>
      </w:r>
      <w:r w:rsidRPr="00015BAA">
        <w:rPr>
          <w:rFonts w:ascii="Segoe UI" w:hAnsi="Segoe UI" w:cs="Segoe UI"/>
          <w:sz w:val="18"/>
          <w:szCs w:val="18"/>
        </w:rPr>
        <w:t>”, cfr. nota 13.</w:t>
      </w:r>
    </w:p>
  </w:footnote>
  <w:footnote w:id="15">
    <w:p w14:paraId="76A1BA3E" w14:textId="4B66504B" w:rsidR="002C2390" w:rsidRPr="00015BAA" w:rsidRDefault="002C2390" w:rsidP="00015BAA">
      <w:pPr>
        <w:pStyle w:val="Testonotaapidipagina"/>
        <w:spacing w:before="120" w:after="120" w:line="240" w:lineRule="auto"/>
        <w:jc w:val="both"/>
        <w:rPr>
          <w:rFonts w:ascii="Segoe UI" w:hAnsi="Segoe UI" w:cs="Segoe UI"/>
          <w:sz w:val="18"/>
          <w:szCs w:val="18"/>
          <w:lang w:val="en-US"/>
        </w:rPr>
      </w:pPr>
      <w:r w:rsidRPr="00015BAA">
        <w:rPr>
          <w:rStyle w:val="Rimandonotaapidipagina"/>
          <w:rFonts w:cs="Segoe UI"/>
          <w:sz w:val="18"/>
          <w:szCs w:val="18"/>
        </w:rPr>
        <w:footnoteRef/>
      </w:r>
      <w:r w:rsidRPr="00015BAA">
        <w:rPr>
          <w:rFonts w:ascii="Segoe UI" w:hAnsi="Segoe UI" w:cs="Segoe UI"/>
          <w:sz w:val="18"/>
          <w:szCs w:val="18"/>
          <w:lang w:val="en-US"/>
        </w:rPr>
        <w:t xml:space="preserve"> </w:t>
      </w:r>
      <w:r w:rsidRPr="00015BAA">
        <w:rPr>
          <w:rFonts w:ascii="Segoe UI" w:hAnsi="Segoe UI" w:cs="Segoe UI"/>
          <w:i/>
          <w:color w:val="000000"/>
          <w:sz w:val="18"/>
          <w:szCs w:val="18"/>
          <w:lang w:val="en-US" w:eastAsia="it-IT"/>
        </w:rPr>
        <w:t>Considerando</w:t>
      </w:r>
      <w:r w:rsidRPr="00015BAA">
        <w:rPr>
          <w:rFonts w:ascii="Segoe UI" w:hAnsi="Segoe UI" w:cs="Segoe UI"/>
          <w:color w:val="000000"/>
          <w:sz w:val="18"/>
          <w:szCs w:val="18"/>
          <w:lang w:val="en-US" w:eastAsia="it-IT"/>
        </w:rPr>
        <w:t xml:space="preserve"> 6: “[...] </w:t>
      </w:r>
      <w:r w:rsidRPr="00015BAA">
        <w:rPr>
          <w:rFonts w:ascii="Segoe UI" w:hAnsi="Segoe UI" w:cs="Segoe UI"/>
          <w:i/>
          <w:color w:val="000000"/>
          <w:sz w:val="18"/>
          <w:szCs w:val="18"/>
          <w:lang w:val="en-US" w:eastAsia="it-IT"/>
        </w:rPr>
        <w:t>The non-financial statement should also include information on the due diligence processes implemented by the undertaking, also regarding, where relevant and proportionate, its supply and subcontracting chains, in order to identify, prevent and mitigate existing and potential adverse impacts.</w:t>
      </w:r>
      <w:r w:rsidRPr="00015BAA">
        <w:rPr>
          <w:rFonts w:ascii="Segoe UI" w:hAnsi="Segoe UI" w:cs="Segoe UI"/>
          <w:color w:val="000000"/>
          <w:sz w:val="18"/>
          <w:szCs w:val="18"/>
          <w:lang w:val="en-US" w:eastAsia="it-IT"/>
        </w:rPr>
        <w:t xml:space="preserve"> [...]”; </w:t>
      </w:r>
      <w:r w:rsidRPr="00015BAA">
        <w:rPr>
          <w:rFonts w:ascii="Segoe UI" w:hAnsi="Segoe UI" w:cs="Segoe UI"/>
          <w:i/>
          <w:color w:val="000000"/>
          <w:sz w:val="18"/>
          <w:szCs w:val="18"/>
          <w:lang w:val="en-US" w:eastAsia="it-IT"/>
        </w:rPr>
        <w:t>considerando</w:t>
      </w:r>
      <w:r w:rsidRPr="00015BAA">
        <w:rPr>
          <w:rFonts w:ascii="Segoe UI" w:hAnsi="Segoe UI" w:cs="Segoe UI"/>
          <w:color w:val="000000"/>
          <w:sz w:val="18"/>
          <w:szCs w:val="18"/>
          <w:lang w:val="en-US" w:eastAsia="it-IT"/>
        </w:rPr>
        <w:t xml:space="preserve"> 8: “[...] </w:t>
      </w:r>
      <w:r w:rsidRPr="00015BAA">
        <w:rPr>
          <w:rFonts w:ascii="Segoe UI" w:hAnsi="Segoe UI" w:cs="Segoe UI"/>
          <w:i/>
          <w:color w:val="000000"/>
          <w:sz w:val="18"/>
          <w:szCs w:val="18"/>
          <w:lang w:val="en-US" w:eastAsia="it-IT"/>
        </w:rPr>
        <w:t>The risks of adverse impact may stem from the undertaking's own activities or may be linked to its operations, and, where relevant and proportionate, its products, services and business relationships, including its supply and subcontracting chains.</w:t>
      </w:r>
      <w:r w:rsidRPr="00015BAA">
        <w:rPr>
          <w:rFonts w:ascii="Segoe UI" w:hAnsi="Segoe UI" w:cs="Segoe UI"/>
          <w:color w:val="000000"/>
          <w:sz w:val="18"/>
          <w:szCs w:val="18"/>
          <w:lang w:val="en-US" w:eastAsia="it-IT"/>
        </w:rPr>
        <w:t xml:space="preserve"> [...]”; art. 1, Modifiche della direttiva 2013/34/UE: “[...] </w:t>
      </w:r>
      <w:r w:rsidRPr="00015BAA">
        <w:rPr>
          <w:rFonts w:ascii="Segoe UI" w:hAnsi="Segoe UI" w:cs="Segoe UI"/>
          <w:i/>
          <w:color w:val="000000"/>
          <w:sz w:val="18"/>
          <w:szCs w:val="18"/>
          <w:lang w:val="en-US" w:eastAsia="it-IT"/>
        </w:rPr>
        <w:t>Non-financial statement 1. Large undertakings ... ... shall include in the management report a non-financial statement containing information ... ... including:</w:t>
      </w:r>
      <w:r w:rsidRPr="00015BAA">
        <w:rPr>
          <w:rFonts w:ascii="Segoe UI" w:hAnsi="Segoe UI" w:cs="Segoe UI"/>
          <w:color w:val="000000"/>
          <w:sz w:val="18"/>
          <w:szCs w:val="18"/>
          <w:lang w:val="en-US" w:eastAsia="it-IT"/>
        </w:rPr>
        <w:t xml:space="preserve"> [...]</w:t>
      </w:r>
      <w:r w:rsidRPr="00015BAA">
        <w:rPr>
          <w:rFonts w:ascii="Segoe UI" w:hAnsi="Segoe UI" w:cs="Segoe UI"/>
          <w:i/>
          <w:color w:val="000000"/>
          <w:sz w:val="18"/>
          <w:szCs w:val="18"/>
          <w:lang w:val="en-US" w:eastAsia="it-IT"/>
        </w:rPr>
        <w:t xml:space="preserve"> (d) the principal risks related to those matters linked to the undertaking's operations including, where relevant and proportionate, its business relationships, products or services which are likely to cause adverse impacts in those areas, and how the undertaking manages those risks</w:t>
      </w:r>
      <w:r w:rsidRPr="00015BAA">
        <w:rPr>
          <w:rFonts w:ascii="Segoe UI" w:hAnsi="Segoe UI" w:cs="Segoe UI"/>
          <w:color w:val="000000"/>
          <w:sz w:val="18"/>
          <w:szCs w:val="18"/>
          <w:lang w:val="en-US" w:eastAsia="it-IT"/>
        </w:rPr>
        <w:t>”.</w:t>
      </w:r>
    </w:p>
  </w:footnote>
  <w:footnote w:id="16">
    <w:p w14:paraId="3ED2E8AD" w14:textId="77777777" w:rsidR="002C2390" w:rsidRPr="00015BAA" w:rsidRDefault="002C2390" w:rsidP="00015BAA">
      <w:pPr>
        <w:pStyle w:val="Testonotaapidipagina"/>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Con riguardo al binomio “significatività” e “rilevanza” qui associato al binomio “</w:t>
      </w:r>
      <w:r w:rsidRPr="00015BAA">
        <w:rPr>
          <w:rFonts w:ascii="Segoe UI" w:hAnsi="Segoe UI" w:cs="Segoe UI"/>
          <w:i/>
          <w:sz w:val="18"/>
          <w:szCs w:val="18"/>
        </w:rPr>
        <w:t>relevance</w:t>
      </w:r>
      <w:r w:rsidRPr="00015BAA">
        <w:rPr>
          <w:rFonts w:ascii="Segoe UI" w:hAnsi="Segoe UI" w:cs="Segoe UI"/>
          <w:sz w:val="18"/>
          <w:szCs w:val="18"/>
        </w:rPr>
        <w:t>” e “</w:t>
      </w:r>
      <w:r w:rsidRPr="00015BAA">
        <w:rPr>
          <w:rFonts w:ascii="Segoe UI" w:hAnsi="Segoe UI" w:cs="Segoe UI"/>
          <w:i/>
          <w:sz w:val="18"/>
          <w:szCs w:val="18"/>
        </w:rPr>
        <w:t>materiality</w:t>
      </w:r>
      <w:r w:rsidRPr="00015BAA">
        <w:rPr>
          <w:rFonts w:ascii="Segoe UI" w:hAnsi="Segoe UI" w:cs="Segoe UI"/>
          <w:sz w:val="18"/>
          <w:szCs w:val="18"/>
        </w:rPr>
        <w:t>”, cfr. nota 13.</w:t>
      </w:r>
    </w:p>
  </w:footnote>
  <w:footnote w:id="17">
    <w:p w14:paraId="3790C7CC" w14:textId="3B449D1F" w:rsidR="002C2390" w:rsidRPr="00015BAA" w:rsidRDefault="002C2390" w:rsidP="00015BAA">
      <w:pPr>
        <w:pStyle w:val="Testonotaapidipagina"/>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In questo senso (sembrerebbe) anche l’interpretazione di </w:t>
      </w:r>
      <w:r w:rsidRPr="00015BAA">
        <w:rPr>
          <w:rFonts w:ascii="Segoe UI" w:hAnsi="Segoe UI" w:cs="Segoe UI"/>
          <w:bCs/>
          <w:sz w:val="18"/>
          <w:szCs w:val="18"/>
        </w:rPr>
        <w:t xml:space="preserve">Nedcommunity, laddove, nel documento “Effective governance outlook. </w:t>
      </w:r>
      <w:r w:rsidRPr="00015BAA">
        <w:rPr>
          <w:rFonts w:ascii="Segoe UI" w:eastAsia="Times New Roman" w:hAnsi="Segoe UI" w:cs="Segoe UI"/>
          <w:sz w:val="18"/>
          <w:szCs w:val="18"/>
          <w:lang w:eastAsia="it-IT"/>
        </w:rPr>
        <w:t xml:space="preserve">La dichiarazione sulle informazioni non finanziarie: ruoli e responsabilità degli organi aziendali”, n. 5, pubblicato lo scorso gennaio, </w:t>
      </w:r>
      <w:r w:rsidRPr="00015BAA">
        <w:rPr>
          <w:rFonts w:ascii="Segoe UI" w:hAnsi="Segoe UI" w:cs="Segoe UI"/>
          <w:sz w:val="18"/>
          <w:szCs w:val="18"/>
        </w:rPr>
        <w:t xml:space="preserve">nel paragrafo </w:t>
      </w:r>
      <w:r w:rsidRPr="00015BAA">
        <w:rPr>
          <w:rFonts w:ascii="Segoe UI" w:hAnsi="Segoe UI" w:cs="Segoe UI"/>
          <w:bCs/>
          <w:sz w:val="18"/>
          <w:szCs w:val="18"/>
        </w:rPr>
        <w:t>4, “Il contenuto della Dichiarazione”, con riferimento all’art</w:t>
      </w:r>
      <w:r w:rsidRPr="00015BAA">
        <w:rPr>
          <w:rFonts w:ascii="Segoe UI" w:hAnsi="Segoe UI" w:cs="Segoe UI"/>
          <w:sz w:val="18"/>
          <w:szCs w:val="18"/>
        </w:rPr>
        <w:t xml:space="preserve">. 3, co. 1, del decreto, </w:t>
      </w:r>
      <w:r w:rsidRPr="00015BAA">
        <w:rPr>
          <w:rFonts w:ascii="Segoe UI" w:hAnsi="Segoe UI" w:cs="Segoe UI"/>
          <w:bCs/>
          <w:sz w:val="18"/>
          <w:szCs w:val="18"/>
        </w:rPr>
        <w:t xml:space="preserve">specifica testualmente: </w:t>
      </w:r>
      <w:r w:rsidRPr="00015BAA">
        <w:rPr>
          <w:rFonts w:ascii="Segoe UI" w:eastAsia="Times New Roman" w:hAnsi="Segoe UI" w:cs="Segoe UI"/>
          <w:sz w:val="18"/>
          <w:szCs w:val="18"/>
          <w:lang w:eastAsia="it-IT"/>
        </w:rPr>
        <w:t>“La Dichiarazione – ‘</w:t>
      </w:r>
      <w:r w:rsidRPr="00015BAA">
        <w:rPr>
          <w:rFonts w:ascii="Segoe UI" w:eastAsia="Times New Roman" w:hAnsi="Segoe UI" w:cs="Segoe UI"/>
          <w:i/>
          <w:sz w:val="18"/>
          <w:szCs w:val="18"/>
          <w:lang w:eastAsia="it-IT"/>
        </w:rPr>
        <w:t>nella misura necessaria ad assicurare la comprensione dell’attività di impresa, del suo andamento, dei suoi risultati e dell’impatto dalla stessa prodotta</w:t>
      </w:r>
      <w:r w:rsidRPr="00015BAA">
        <w:rPr>
          <w:rFonts w:ascii="Segoe UI" w:eastAsia="Times New Roman" w:hAnsi="Segoe UI" w:cs="Segoe UI"/>
          <w:sz w:val="18"/>
          <w:szCs w:val="18"/>
          <w:lang w:eastAsia="it-IT"/>
        </w:rPr>
        <w:t>’ – deve contenere informazioni relative ai seguenti ambiti: i) ambiente, ii) comunità di riferimento, iii) personale, iv) diritti umani, v) lotta contro la corruzione sia attiva, sia passiva, che sono ‘</w:t>
      </w:r>
      <w:r w:rsidRPr="00015BAA">
        <w:rPr>
          <w:rFonts w:ascii="Segoe UI" w:eastAsia="Times New Roman" w:hAnsi="Segoe UI" w:cs="Segoe UI"/>
          <w:i/>
          <w:sz w:val="18"/>
          <w:szCs w:val="18"/>
          <w:lang w:eastAsia="it-IT"/>
        </w:rPr>
        <w:t>rilevanti tenuto conto delle attività e delle caratteristiche dell’impresa</w:t>
      </w:r>
      <w:r w:rsidRPr="00015BAA">
        <w:rPr>
          <w:rFonts w:ascii="Segoe UI" w:eastAsia="Times New Roman" w:hAnsi="Segoe UI" w:cs="Segoe UI"/>
          <w:sz w:val="18"/>
          <w:szCs w:val="18"/>
          <w:lang w:eastAsia="it-IT"/>
        </w:rPr>
        <w:t>’ (gli “</w:t>
      </w:r>
      <w:r w:rsidRPr="00015BAA">
        <w:rPr>
          <w:rFonts w:ascii="Segoe UI" w:eastAsia="Times New Roman" w:hAnsi="Segoe UI" w:cs="Segoe UI"/>
          <w:b/>
          <w:sz w:val="18"/>
          <w:szCs w:val="18"/>
          <w:lang w:eastAsia="it-IT"/>
        </w:rPr>
        <w:t>Ambiti</w:t>
      </w:r>
      <w:r w:rsidRPr="00015BAA">
        <w:rPr>
          <w:rFonts w:ascii="Segoe UI" w:eastAsia="Times New Roman" w:hAnsi="Segoe UI" w:cs="Segoe UI"/>
          <w:sz w:val="18"/>
          <w:szCs w:val="18"/>
          <w:lang w:eastAsia="it-IT"/>
        </w:rPr>
        <w:t>”), [...]”.</w:t>
      </w:r>
    </w:p>
  </w:footnote>
  <w:footnote w:id="18">
    <w:p w14:paraId="35175F13" w14:textId="77777777" w:rsidR="002C2390" w:rsidRPr="00015BAA" w:rsidRDefault="002C2390" w:rsidP="00015BAA">
      <w:pPr>
        <w:pStyle w:val="Testonotaapidipagina"/>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Con riguardo al binomio “significatività” e “rilevanza” qui associato al binomio “</w:t>
      </w:r>
      <w:r w:rsidRPr="00015BAA">
        <w:rPr>
          <w:rFonts w:ascii="Segoe UI" w:hAnsi="Segoe UI" w:cs="Segoe UI"/>
          <w:i/>
          <w:sz w:val="18"/>
          <w:szCs w:val="18"/>
        </w:rPr>
        <w:t>relevance</w:t>
      </w:r>
      <w:r w:rsidRPr="00015BAA">
        <w:rPr>
          <w:rFonts w:ascii="Segoe UI" w:hAnsi="Segoe UI" w:cs="Segoe UI"/>
          <w:sz w:val="18"/>
          <w:szCs w:val="18"/>
        </w:rPr>
        <w:t>” e “</w:t>
      </w:r>
      <w:r w:rsidRPr="00015BAA">
        <w:rPr>
          <w:rFonts w:ascii="Segoe UI" w:hAnsi="Segoe UI" w:cs="Segoe UI"/>
          <w:i/>
          <w:sz w:val="18"/>
          <w:szCs w:val="18"/>
        </w:rPr>
        <w:t>materiality</w:t>
      </w:r>
      <w:r w:rsidRPr="00015BAA">
        <w:rPr>
          <w:rFonts w:ascii="Segoe UI" w:hAnsi="Segoe UI" w:cs="Segoe UI"/>
          <w:sz w:val="18"/>
          <w:szCs w:val="18"/>
        </w:rPr>
        <w:t>”, cfr. nota 13.</w:t>
      </w:r>
    </w:p>
  </w:footnote>
  <w:footnote w:id="19">
    <w:p w14:paraId="1ACC2DEC" w14:textId="29C6C6AD" w:rsidR="002C2390" w:rsidRPr="00015BAA" w:rsidRDefault="002C2390" w:rsidP="00015BAA">
      <w:pPr>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In questo paragrafo relativo alla </w:t>
      </w:r>
      <w:r w:rsidRPr="00015BAA">
        <w:rPr>
          <w:rFonts w:ascii="Segoe UI" w:hAnsi="Segoe UI" w:cs="Segoe UI"/>
          <w:i/>
          <w:sz w:val="18"/>
          <w:szCs w:val="18"/>
        </w:rPr>
        <w:t>financial disclosure</w:t>
      </w:r>
      <w:r w:rsidRPr="00015BAA">
        <w:rPr>
          <w:rFonts w:ascii="Segoe UI" w:hAnsi="Segoe UI" w:cs="Segoe UI"/>
          <w:sz w:val="18"/>
          <w:szCs w:val="18"/>
        </w:rPr>
        <w:t>, ai termini “</w:t>
      </w:r>
      <w:r w:rsidRPr="00015BAA">
        <w:rPr>
          <w:rFonts w:ascii="Segoe UI" w:hAnsi="Segoe UI" w:cs="Segoe UI"/>
          <w:i/>
          <w:sz w:val="18"/>
          <w:szCs w:val="18"/>
        </w:rPr>
        <w:t>relevance</w:t>
      </w:r>
      <w:r w:rsidRPr="00015BAA">
        <w:rPr>
          <w:rFonts w:ascii="Segoe UI" w:hAnsi="Segoe UI" w:cs="Segoe UI"/>
          <w:sz w:val="18"/>
          <w:szCs w:val="18"/>
        </w:rPr>
        <w:t>” e “</w:t>
      </w:r>
      <w:r w:rsidRPr="00015BAA">
        <w:rPr>
          <w:rFonts w:ascii="Segoe UI" w:hAnsi="Segoe UI" w:cs="Segoe UI"/>
          <w:i/>
          <w:sz w:val="18"/>
          <w:szCs w:val="18"/>
        </w:rPr>
        <w:t>materiality</w:t>
      </w:r>
      <w:r w:rsidRPr="00015BAA">
        <w:rPr>
          <w:rFonts w:ascii="Segoe UI" w:hAnsi="Segoe UI" w:cs="Segoe UI"/>
          <w:sz w:val="18"/>
          <w:szCs w:val="18"/>
        </w:rPr>
        <w:t>” corrispondono i termini italiani “significatività” e “rilevanza” in quanto così adottati, nei parr. 26-30, nella traduzione del “</w:t>
      </w:r>
      <w:r w:rsidRPr="00015BAA">
        <w:rPr>
          <w:rFonts w:ascii="Segoe UI" w:eastAsia="Times New Roman" w:hAnsi="Segoe UI" w:cs="Segoe UI"/>
          <w:iCs/>
          <w:sz w:val="18"/>
          <w:szCs w:val="18"/>
          <w:shd w:val="clear" w:color="auto" w:fill="FFFFFF"/>
          <w:lang w:eastAsia="it-IT"/>
        </w:rPr>
        <w:t>Framework for the Preparation and Presentation of Financial Statements” (</w:t>
      </w:r>
      <w:r w:rsidRPr="00015BAA">
        <w:rPr>
          <w:rFonts w:ascii="Segoe UI" w:hAnsi="Segoe UI" w:cs="Segoe UI"/>
          <w:sz w:val="18"/>
          <w:szCs w:val="18"/>
        </w:rPr>
        <w:t>Quadro sistematico per la preparazione e la presentazione del bilancio) pubblicato in IFRS 2009 dallo IASB, documento, peraltro, sostituito nel 2010, come si è già evidenziato, dal “Conceptual Framework for Financial Reporting” del quale non vi è traduzione italiana ufficiale; nondimeno, ai termini “</w:t>
      </w:r>
      <w:r w:rsidRPr="00015BAA">
        <w:rPr>
          <w:rFonts w:ascii="Segoe UI" w:hAnsi="Segoe UI" w:cs="Segoe UI"/>
          <w:i/>
          <w:sz w:val="18"/>
          <w:szCs w:val="18"/>
        </w:rPr>
        <w:t>material</w:t>
      </w:r>
      <w:r w:rsidRPr="00015BAA">
        <w:rPr>
          <w:rFonts w:ascii="Segoe UI" w:hAnsi="Segoe UI" w:cs="Segoe UI"/>
          <w:sz w:val="18"/>
          <w:szCs w:val="18"/>
        </w:rPr>
        <w:t>” e “</w:t>
      </w:r>
      <w:r w:rsidRPr="00015BAA">
        <w:rPr>
          <w:rFonts w:ascii="Segoe UI" w:hAnsi="Segoe UI" w:cs="Segoe UI"/>
          <w:i/>
          <w:sz w:val="18"/>
          <w:szCs w:val="18"/>
        </w:rPr>
        <w:t>materiality</w:t>
      </w:r>
      <w:r w:rsidRPr="00015BAA">
        <w:rPr>
          <w:rFonts w:ascii="Segoe UI" w:hAnsi="Segoe UI" w:cs="Segoe UI"/>
          <w:sz w:val="18"/>
          <w:szCs w:val="18"/>
        </w:rPr>
        <w:t>” corrispondono i termini “rilevante” e “rilevanza” anche negli IAS 1 e 8 dello IASB attualmente in vigore di cui, invece, v’è traduzione italiana ufficiale.</w:t>
      </w:r>
    </w:p>
  </w:footnote>
  <w:footnote w:id="20">
    <w:p w14:paraId="260A864F" w14:textId="77777777" w:rsidR="002C2390" w:rsidRPr="00015BAA" w:rsidRDefault="002C2390" w:rsidP="00015BAA">
      <w:pPr>
        <w:pStyle w:val="Testonotaapidipagina"/>
        <w:spacing w:before="120" w:after="120" w:line="240" w:lineRule="auto"/>
        <w:jc w:val="both"/>
        <w:rPr>
          <w:rFonts w:ascii="Segoe UI" w:hAnsi="Segoe UI" w:cs="Segoe UI"/>
          <w:sz w:val="18"/>
          <w:szCs w:val="18"/>
          <w:highlight w:val="yellow"/>
          <w:lang w:val="en-US"/>
        </w:rPr>
      </w:pPr>
      <w:r w:rsidRPr="00015BAA">
        <w:rPr>
          <w:rStyle w:val="Rimandonotaapidipagina"/>
          <w:rFonts w:cs="Segoe UI"/>
          <w:sz w:val="18"/>
          <w:szCs w:val="18"/>
        </w:rPr>
        <w:footnoteRef/>
      </w:r>
      <w:r w:rsidRPr="00015BAA">
        <w:rPr>
          <w:rFonts w:ascii="Segoe UI" w:hAnsi="Segoe UI" w:cs="Segoe UI"/>
          <w:sz w:val="18"/>
          <w:szCs w:val="18"/>
          <w:lang w:val="en-US"/>
        </w:rPr>
        <w:t xml:space="preserve"> “</w:t>
      </w:r>
      <w:r w:rsidRPr="00015BAA">
        <w:rPr>
          <w:rFonts w:ascii="Segoe UI" w:hAnsi="Segoe UI" w:cs="Segoe UI"/>
          <w:i/>
          <w:sz w:val="18"/>
          <w:szCs w:val="18"/>
          <w:lang w:val="en-US"/>
        </w:rPr>
        <w:t>Relevant information is capable of making a difference in the decisions made by users. Information may be capable of making a difference in a decision even if some users choose not to take advantage of it or are already aware of it from other sources</w:t>
      </w:r>
      <w:r w:rsidRPr="00015BAA">
        <w:rPr>
          <w:rFonts w:ascii="Segoe UI" w:hAnsi="Segoe UI" w:cs="Segoe UI"/>
          <w:sz w:val="18"/>
          <w:szCs w:val="18"/>
          <w:lang w:val="en-US"/>
        </w:rPr>
        <w:t>”, in IASB, “The Conceptual Framework for Financial Reporting”, 2017, QC6.</w:t>
      </w:r>
    </w:p>
  </w:footnote>
  <w:footnote w:id="21">
    <w:p w14:paraId="7CCF5ACA" w14:textId="77777777" w:rsidR="002C2390" w:rsidRPr="00015BAA" w:rsidRDefault="002C2390" w:rsidP="00015BAA">
      <w:pPr>
        <w:pStyle w:val="Testonotaapidipagina"/>
        <w:spacing w:before="120" w:after="120" w:line="240" w:lineRule="auto"/>
        <w:jc w:val="both"/>
        <w:rPr>
          <w:rFonts w:ascii="Segoe UI" w:hAnsi="Segoe UI" w:cs="Segoe UI"/>
          <w:i/>
          <w:sz w:val="18"/>
          <w:szCs w:val="18"/>
          <w:lang w:val="en-US"/>
        </w:rPr>
      </w:pPr>
      <w:r w:rsidRPr="00015BAA">
        <w:rPr>
          <w:rStyle w:val="Rimandonotaapidipagina"/>
          <w:rFonts w:cs="Segoe UI"/>
          <w:sz w:val="18"/>
          <w:szCs w:val="18"/>
        </w:rPr>
        <w:footnoteRef/>
      </w:r>
      <w:r w:rsidRPr="00015BAA">
        <w:rPr>
          <w:rFonts w:ascii="Segoe UI" w:hAnsi="Segoe UI" w:cs="Segoe UI"/>
          <w:i/>
          <w:sz w:val="18"/>
          <w:szCs w:val="18"/>
          <w:lang w:val="en-US"/>
        </w:rPr>
        <w:t xml:space="preserve"> </w:t>
      </w:r>
      <w:r w:rsidRPr="00015BAA">
        <w:rPr>
          <w:rFonts w:ascii="Segoe UI" w:hAnsi="Segoe UI" w:cs="Segoe UI"/>
          <w:sz w:val="18"/>
          <w:szCs w:val="18"/>
          <w:lang w:val="en-US"/>
        </w:rPr>
        <w:t>“</w:t>
      </w:r>
      <w:r w:rsidRPr="00015BAA">
        <w:rPr>
          <w:rFonts w:ascii="Segoe UI" w:hAnsi="Segoe UI" w:cs="Segoe UI"/>
          <w:i/>
          <w:sz w:val="18"/>
          <w:szCs w:val="18"/>
          <w:lang w:val="en-US"/>
        </w:rPr>
        <w:t>Financial information is capable of making a difference in decisions if it has predictive value, confirmatory value or both.</w:t>
      </w:r>
      <w:r w:rsidRPr="00015BAA">
        <w:rPr>
          <w:rFonts w:ascii="Segoe UI" w:hAnsi="Segoe UI" w:cs="Segoe UI"/>
          <w:sz w:val="18"/>
          <w:szCs w:val="18"/>
          <w:lang w:val="en-US"/>
        </w:rPr>
        <w:t xml:space="preserve">”, in IASB (2017), </w:t>
      </w:r>
      <w:r w:rsidRPr="00015BAA">
        <w:rPr>
          <w:rFonts w:ascii="Segoe UI" w:hAnsi="Segoe UI" w:cs="Segoe UI"/>
          <w:i/>
          <w:sz w:val="18"/>
          <w:szCs w:val="18"/>
          <w:lang w:val="en-US"/>
        </w:rPr>
        <w:t>ibidem</w:t>
      </w:r>
      <w:r w:rsidRPr="00015BAA">
        <w:rPr>
          <w:rFonts w:ascii="Segoe UI" w:hAnsi="Segoe UI" w:cs="Segoe UI"/>
          <w:sz w:val="18"/>
          <w:szCs w:val="18"/>
          <w:lang w:val="en-US"/>
        </w:rPr>
        <w:t>, QC7.</w:t>
      </w:r>
    </w:p>
  </w:footnote>
  <w:footnote w:id="22">
    <w:p w14:paraId="533E34E3" w14:textId="49D8736E" w:rsidR="002C2390" w:rsidRPr="00015BAA" w:rsidRDefault="002C2390" w:rsidP="00015BAA">
      <w:pPr>
        <w:autoSpaceDE w:val="0"/>
        <w:autoSpaceDN w:val="0"/>
        <w:adjustRightInd w:val="0"/>
        <w:spacing w:before="120" w:after="120" w:line="240" w:lineRule="auto"/>
        <w:jc w:val="both"/>
        <w:rPr>
          <w:rFonts w:ascii="Segoe UI" w:hAnsi="Segoe UI" w:cs="Segoe UI"/>
          <w:sz w:val="18"/>
          <w:szCs w:val="18"/>
          <w:lang w:val="en-US"/>
        </w:rPr>
      </w:pPr>
      <w:r w:rsidRPr="00015BAA">
        <w:rPr>
          <w:rStyle w:val="Rimandonotaapidipagina"/>
          <w:rFonts w:cs="Segoe UI"/>
          <w:sz w:val="18"/>
          <w:szCs w:val="18"/>
        </w:rPr>
        <w:footnoteRef/>
      </w:r>
      <w:r w:rsidRPr="00015BAA">
        <w:rPr>
          <w:rFonts w:ascii="Segoe UI" w:hAnsi="Segoe UI" w:cs="Segoe UI"/>
          <w:sz w:val="18"/>
          <w:szCs w:val="18"/>
          <w:lang w:val="en-US"/>
        </w:rPr>
        <w:t xml:space="preserve"> “</w:t>
      </w:r>
      <w:r w:rsidRPr="00015BAA">
        <w:rPr>
          <w:rFonts w:ascii="Segoe UI" w:hAnsi="Segoe UI" w:cs="Segoe UI"/>
          <w:i/>
          <w:sz w:val="18"/>
          <w:szCs w:val="18"/>
          <w:lang w:val="en-US"/>
        </w:rPr>
        <w:t>If financial information is to be useful, it must be relevant and faithfully represent what it purports to represent. The usefulness of financial information is enhanced if it is comparable, verifiable, timely and understandable.</w:t>
      </w:r>
      <w:r w:rsidRPr="00015BAA">
        <w:rPr>
          <w:rFonts w:ascii="Segoe UI" w:hAnsi="Segoe UI" w:cs="Segoe UI"/>
          <w:sz w:val="18"/>
          <w:szCs w:val="18"/>
          <w:lang w:val="en-US"/>
        </w:rPr>
        <w:t xml:space="preserve">”, in IASB (2017), </w:t>
      </w:r>
      <w:r w:rsidRPr="00015BAA">
        <w:rPr>
          <w:rFonts w:ascii="Segoe UI" w:hAnsi="Segoe UI" w:cs="Segoe UI"/>
          <w:i/>
          <w:sz w:val="18"/>
          <w:szCs w:val="18"/>
          <w:lang w:val="en-US"/>
        </w:rPr>
        <w:t>ibidem</w:t>
      </w:r>
      <w:r w:rsidRPr="00015BAA">
        <w:rPr>
          <w:rFonts w:ascii="Segoe UI" w:hAnsi="Segoe UI" w:cs="Segoe UI"/>
          <w:sz w:val="18"/>
          <w:szCs w:val="18"/>
          <w:lang w:val="en-US"/>
        </w:rPr>
        <w:t>, QC4.</w:t>
      </w:r>
    </w:p>
  </w:footnote>
  <w:footnote w:id="23">
    <w:p w14:paraId="39DAEC46" w14:textId="17B59394" w:rsidR="002C2390" w:rsidRPr="00015BAA" w:rsidRDefault="002C2390" w:rsidP="00015BAA">
      <w:pPr>
        <w:pStyle w:val="Testonotaapidipagina"/>
        <w:spacing w:before="120" w:after="120" w:line="240" w:lineRule="auto"/>
        <w:jc w:val="both"/>
        <w:rPr>
          <w:rFonts w:ascii="Segoe UI" w:hAnsi="Segoe UI" w:cs="Segoe UI"/>
          <w:sz w:val="18"/>
          <w:szCs w:val="18"/>
          <w:lang w:val="en-US"/>
        </w:rPr>
      </w:pPr>
      <w:r w:rsidRPr="00015BAA">
        <w:rPr>
          <w:rStyle w:val="Rimandonotaapidipagina"/>
          <w:rFonts w:cs="Segoe UI"/>
          <w:sz w:val="18"/>
          <w:szCs w:val="18"/>
        </w:rPr>
        <w:footnoteRef/>
      </w:r>
      <w:r w:rsidRPr="00015BAA">
        <w:rPr>
          <w:rFonts w:ascii="Segoe UI" w:hAnsi="Segoe UI" w:cs="Segoe UI"/>
          <w:sz w:val="18"/>
          <w:szCs w:val="18"/>
          <w:lang w:val="en-US"/>
        </w:rPr>
        <w:t xml:space="preserve"> IASB (2017), </w:t>
      </w:r>
      <w:r w:rsidRPr="00015BAA">
        <w:rPr>
          <w:rFonts w:ascii="Segoe UI" w:hAnsi="Segoe UI" w:cs="Segoe UI"/>
          <w:i/>
          <w:sz w:val="18"/>
          <w:szCs w:val="18"/>
          <w:lang w:val="en-US"/>
        </w:rPr>
        <w:t>ibidem</w:t>
      </w:r>
      <w:r w:rsidRPr="00015BAA">
        <w:rPr>
          <w:rFonts w:ascii="Segoe UI" w:hAnsi="Segoe UI" w:cs="Segoe UI"/>
          <w:sz w:val="18"/>
          <w:szCs w:val="18"/>
          <w:lang w:val="en-US"/>
        </w:rPr>
        <w:t>, QC11</w:t>
      </w:r>
      <w:r w:rsidRPr="00015BAA">
        <w:rPr>
          <w:rFonts w:ascii="Segoe UI" w:hAnsi="Segoe UI" w:cs="Segoe UI"/>
          <w:sz w:val="18"/>
          <w:szCs w:val="18"/>
          <w:lang w:val="en-GB"/>
        </w:rPr>
        <w:t>.</w:t>
      </w:r>
    </w:p>
  </w:footnote>
  <w:footnote w:id="24">
    <w:p w14:paraId="1EA6FAB2" w14:textId="77777777" w:rsidR="002C2390" w:rsidRPr="00015BAA" w:rsidRDefault="002C2390" w:rsidP="00015BAA">
      <w:pPr>
        <w:pStyle w:val="Testonotaapidipagina"/>
        <w:spacing w:after="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Il concetto di rilevanza è poi ripreso nella direttiva 2013/34/UE nei seguenti articoli:</w:t>
      </w:r>
    </w:p>
    <w:p w14:paraId="06EC3A29" w14:textId="77777777" w:rsidR="002C2390" w:rsidRPr="00015BAA" w:rsidRDefault="002C2390" w:rsidP="00015BAA">
      <w:pPr>
        <w:pStyle w:val="Paragrafoelenco"/>
        <w:keepLines/>
        <w:numPr>
          <w:ilvl w:val="0"/>
          <w:numId w:val="2"/>
        </w:numPr>
        <w:tabs>
          <w:tab w:val="left" w:pos="567"/>
        </w:tabs>
        <w:spacing w:after="0" w:line="240" w:lineRule="auto"/>
        <w:ind w:left="568" w:hanging="284"/>
        <w:contextualSpacing w:val="0"/>
        <w:jc w:val="both"/>
        <w:rPr>
          <w:rFonts w:ascii="Segoe UI" w:hAnsi="Segoe UI" w:cs="Segoe UI"/>
          <w:sz w:val="18"/>
          <w:szCs w:val="18"/>
        </w:rPr>
      </w:pPr>
      <w:r w:rsidRPr="00015BAA">
        <w:rPr>
          <w:rFonts w:ascii="Segoe UI" w:hAnsi="Segoe UI" w:cs="Segoe UI"/>
          <w:sz w:val="18"/>
          <w:szCs w:val="18"/>
        </w:rPr>
        <w:t>art. 6, paragrafo 1, lett. j): rispetto agli effetti irrilevanti sull’informazione complessiva di bilancio;</w:t>
      </w:r>
    </w:p>
    <w:p w14:paraId="2F7FF2EA" w14:textId="77777777" w:rsidR="002C2390" w:rsidRPr="00015BAA" w:rsidRDefault="002C2390" w:rsidP="00015BAA">
      <w:pPr>
        <w:pStyle w:val="Paragrafoelenco"/>
        <w:keepLines/>
        <w:numPr>
          <w:ilvl w:val="0"/>
          <w:numId w:val="2"/>
        </w:numPr>
        <w:tabs>
          <w:tab w:val="left" w:pos="567"/>
        </w:tabs>
        <w:spacing w:after="0" w:line="240" w:lineRule="auto"/>
        <w:ind w:left="568" w:hanging="284"/>
        <w:contextualSpacing w:val="0"/>
        <w:jc w:val="both"/>
        <w:rPr>
          <w:rFonts w:ascii="Segoe UI" w:hAnsi="Segoe UI" w:cs="Segoe UI"/>
          <w:sz w:val="18"/>
          <w:szCs w:val="18"/>
        </w:rPr>
      </w:pPr>
      <w:r w:rsidRPr="00015BAA">
        <w:rPr>
          <w:rFonts w:ascii="Segoe UI" w:hAnsi="Segoe UI" w:cs="Segoe UI"/>
          <w:i/>
          <w:sz w:val="18"/>
          <w:szCs w:val="18"/>
        </w:rPr>
        <w:t>considerando</w:t>
      </w:r>
      <w:r w:rsidRPr="00015BAA">
        <w:rPr>
          <w:rFonts w:ascii="Segoe UI" w:hAnsi="Segoe UI" w:cs="Segoe UI"/>
          <w:sz w:val="18"/>
          <w:szCs w:val="18"/>
        </w:rPr>
        <w:t xml:space="preserve"> 17, in cui si afferma che: “(…) </w:t>
      </w:r>
      <w:r w:rsidRPr="00015BAA">
        <w:rPr>
          <w:rFonts w:ascii="Segoe UI" w:hAnsi="Segoe UI" w:cs="Segoe UI"/>
          <w:i/>
          <w:sz w:val="18"/>
          <w:szCs w:val="18"/>
        </w:rPr>
        <w:t>mentre un singolo elemento potrebbe essere considerato irrilevante, elementi irrilevanti di natura analoga potrebbero essere considerati rilevanti ove presi nel loro insieme. Si dovrebbe consentire agli Stati membri di limitare l'applicazione obbligatoria del principio di rilevanza alla presentazione e all’informativa. Il principio di rilevanza non dovrebbe pregiudicare eventuali obblighi nazionali relativi alla tenuta di registri completi da cui risultino le operazioni commerciali e la situazione finanziaria.</w:t>
      </w:r>
      <w:r w:rsidRPr="00015BAA">
        <w:rPr>
          <w:rFonts w:ascii="Segoe UI" w:hAnsi="Segoe UI" w:cs="Segoe UI"/>
          <w:sz w:val="18"/>
          <w:szCs w:val="18"/>
        </w:rPr>
        <w:t>”.</w:t>
      </w:r>
    </w:p>
  </w:footnote>
  <w:footnote w:id="25">
    <w:p w14:paraId="77C0EB71" w14:textId="50A73866" w:rsidR="002C2390" w:rsidRPr="00015BAA" w:rsidRDefault="002C2390" w:rsidP="00015BAA">
      <w:pPr>
        <w:pStyle w:val="Default"/>
        <w:tabs>
          <w:tab w:val="left" w:pos="284"/>
        </w:tabs>
        <w:spacing w:before="120" w:after="120"/>
        <w:jc w:val="both"/>
        <w:rPr>
          <w:rFonts w:ascii="Segoe UI" w:hAnsi="Segoe UI" w:cs="Segoe UI"/>
          <w:sz w:val="18"/>
          <w:szCs w:val="18"/>
          <w:lang w:val="en-US"/>
        </w:rPr>
      </w:pPr>
      <w:r w:rsidRPr="00015BAA">
        <w:rPr>
          <w:rStyle w:val="Rimandonotaapidipagina"/>
          <w:rFonts w:cs="Segoe UI"/>
          <w:sz w:val="18"/>
          <w:szCs w:val="18"/>
        </w:rPr>
        <w:footnoteRef/>
      </w:r>
      <w:r w:rsidRPr="00015BAA">
        <w:rPr>
          <w:rStyle w:val="Rimandonotaapidipagina"/>
          <w:rFonts w:cs="Segoe UI"/>
          <w:sz w:val="18"/>
          <w:szCs w:val="18"/>
          <w:vertAlign w:val="baseline"/>
          <w:lang w:val="en-US"/>
        </w:rPr>
        <w:t xml:space="preserve"> IASB, “</w:t>
      </w:r>
      <w:r w:rsidRPr="00015BAA">
        <w:rPr>
          <w:rFonts w:ascii="Segoe UI" w:hAnsi="Segoe UI" w:cs="Segoe UI"/>
          <w:color w:val="auto"/>
          <w:sz w:val="18"/>
          <w:szCs w:val="18"/>
          <w:lang w:val="en-US"/>
        </w:rPr>
        <w:t xml:space="preserve">Definition of Material. Proposed amendments to IAS 1 and IAS 8”, </w:t>
      </w:r>
      <w:r w:rsidRPr="00015BAA">
        <w:rPr>
          <w:rFonts w:ascii="Segoe UI" w:hAnsi="Segoe UI" w:cs="Segoe UI"/>
          <w:i/>
          <w:color w:val="auto"/>
          <w:sz w:val="18"/>
          <w:szCs w:val="18"/>
          <w:lang w:val="en-US"/>
        </w:rPr>
        <w:t>Exposure Draft</w:t>
      </w:r>
      <w:r w:rsidRPr="00015BAA">
        <w:rPr>
          <w:rFonts w:ascii="Segoe UI" w:hAnsi="Segoe UI" w:cs="Segoe UI"/>
          <w:color w:val="auto"/>
          <w:sz w:val="18"/>
          <w:szCs w:val="18"/>
          <w:lang w:val="en-US"/>
        </w:rPr>
        <w:t xml:space="preserve"> ED/2017/6, IFRS, settembre 2017.</w:t>
      </w:r>
    </w:p>
  </w:footnote>
  <w:footnote w:id="26">
    <w:p w14:paraId="5082CBE5" w14:textId="1B8B79D9" w:rsidR="002C2390" w:rsidRPr="00015BAA" w:rsidRDefault="002C2390" w:rsidP="00015BAA">
      <w:pPr>
        <w:pStyle w:val="Testonotaapidipagina"/>
        <w:spacing w:before="120" w:after="120" w:line="240" w:lineRule="auto"/>
        <w:jc w:val="both"/>
        <w:rPr>
          <w:rFonts w:ascii="Segoe UI" w:hAnsi="Segoe UI" w:cs="Segoe UI"/>
          <w:sz w:val="18"/>
          <w:szCs w:val="18"/>
          <w:lang w:val="en-US"/>
        </w:rPr>
      </w:pPr>
      <w:r w:rsidRPr="00015BAA">
        <w:rPr>
          <w:rStyle w:val="Rimandonotaapidipagina"/>
          <w:rFonts w:cs="Segoe UI"/>
          <w:sz w:val="18"/>
          <w:szCs w:val="18"/>
        </w:rPr>
        <w:footnoteRef/>
      </w:r>
      <w:r w:rsidRPr="00015BAA">
        <w:rPr>
          <w:rFonts w:ascii="Segoe UI" w:hAnsi="Segoe UI" w:cs="Segoe UI"/>
          <w:sz w:val="18"/>
          <w:szCs w:val="18"/>
          <w:lang w:val="en-US"/>
        </w:rPr>
        <w:t xml:space="preserve"> IASB, “Making Materiality Judgements. Practice Statement 2”, IFRS, settembre 2017.</w:t>
      </w:r>
    </w:p>
  </w:footnote>
  <w:footnote w:id="27">
    <w:p w14:paraId="03CEE0EB" w14:textId="35A8FC7D" w:rsidR="002C2390" w:rsidRPr="00015BAA" w:rsidRDefault="002C2390" w:rsidP="00015BAA">
      <w:pPr>
        <w:pStyle w:val="Normale1"/>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Nella Comunicazione </w:t>
      </w:r>
      <w:r w:rsidRPr="00015BAA">
        <w:rPr>
          <w:rFonts w:ascii="Segoe UI" w:hAnsi="Segoe UI" w:cs="Segoe UI"/>
          <w:color w:val="000000"/>
          <w:sz w:val="18"/>
          <w:szCs w:val="18"/>
        </w:rPr>
        <w:t xml:space="preserve">della Commissione europea </w:t>
      </w:r>
      <w:r w:rsidRPr="00015BAA">
        <w:rPr>
          <w:rFonts w:ascii="Segoe UI" w:hAnsi="Segoe UI" w:cs="Segoe UI"/>
          <w:sz w:val="18"/>
          <w:szCs w:val="18"/>
        </w:rPr>
        <w:t xml:space="preserve">2017/C 215/01, </w:t>
      </w:r>
      <w:r w:rsidRPr="00015BAA">
        <w:rPr>
          <w:rFonts w:ascii="Segoe UI" w:hAnsi="Segoe UI" w:cs="Segoe UI"/>
          <w:color w:val="000000"/>
          <w:sz w:val="18"/>
          <w:szCs w:val="18"/>
        </w:rPr>
        <w:t>“</w:t>
      </w:r>
      <w:r w:rsidRPr="00015BAA">
        <w:rPr>
          <w:rFonts w:ascii="Segoe UI" w:hAnsi="Segoe UI" w:cs="Segoe UI"/>
          <w:i/>
          <w:sz w:val="18"/>
          <w:szCs w:val="18"/>
        </w:rPr>
        <w:t>Orientamenti sulla comunicazione di informazioni di carattere non finanziario. Metodologia per la comunicazione di informazioni di carattere non finanziario</w:t>
      </w:r>
      <w:r w:rsidRPr="00015BAA">
        <w:rPr>
          <w:rFonts w:ascii="Segoe UI" w:hAnsi="Segoe UI" w:cs="Segoe UI"/>
          <w:sz w:val="18"/>
          <w:szCs w:val="18"/>
        </w:rPr>
        <w:t xml:space="preserve">” pubblicata il 5 luglio scorso (Orientamenti “non vincolanti” formulati ai sensi dell’art. 2 della direttiva 2014/95/UE), nel paragrafo 5, “Standard di comunicazione”, dopo aver richiamato gli </w:t>
      </w:r>
      <w:r w:rsidRPr="00015BAA">
        <w:rPr>
          <w:rFonts w:ascii="Segoe UI" w:hAnsi="Segoe UI" w:cs="Segoe UI"/>
          <w:i/>
          <w:sz w:val="18"/>
          <w:szCs w:val="18"/>
        </w:rPr>
        <w:t>standard</w:t>
      </w:r>
      <w:r w:rsidRPr="00015BAA">
        <w:rPr>
          <w:rFonts w:ascii="Segoe UI" w:hAnsi="Segoe UI" w:cs="Segoe UI"/>
          <w:sz w:val="18"/>
          <w:szCs w:val="18"/>
        </w:rPr>
        <w:t xml:space="preserve"> e le linee guida di cui al </w:t>
      </w:r>
      <w:r w:rsidRPr="00015BAA">
        <w:rPr>
          <w:rFonts w:ascii="Segoe UI" w:hAnsi="Segoe UI" w:cs="Segoe UI"/>
          <w:i/>
          <w:sz w:val="18"/>
          <w:szCs w:val="18"/>
        </w:rPr>
        <w:t>considerando 9</w:t>
      </w:r>
      <w:r w:rsidRPr="00015BAA">
        <w:rPr>
          <w:rFonts w:ascii="Segoe UI" w:hAnsi="Segoe UI" w:cs="Segoe UI"/>
          <w:sz w:val="18"/>
          <w:szCs w:val="18"/>
        </w:rPr>
        <w:t xml:space="preserve"> della direttiva, si afferma che le imprese “possono altresì ritenere opportuno l’utilizzo di altri standard di comunicazione, quali quelli menzionati nell’introduzione ai presenti orientamenti”, introduzione in cui l’elenco della direttiva (sopra richiamato) viene considerevolmente ampliato, includendo specificamente anche l’International Integrated Reporting Framework dell’International Integrated Reporting Council emanato nel dicembre 2013.</w:t>
      </w:r>
    </w:p>
  </w:footnote>
  <w:footnote w:id="28">
    <w:p w14:paraId="4BE81164" w14:textId="2CF277CA" w:rsidR="002C2390" w:rsidRPr="00015BAA" w:rsidRDefault="002C2390" w:rsidP="00015BAA">
      <w:pPr>
        <w:pStyle w:val="Testonotaapidipagina"/>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lang w:val="en-US"/>
        </w:rPr>
        <w:t xml:space="preserve"> Global Reporting Initiative, “G4 Sustainability Reporting Guidelines”, 2013; in particolare: “G4 Sustainability Reporting Guidelines. </w:t>
      </w:r>
      <w:r w:rsidRPr="00015BAA">
        <w:rPr>
          <w:rFonts w:ascii="Segoe UI" w:hAnsi="Segoe UI" w:cs="Segoe UI"/>
          <w:sz w:val="18"/>
          <w:szCs w:val="18"/>
        </w:rPr>
        <w:t>Reporting principles and standard disclosure” e “Implementation manual”</w:t>
      </w:r>
      <w:hyperlink w:history="1"/>
      <w:r w:rsidRPr="00015BAA">
        <w:rPr>
          <w:rFonts w:ascii="Segoe UI" w:hAnsi="Segoe UI" w:cs="Segoe UI"/>
          <w:sz w:val="18"/>
          <w:szCs w:val="18"/>
        </w:rPr>
        <w:t xml:space="preserve">. Nel 2013, nell’ambito del campione Fortune Global 250, che include le 250 maggiori società/aziende/gruppi classificati in base al fatturato, la quota di report di </w:t>
      </w:r>
      <w:r w:rsidRPr="00015BAA">
        <w:rPr>
          <w:rFonts w:ascii="Segoe UI" w:hAnsi="Segoe UI" w:cs="Segoe UI"/>
          <w:i/>
          <w:sz w:val="18"/>
          <w:szCs w:val="18"/>
        </w:rPr>
        <w:t>corporate responsibility</w:t>
      </w:r>
      <w:r w:rsidRPr="00015BAA">
        <w:rPr>
          <w:rFonts w:ascii="Segoe UI" w:hAnsi="Segoe UI" w:cs="Segoe UI"/>
          <w:sz w:val="18"/>
          <w:szCs w:val="18"/>
        </w:rPr>
        <w:t xml:space="preserve"> (CR) redatti secondo le SR Guidelines del GRI ha raggiunto l’82% (contro il 77% del 2008), in Fondazione Nazionale dei Commercialisti, “GRI Sustainability Reporting Guidelines e IIRC Integrated Reporting Framework, Spunti di riflessioni su due principali </w:t>
      </w:r>
      <w:r w:rsidRPr="00015BAA">
        <w:rPr>
          <w:rFonts w:ascii="Segoe UI" w:hAnsi="Segoe UI" w:cs="Segoe UI"/>
          <w:i/>
          <w:sz w:val="18"/>
          <w:szCs w:val="18"/>
        </w:rPr>
        <w:t>standard</w:t>
      </w:r>
      <w:r w:rsidRPr="00015BAA">
        <w:rPr>
          <w:rFonts w:ascii="Segoe UI" w:hAnsi="Segoe UI" w:cs="Segoe UI"/>
          <w:sz w:val="18"/>
          <w:szCs w:val="18"/>
        </w:rPr>
        <w:t xml:space="preserve"> di </w:t>
      </w:r>
      <w:r w:rsidRPr="00015BAA">
        <w:rPr>
          <w:rFonts w:ascii="Segoe UI" w:hAnsi="Segoe UI" w:cs="Segoe UI"/>
          <w:i/>
          <w:sz w:val="18"/>
          <w:szCs w:val="18"/>
        </w:rPr>
        <w:t>sustainability reporting</w:t>
      </w:r>
      <w:r w:rsidRPr="00015BAA">
        <w:rPr>
          <w:rFonts w:ascii="Segoe UI" w:hAnsi="Segoe UI" w:cs="Segoe UI"/>
          <w:sz w:val="18"/>
          <w:szCs w:val="18"/>
        </w:rPr>
        <w:t>”, settembre, 2015, p. 4.</w:t>
      </w:r>
    </w:p>
  </w:footnote>
  <w:footnote w:id="29">
    <w:p w14:paraId="329753EA" w14:textId="3465B8A8" w:rsidR="002C2390" w:rsidRPr="00015BAA" w:rsidRDefault="002C2390" w:rsidP="00015BAA">
      <w:pPr>
        <w:pStyle w:val="Testonotaapidipagina"/>
        <w:spacing w:before="120" w:after="120" w:line="240" w:lineRule="auto"/>
        <w:jc w:val="both"/>
        <w:rPr>
          <w:rFonts w:ascii="Segoe UI" w:hAnsi="Segoe UI" w:cs="Segoe UI"/>
          <w:sz w:val="18"/>
          <w:szCs w:val="18"/>
          <w:lang w:val="en-GB"/>
        </w:rPr>
      </w:pPr>
      <w:r w:rsidRPr="00015BAA">
        <w:rPr>
          <w:rStyle w:val="Rimandonotaapidipagina"/>
          <w:rFonts w:cs="Segoe UI"/>
          <w:sz w:val="18"/>
          <w:szCs w:val="18"/>
        </w:rPr>
        <w:footnoteRef/>
      </w:r>
      <w:r w:rsidRPr="00015BAA">
        <w:rPr>
          <w:rFonts w:ascii="Segoe UI" w:hAnsi="Segoe UI" w:cs="Segoe UI"/>
          <w:sz w:val="18"/>
          <w:szCs w:val="18"/>
          <w:lang w:val="en-GB"/>
        </w:rPr>
        <w:t xml:space="preserve"> </w:t>
      </w:r>
      <w:r w:rsidRPr="00015BAA">
        <w:rPr>
          <w:rFonts w:ascii="Segoe UI" w:eastAsia="Times New Roman" w:hAnsi="Segoe UI" w:cs="Segoe UI"/>
          <w:bCs/>
          <w:sz w:val="18"/>
          <w:szCs w:val="18"/>
          <w:lang w:val="en-GB" w:eastAsia="it-IT"/>
        </w:rPr>
        <w:t>International Integrated Reporting Council (IIRC), International Integrated Reporting (IR) Framework 1.0, 2013.</w:t>
      </w:r>
    </w:p>
  </w:footnote>
  <w:footnote w:id="30">
    <w:p w14:paraId="14A4D54B" w14:textId="2EE205B5" w:rsidR="002C2390" w:rsidRPr="00015BAA" w:rsidRDefault="002C2390" w:rsidP="00015BAA">
      <w:pPr>
        <w:tabs>
          <w:tab w:val="left" w:pos="0"/>
        </w:tabs>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Nella rappresentazione del modello di </w:t>
      </w:r>
      <w:r w:rsidRPr="00015BAA">
        <w:rPr>
          <w:rFonts w:ascii="Segoe UI" w:hAnsi="Segoe UI" w:cs="Segoe UI"/>
          <w:i/>
          <w:sz w:val="18"/>
          <w:szCs w:val="18"/>
        </w:rPr>
        <w:t>business</w:t>
      </w:r>
      <w:r w:rsidRPr="00015BAA">
        <w:rPr>
          <w:rFonts w:ascii="Segoe UI" w:hAnsi="Segoe UI" w:cs="Segoe UI"/>
          <w:sz w:val="18"/>
          <w:szCs w:val="18"/>
        </w:rPr>
        <w:t xml:space="preserve"> dell’impresa i capitali sono definiti “</w:t>
      </w:r>
      <w:r w:rsidRPr="00015BAA">
        <w:rPr>
          <w:rFonts w:ascii="Segoe UI" w:hAnsi="Segoe UI" w:cs="Segoe UI"/>
          <w:i/>
          <w:sz w:val="18"/>
          <w:szCs w:val="18"/>
        </w:rPr>
        <w:t>stock</w:t>
      </w:r>
      <w:r w:rsidRPr="00015BAA">
        <w:rPr>
          <w:rFonts w:ascii="Segoe UI" w:hAnsi="Segoe UI" w:cs="Segoe UI"/>
          <w:sz w:val="18"/>
          <w:szCs w:val="18"/>
        </w:rPr>
        <w:t xml:space="preserve"> di valore che viene incrementato, ridotto o trasformato attraverso le attività e gli output di un'organizzazione”. L’impresa deve identificare i capitali rilevanti e definire rispetto ad essi gli elementi chiave da rappresentare nel </w:t>
      </w:r>
      <w:r w:rsidRPr="00015BAA">
        <w:rPr>
          <w:rFonts w:ascii="Segoe UI" w:hAnsi="Segoe UI" w:cs="Segoe UI"/>
          <w:i/>
          <w:sz w:val="18"/>
          <w:szCs w:val="18"/>
        </w:rPr>
        <w:t>business model</w:t>
      </w:r>
      <w:r w:rsidRPr="00015BAA">
        <w:rPr>
          <w:rFonts w:ascii="Segoe UI" w:hAnsi="Segoe UI" w:cs="Segoe UI"/>
          <w:sz w:val="18"/>
          <w:szCs w:val="18"/>
        </w:rPr>
        <w:t>.</w:t>
      </w:r>
    </w:p>
  </w:footnote>
  <w:footnote w:id="31">
    <w:p w14:paraId="277EA4BD" w14:textId="14B8C5C4" w:rsidR="002C2390" w:rsidRPr="00015BAA" w:rsidRDefault="002C2390" w:rsidP="00015BAA">
      <w:pPr>
        <w:pStyle w:val="Testonotaapidipagina"/>
        <w:spacing w:before="120" w:after="120" w:line="240" w:lineRule="auto"/>
        <w:jc w:val="both"/>
        <w:rPr>
          <w:rFonts w:ascii="Segoe UI" w:hAnsi="Segoe UI" w:cs="Segoe UI"/>
          <w:sz w:val="18"/>
          <w:szCs w:val="18"/>
          <w:lang w:val="en-US"/>
        </w:rPr>
      </w:pPr>
      <w:r w:rsidRPr="00015BAA">
        <w:rPr>
          <w:rStyle w:val="Rimandonotaapidipagina"/>
          <w:rFonts w:cs="Segoe UI"/>
          <w:sz w:val="18"/>
          <w:szCs w:val="18"/>
        </w:rPr>
        <w:footnoteRef/>
      </w:r>
      <w:r w:rsidRPr="00015BAA">
        <w:rPr>
          <w:rFonts w:ascii="Segoe UI" w:hAnsi="Segoe UI" w:cs="Segoe UI"/>
          <w:sz w:val="18"/>
          <w:szCs w:val="18"/>
          <w:lang w:val="en-US"/>
        </w:rPr>
        <w:t xml:space="preserve"> IIRC (2013), op.cit., p. 25 e segg.</w:t>
      </w:r>
    </w:p>
  </w:footnote>
  <w:footnote w:id="32">
    <w:p w14:paraId="6AB0FF87" w14:textId="2C54CA3F" w:rsidR="002C2390" w:rsidRPr="00015BAA" w:rsidRDefault="002C2390" w:rsidP="00015BAA">
      <w:pPr>
        <w:pStyle w:val="Testonotaapidipagina"/>
        <w:spacing w:before="120" w:after="120" w:line="240" w:lineRule="auto"/>
        <w:jc w:val="both"/>
        <w:rPr>
          <w:rFonts w:ascii="Segoe UI" w:hAnsi="Segoe UI" w:cs="Segoe UI"/>
          <w:sz w:val="18"/>
          <w:szCs w:val="18"/>
          <w:lang w:val="en-US"/>
        </w:rPr>
      </w:pPr>
      <w:r w:rsidRPr="00015BAA">
        <w:rPr>
          <w:rStyle w:val="Rimandonotaapidipagina"/>
          <w:rFonts w:cs="Segoe UI"/>
          <w:sz w:val="18"/>
          <w:szCs w:val="18"/>
        </w:rPr>
        <w:footnoteRef/>
      </w:r>
      <w:r w:rsidRPr="00015BAA">
        <w:rPr>
          <w:rFonts w:ascii="Segoe UI" w:hAnsi="Segoe UI" w:cs="Segoe UI"/>
          <w:sz w:val="18"/>
          <w:szCs w:val="18"/>
          <w:lang w:val="en-GB"/>
        </w:rPr>
        <w:t xml:space="preserve"> Global Reporting Initiative, “Making headway in Europe. Linking GRI’s G4 Guidelines and the European Directive on non-financial and diversity </w:t>
      </w:r>
      <w:r w:rsidRPr="00015BAA">
        <w:rPr>
          <w:rFonts w:ascii="Segoe UI" w:hAnsi="Segoe UI" w:cs="Segoe UI"/>
          <w:sz w:val="18"/>
          <w:szCs w:val="18"/>
          <w:lang w:val="en-US"/>
        </w:rPr>
        <w:t>disclosure”, 2015, p. 5.</w:t>
      </w:r>
    </w:p>
  </w:footnote>
  <w:footnote w:id="33">
    <w:p w14:paraId="5BEBAB06" w14:textId="24363565" w:rsidR="002C2390" w:rsidRPr="00015BAA" w:rsidRDefault="002C2390" w:rsidP="00015BAA">
      <w:pPr>
        <w:pStyle w:val="Testonotaapidipagina"/>
        <w:spacing w:before="120" w:after="120" w:line="240" w:lineRule="auto"/>
        <w:jc w:val="both"/>
        <w:rPr>
          <w:rFonts w:ascii="Segoe UI" w:hAnsi="Segoe UI" w:cs="Segoe UI"/>
          <w:sz w:val="18"/>
          <w:szCs w:val="18"/>
          <w:lang w:val="en-US"/>
        </w:rPr>
      </w:pPr>
      <w:r w:rsidRPr="00015BAA">
        <w:rPr>
          <w:rStyle w:val="Rimandonotaapidipagina"/>
          <w:rFonts w:cs="Segoe UI"/>
          <w:sz w:val="18"/>
          <w:szCs w:val="18"/>
        </w:rPr>
        <w:footnoteRef/>
      </w:r>
      <w:r w:rsidRPr="00015BAA">
        <w:rPr>
          <w:rFonts w:ascii="Segoe UI" w:hAnsi="Segoe UI" w:cs="Segoe UI"/>
          <w:sz w:val="18"/>
          <w:szCs w:val="18"/>
          <w:lang w:val="en-US"/>
        </w:rPr>
        <w:t xml:space="preserve"> Come si vede, il GRI fa propria la definizione di sostenibilità del c.d. R</w:t>
      </w:r>
      <w:r w:rsidRPr="00015BAA">
        <w:rPr>
          <w:rStyle w:val="Enfasicorsivo"/>
          <w:rFonts w:ascii="Segoe UI" w:hAnsi="Segoe UI" w:cs="Segoe UI"/>
          <w:i w:val="0"/>
          <w:sz w:val="18"/>
          <w:szCs w:val="18"/>
          <w:lang w:val="en-US"/>
        </w:rPr>
        <w:t>apporto Brundtland:</w:t>
      </w:r>
      <w:r w:rsidRPr="00015BAA">
        <w:rPr>
          <w:rStyle w:val="Enfasicorsivo"/>
          <w:rFonts w:ascii="Segoe UI" w:hAnsi="Segoe UI" w:cs="Segoe UI"/>
          <w:sz w:val="18"/>
          <w:szCs w:val="18"/>
          <w:lang w:val="en-US"/>
        </w:rPr>
        <w:t xml:space="preserve"> </w:t>
      </w:r>
      <w:r w:rsidRPr="00015BAA">
        <w:rPr>
          <w:rFonts w:ascii="Segoe UI" w:hAnsi="Segoe UI" w:cs="Segoe UI"/>
          <w:sz w:val="18"/>
          <w:szCs w:val="18"/>
          <w:lang w:val="en-US"/>
        </w:rPr>
        <w:t xml:space="preserve">World Commission on Environment and Development, </w:t>
      </w:r>
      <w:r w:rsidRPr="00015BAA">
        <w:rPr>
          <w:rFonts w:ascii="Segoe UI" w:hAnsi="Segoe UI" w:cs="Segoe UI"/>
          <w:i/>
          <w:sz w:val="18"/>
          <w:szCs w:val="18"/>
          <w:lang w:val="en-US"/>
        </w:rPr>
        <w:t>Our Common Future</w:t>
      </w:r>
      <w:r w:rsidRPr="00015BAA">
        <w:rPr>
          <w:rFonts w:ascii="Segoe UI" w:hAnsi="Segoe UI" w:cs="Segoe UI"/>
          <w:sz w:val="18"/>
          <w:szCs w:val="18"/>
          <w:lang w:val="en-US"/>
        </w:rPr>
        <w:t>, Oxford, Oxford University press, 1987, p.43.</w:t>
      </w:r>
    </w:p>
  </w:footnote>
  <w:footnote w:id="34">
    <w:p w14:paraId="200CA18E" w14:textId="4B1E7906" w:rsidR="002C2390" w:rsidRPr="00015BAA" w:rsidRDefault="002C2390" w:rsidP="00015BAA">
      <w:pPr>
        <w:tabs>
          <w:tab w:val="left" w:pos="0"/>
        </w:tabs>
        <w:spacing w:before="120" w:after="120" w:line="240" w:lineRule="auto"/>
        <w:jc w:val="both"/>
        <w:rPr>
          <w:rFonts w:ascii="Segoe UI" w:hAnsi="Segoe UI" w:cs="Segoe UI"/>
          <w:sz w:val="18"/>
          <w:szCs w:val="18"/>
          <w:lang w:val="en-US"/>
        </w:rPr>
      </w:pPr>
      <w:r w:rsidRPr="00015BAA">
        <w:rPr>
          <w:rStyle w:val="Rimandonotaapidipagina"/>
          <w:rFonts w:cs="Segoe UI"/>
          <w:sz w:val="18"/>
          <w:szCs w:val="18"/>
        </w:rPr>
        <w:footnoteRef/>
      </w:r>
      <w:r w:rsidRPr="00015BAA">
        <w:rPr>
          <w:rFonts w:ascii="Segoe UI" w:hAnsi="Segoe UI" w:cs="Segoe UI"/>
          <w:sz w:val="18"/>
          <w:szCs w:val="18"/>
        </w:rPr>
        <w:t xml:space="preserve"> Nel 2015, il GRI ha infatti pubblicato uno specifico documento in tema di applicazione delle SR Guidelines ai fini della </w:t>
      </w:r>
      <w:r w:rsidRPr="00015BAA">
        <w:rPr>
          <w:rFonts w:ascii="Segoe UI" w:hAnsi="Segoe UI" w:cs="Segoe UI"/>
          <w:i/>
          <w:sz w:val="18"/>
          <w:szCs w:val="18"/>
        </w:rPr>
        <w:t>compliance</w:t>
      </w:r>
      <w:r w:rsidRPr="00015BAA">
        <w:rPr>
          <w:rFonts w:ascii="Segoe UI" w:hAnsi="Segoe UI" w:cs="Segoe UI"/>
          <w:sz w:val="18"/>
          <w:szCs w:val="18"/>
        </w:rPr>
        <w:t xml:space="preserve"> alle disposizioni della direttiva 2014/95/UE, “Making headway in Europe. Linking GRI’s G4 Guidelines and the European Directive on non-financial and diversity disclosure”; sarebbe davvero abbastanza singolare che, laddove avesse ritenuto di dover definire diversamente, rispetto al passato, aspetti relativi alla materialità così importanti (nell’ambito dell’applicazione della normativa di </w:t>
      </w:r>
      <w:r w:rsidRPr="00015BAA">
        <w:rPr>
          <w:rFonts w:ascii="Segoe UI" w:hAnsi="Segoe UI" w:cs="Segoe UI"/>
          <w:i/>
          <w:sz w:val="18"/>
          <w:szCs w:val="18"/>
        </w:rPr>
        <w:t>disclosure</w:t>
      </w:r>
      <w:r w:rsidRPr="00015BAA">
        <w:rPr>
          <w:rFonts w:ascii="Segoe UI" w:hAnsi="Segoe UI" w:cs="Segoe UI"/>
          <w:sz w:val="18"/>
          <w:szCs w:val="18"/>
        </w:rPr>
        <w:t xml:space="preserve"> europea), non ne abbia fornito indicazione nel documento del 2016 qui in esame, “Definig What matters. </w:t>
      </w:r>
      <w:r w:rsidRPr="00015BAA">
        <w:rPr>
          <w:rFonts w:ascii="Segoe UI" w:hAnsi="Segoe UI" w:cs="Segoe UI"/>
          <w:sz w:val="18"/>
          <w:szCs w:val="18"/>
          <w:lang w:val="en-US"/>
        </w:rPr>
        <w:t>Do companies and investors agree on what is material?”.</w:t>
      </w:r>
    </w:p>
  </w:footnote>
  <w:footnote w:id="35">
    <w:p w14:paraId="7B0CD9D8" w14:textId="1553E592" w:rsidR="002C2390" w:rsidRPr="00015BAA" w:rsidRDefault="002C2390" w:rsidP="00015BAA">
      <w:pPr>
        <w:pStyle w:val="Testonotaapidipagina"/>
        <w:spacing w:before="120" w:after="120" w:line="240" w:lineRule="auto"/>
        <w:jc w:val="both"/>
        <w:rPr>
          <w:rFonts w:ascii="Segoe UI" w:hAnsi="Segoe UI" w:cs="Segoe UI"/>
          <w:sz w:val="18"/>
          <w:szCs w:val="18"/>
          <w:lang w:val="en-GB"/>
        </w:rPr>
      </w:pPr>
      <w:r w:rsidRPr="00015BAA">
        <w:rPr>
          <w:rStyle w:val="Rimandonotaapidipagina"/>
          <w:rFonts w:cs="Segoe UI"/>
          <w:sz w:val="18"/>
          <w:szCs w:val="18"/>
        </w:rPr>
        <w:footnoteRef/>
      </w:r>
      <w:r w:rsidRPr="00015BAA">
        <w:rPr>
          <w:rFonts w:ascii="Segoe UI" w:hAnsi="Segoe UI" w:cs="Segoe UI"/>
          <w:sz w:val="18"/>
          <w:szCs w:val="18"/>
          <w:lang w:val="en-GB"/>
        </w:rPr>
        <w:t xml:space="preserve"> “Aspect boundaries refer to the description of where impacts occur for each material aspect. Aspect boundaries vary depending on the aspect reported. With regards to drawing the reporting boundaries for material aspect (relevant for G4-18, G4-20, G4-21) the phrase “where the impact occur” means which entities inside the organization, or which entities or groups of entities outside the organization, cause the impact and are responsible for it”.</w:t>
      </w:r>
    </w:p>
  </w:footnote>
  <w:footnote w:id="36">
    <w:p w14:paraId="0EA14453" w14:textId="01725490" w:rsidR="002C2390" w:rsidRPr="00015BAA" w:rsidRDefault="002C2390" w:rsidP="00015BAA">
      <w:pPr>
        <w:pStyle w:val="Testonotaapidipagina"/>
        <w:spacing w:before="120" w:after="120" w:line="240" w:lineRule="auto"/>
        <w:jc w:val="both"/>
        <w:rPr>
          <w:rFonts w:ascii="Segoe UI" w:hAnsi="Segoe UI" w:cs="Segoe UI"/>
          <w:sz w:val="18"/>
          <w:szCs w:val="18"/>
          <w:lang w:val="en-GB"/>
        </w:rPr>
      </w:pPr>
      <w:r w:rsidRPr="00015BAA">
        <w:rPr>
          <w:rStyle w:val="Rimandonotaapidipagina"/>
          <w:rFonts w:cs="Segoe UI"/>
          <w:sz w:val="18"/>
          <w:szCs w:val="18"/>
        </w:rPr>
        <w:footnoteRef/>
      </w:r>
      <w:r w:rsidRPr="00015BAA">
        <w:rPr>
          <w:rFonts w:ascii="Segoe UI" w:hAnsi="Segoe UI" w:cs="Segoe UI"/>
          <w:sz w:val="18"/>
          <w:szCs w:val="18"/>
          <w:lang w:val="en-GB"/>
        </w:rPr>
        <w:t xml:space="preserve"> International Federation of Accountants (IFAC) e </w:t>
      </w:r>
      <w:r w:rsidRPr="00015BAA">
        <w:rPr>
          <w:rFonts w:ascii="Segoe UI" w:eastAsia="Times New Roman" w:hAnsi="Segoe UI" w:cs="Segoe UI"/>
          <w:bCs/>
          <w:sz w:val="18"/>
          <w:szCs w:val="18"/>
          <w:lang w:val="en-GB" w:eastAsia="it-IT"/>
        </w:rPr>
        <w:t>International Integrated Reporting Council (IIRC), “Materiality in IR. Guidance for the preparation of integrated reports”,</w:t>
      </w:r>
      <w:r w:rsidRPr="00015BAA">
        <w:rPr>
          <w:rFonts w:ascii="Segoe UI" w:hAnsi="Segoe UI" w:cs="Segoe UI"/>
          <w:sz w:val="18"/>
          <w:szCs w:val="18"/>
          <w:lang w:val="en-GB"/>
        </w:rPr>
        <w:t xml:space="preserve"> novembre, 2015.</w:t>
      </w:r>
    </w:p>
  </w:footnote>
  <w:footnote w:id="37">
    <w:p w14:paraId="2750F90E" w14:textId="2CAE53DD" w:rsidR="002C2390" w:rsidRPr="00015BAA" w:rsidRDefault="002C2390" w:rsidP="00015BAA">
      <w:pPr>
        <w:pStyle w:val="Testonotaapidipagina"/>
        <w:spacing w:before="120" w:after="120" w:line="240" w:lineRule="auto"/>
        <w:jc w:val="both"/>
        <w:rPr>
          <w:rFonts w:ascii="Segoe UI" w:hAnsi="Segoe UI" w:cs="Segoe UI"/>
          <w:sz w:val="18"/>
          <w:szCs w:val="18"/>
          <w:lang w:val="en-US"/>
        </w:rPr>
      </w:pPr>
      <w:r w:rsidRPr="00015BAA">
        <w:rPr>
          <w:rStyle w:val="Rimandonotaapidipagina"/>
          <w:rFonts w:cs="Segoe UI"/>
          <w:sz w:val="18"/>
          <w:szCs w:val="18"/>
        </w:rPr>
        <w:footnoteRef/>
      </w:r>
      <w:r w:rsidRPr="00015BAA">
        <w:rPr>
          <w:rFonts w:ascii="Segoe UI" w:hAnsi="Segoe UI" w:cs="Segoe UI"/>
          <w:sz w:val="18"/>
          <w:szCs w:val="18"/>
          <w:lang w:val="en-US"/>
        </w:rPr>
        <w:t xml:space="preserve"> “Integrated Reporting requires that organizations think beyond traditional financial reporting boundaries to identify risk, opportunities, outcomes that could substantively affect their ability to create value over time”.</w:t>
      </w:r>
    </w:p>
  </w:footnote>
  <w:footnote w:id="38">
    <w:p w14:paraId="5BC6EF4E" w14:textId="29B21C10" w:rsidR="002C2390" w:rsidRPr="00015BAA" w:rsidRDefault="002C2390" w:rsidP="00015BAA">
      <w:pPr>
        <w:pStyle w:val="Testonotaapidipagina"/>
        <w:spacing w:before="120" w:after="120" w:line="240" w:lineRule="auto"/>
        <w:jc w:val="both"/>
        <w:rPr>
          <w:rFonts w:ascii="Segoe UI" w:hAnsi="Segoe UI" w:cs="Segoe UI"/>
          <w:sz w:val="18"/>
          <w:szCs w:val="18"/>
          <w:lang w:val="en-GB"/>
        </w:rPr>
      </w:pPr>
      <w:r w:rsidRPr="00015BAA">
        <w:rPr>
          <w:rStyle w:val="Rimandonotaapidipagina"/>
          <w:rFonts w:cs="Segoe UI"/>
          <w:sz w:val="18"/>
          <w:szCs w:val="18"/>
        </w:rPr>
        <w:footnoteRef/>
      </w:r>
      <w:r w:rsidRPr="00015BAA">
        <w:rPr>
          <w:rFonts w:ascii="Segoe UI" w:hAnsi="Segoe UI" w:cs="Segoe UI"/>
          <w:sz w:val="18"/>
          <w:szCs w:val="18"/>
          <w:lang w:val="en-GB"/>
        </w:rPr>
        <w:t xml:space="preserve"> L’International IR </w:t>
      </w:r>
      <w:r w:rsidRPr="00015BAA">
        <w:rPr>
          <w:rStyle w:val="Rimandonotaapidipagina"/>
          <w:rFonts w:cs="Segoe UI"/>
          <w:sz w:val="18"/>
          <w:szCs w:val="18"/>
          <w:vertAlign w:val="baseline"/>
          <w:lang w:val="en-GB"/>
        </w:rPr>
        <w:t xml:space="preserve">Framework identifica </w:t>
      </w:r>
      <w:r w:rsidRPr="00015BAA">
        <w:rPr>
          <w:rFonts w:ascii="Segoe UI" w:hAnsi="Segoe UI" w:cs="Segoe UI"/>
          <w:sz w:val="18"/>
          <w:szCs w:val="18"/>
          <w:lang w:val="en-GB"/>
        </w:rPr>
        <w:t>6</w:t>
      </w:r>
      <w:r w:rsidRPr="00015BAA">
        <w:rPr>
          <w:rStyle w:val="Rimandonotaapidipagina"/>
          <w:rFonts w:cs="Segoe UI"/>
          <w:sz w:val="18"/>
          <w:szCs w:val="18"/>
          <w:vertAlign w:val="baseline"/>
          <w:lang w:val="en-GB"/>
        </w:rPr>
        <w:t xml:space="preserve"> forme di capitali: finanziario, manifatturiero, intellettuale, umano, sociale e relazionale, e naturale.</w:t>
      </w:r>
    </w:p>
  </w:footnote>
  <w:footnote w:id="39">
    <w:p w14:paraId="79D7644A" w14:textId="40861D1A" w:rsidR="002C2390" w:rsidRPr="00015BAA" w:rsidRDefault="002C2390" w:rsidP="00015BAA">
      <w:pPr>
        <w:pStyle w:val="Testonotaapidipagina"/>
        <w:spacing w:before="120" w:after="120" w:line="240" w:lineRule="auto"/>
        <w:jc w:val="both"/>
        <w:rPr>
          <w:rFonts w:ascii="Segoe UI" w:hAnsi="Segoe UI" w:cs="Segoe UI"/>
          <w:sz w:val="18"/>
          <w:szCs w:val="18"/>
          <w:lang w:val="en-US"/>
        </w:rPr>
      </w:pPr>
      <w:r w:rsidRPr="00015BAA">
        <w:rPr>
          <w:rStyle w:val="Rimandonotaapidipagina"/>
          <w:rFonts w:cs="Segoe UI"/>
          <w:sz w:val="18"/>
          <w:szCs w:val="18"/>
        </w:rPr>
        <w:footnoteRef/>
      </w:r>
      <w:r w:rsidRPr="00015BAA">
        <w:rPr>
          <w:rFonts w:ascii="Segoe UI" w:hAnsi="Segoe UI" w:cs="Segoe UI"/>
          <w:sz w:val="18"/>
          <w:szCs w:val="18"/>
          <w:lang w:val="en-US"/>
        </w:rPr>
        <w:t xml:space="preserve"> IIRC (2013), op. cit. Sul tema si segnalano, inoltre: IIRC e AICPA, “Materiality. Background paper for &lt;IR&gt;”, 2013</w:t>
      </w:r>
      <w:hyperlink r:id="rId1" w:history="1"/>
      <w:r w:rsidRPr="00015BAA">
        <w:rPr>
          <w:rFonts w:ascii="Segoe UI" w:hAnsi="Segoe UI" w:cs="Segoe UI"/>
          <w:sz w:val="18"/>
          <w:szCs w:val="18"/>
          <w:lang w:val="en-US"/>
        </w:rPr>
        <w:t xml:space="preserve">; Ernst &amp; Young, “The concept of materiality in Integrated Reporting”, in </w:t>
      </w:r>
      <w:r w:rsidRPr="00015BAA">
        <w:rPr>
          <w:rFonts w:ascii="Segoe UI" w:hAnsi="Segoe UI" w:cs="Segoe UI"/>
          <w:i/>
          <w:sz w:val="18"/>
          <w:szCs w:val="18"/>
          <w:lang w:val="en-US"/>
        </w:rPr>
        <w:t>Integrated Reporting Update</w:t>
      </w:r>
      <w:r w:rsidRPr="00015BAA">
        <w:rPr>
          <w:rFonts w:ascii="Segoe UI" w:hAnsi="Segoe UI" w:cs="Segoe UI"/>
          <w:sz w:val="18"/>
          <w:szCs w:val="18"/>
          <w:lang w:val="en-US"/>
        </w:rPr>
        <w:t>, aprile, 2013.</w:t>
      </w:r>
    </w:p>
  </w:footnote>
  <w:footnote w:id="40">
    <w:p w14:paraId="16B6B883" w14:textId="54EAC781" w:rsidR="002C2390" w:rsidRPr="00015BAA" w:rsidRDefault="002C2390" w:rsidP="00015BAA">
      <w:pPr>
        <w:autoSpaceDE w:val="0"/>
        <w:autoSpaceDN w:val="0"/>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w:t>
      </w:r>
      <w:r w:rsidRPr="00015BAA">
        <w:rPr>
          <w:rFonts w:ascii="Segoe UI" w:hAnsi="Segoe UI" w:cs="Segoe UI"/>
          <w:sz w:val="18"/>
          <w:szCs w:val="18"/>
          <w:lang w:val="en-US"/>
        </w:rPr>
        <w:t>Accountancy Europe (già FEE), “Disclose what truly matters. Model disclosures under the non-financial and diversity information directive”, novembre 2016.</w:t>
      </w:r>
    </w:p>
  </w:footnote>
  <w:footnote w:id="41">
    <w:p w14:paraId="037B9FF4" w14:textId="33ED0CB3" w:rsidR="002C2390" w:rsidRPr="00015BAA" w:rsidRDefault="002C2390" w:rsidP="00015BAA">
      <w:pPr>
        <w:autoSpaceDE w:val="0"/>
        <w:autoSpaceDN w:val="0"/>
        <w:spacing w:before="120" w:after="120" w:line="240" w:lineRule="auto"/>
        <w:jc w:val="both"/>
        <w:rPr>
          <w:rFonts w:ascii="Segoe UI" w:hAnsi="Segoe UI" w:cs="Segoe UI"/>
          <w:sz w:val="18"/>
          <w:szCs w:val="18"/>
          <w:lang w:val="en-US"/>
        </w:rPr>
      </w:pPr>
      <w:r w:rsidRPr="00015BAA">
        <w:rPr>
          <w:rStyle w:val="Rimandonotaapidipagina"/>
          <w:rFonts w:cs="Segoe UI"/>
          <w:sz w:val="18"/>
          <w:szCs w:val="18"/>
        </w:rPr>
        <w:footnoteRef/>
      </w:r>
      <w:r w:rsidRPr="00015BAA">
        <w:rPr>
          <w:rFonts w:ascii="Segoe UI" w:hAnsi="Segoe UI" w:cs="Segoe UI"/>
          <w:sz w:val="18"/>
          <w:szCs w:val="18"/>
          <w:lang w:val="en-US"/>
        </w:rPr>
        <w:t xml:space="preserve"> “The purpose and primary audience of the management report differ from that of an ESG report or CSR report, so the assessment of materiality also differs. The management report should focus on the matters that are critical to an understanding of the business – effectively the top right-hand corner of the materiality matrix.”.</w:t>
      </w:r>
    </w:p>
  </w:footnote>
  <w:footnote w:id="42">
    <w:p w14:paraId="33A10BBA" w14:textId="29C05801" w:rsidR="002C2390" w:rsidRPr="00015BAA" w:rsidRDefault="002C2390" w:rsidP="00015BAA">
      <w:pPr>
        <w:pStyle w:val="Testonotaapidipagina"/>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La “matrice di materialità” (che non è una matrice matematica ma una figura, costituita da un piano cartesiano) è uno strumento richiamato, proprio con questa denominazione, in varie linee guida e </w:t>
      </w:r>
      <w:r w:rsidRPr="00015BAA">
        <w:rPr>
          <w:rFonts w:ascii="Segoe UI" w:hAnsi="Segoe UI" w:cs="Segoe UI"/>
          <w:i/>
          <w:sz w:val="18"/>
          <w:szCs w:val="18"/>
        </w:rPr>
        <w:t>standard</w:t>
      </w:r>
      <w:r w:rsidRPr="00015BAA">
        <w:rPr>
          <w:rFonts w:ascii="Segoe UI" w:hAnsi="Segoe UI" w:cs="Segoe UI"/>
          <w:sz w:val="18"/>
          <w:szCs w:val="18"/>
        </w:rPr>
        <w:t xml:space="preserve"> di rendicontazione, al quale molte organizzazioni oggi ricorrono per giustificare il percorso seguito nell’identificazione dei temi ritenuti rilevanti; la matrice, che sarà meglio descritta nei paragrafi successivi e sulla quale avanzeremo alcune osservazioni (e anche alcune riserve), rappresenta i temi identificati quali rilevanti, appunto, in funzione di due variabili indipendenti, che nella prassi risultano spesso le seguenti (si vedrà, poi, per quali ragioni e con quali problematiche): “temi importanti per l’organizzazione” e “temi importanti per gli </w:t>
      </w:r>
      <w:r w:rsidRPr="00015BAA">
        <w:rPr>
          <w:rFonts w:ascii="Segoe UI" w:hAnsi="Segoe UI" w:cs="Segoe UI"/>
          <w:i/>
          <w:sz w:val="18"/>
          <w:szCs w:val="18"/>
        </w:rPr>
        <w:t>stakeholder</w:t>
      </w:r>
      <w:r w:rsidRPr="00015BAA">
        <w:rPr>
          <w:rFonts w:ascii="Segoe UI" w:hAnsi="Segoe UI" w:cs="Segoe UI"/>
          <w:sz w:val="18"/>
          <w:szCs w:val="18"/>
        </w:rPr>
        <w:t>”.</w:t>
      </w:r>
    </w:p>
  </w:footnote>
  <w:footnote w:id="43">
    <w:p w14:paraId="5B4607F1" w14:textId="13B2EC46" w:rsidR="002C2390" w:rsidRPr="00015BAA" w:rsidRDefault="002C2390" w:rsidP="00015BAA">
      <w:pPr>
        <w:pStyle w:val="Testonotaapidipagina"/>
        <w:spacing w:before="120" w:after="120" w:line="240" w:lineRule="auto"/>
        <w:jc w:val="both"/>
        <w:rPr>
          <w:rFonts w:ascii="Segoe UI" w:hAnsi="Segoe UI" w:cs="Segoe UI"/>
          <w:sz w:val="18"/>
          <w:szCs w:val="18"/>
        </w:rPr>
      </w:pPr>
      <w:r w:rsidRPr="00015BAA">
        <w:rPr>
          <w:rStyle w:val="Rimandonotaapidipagina"/>
          <w:rFonts w:cs="Segoe UI"/>
          <w:sz w:val="18"/>
          <w:szCs w:val="18"/>
        </w:rPr>
        <w:footnoteRef/>
      </w:r>
      <w:r w:rsidRPr="00015BAA">
        <w:rPr>
          <w:rFonts w:ascii="Segoe UI" w:hAnsi="Segoe UI" w:cs="Segoe UI"/>
          <w:sz w:val="18"/>
          <w:szCs w:val="18"/>
        </w:rPr>
        <w:t xml:space="preserve"> Rinunciando alla rappresentazione grafica del piano cartesiano, tra i molteplici strumenti possibili, il sistema di riferimento cartesiano potrebbe comunque risultare utile in un processo di determinazione della materialità per diverse tipologie di </w:t>
      </w:r>
      <w:r w:rsidRPr="00015BAA">
        <w:rPr>
          <w:rFonts w:ascii="Segoe UI" w:hAnsi="Segoe UI" w:cs="Segoe UI"/>
          <w:i/>
          <w:sz w:val="18"/>
          <w:szCs w:val="18"/>
        </w:rPr>
        <w:t>stakeholder</w:t>
      </w:r>
      <w:r w:rsidRPr="00015BAA">
        <w:rPr>
          <w:rFonts w:ascii="Segoe UI" w:hAnsi="Segoe UI" w:cs="Segoe UI"/>
          <w:sz w:val="18"/>
          <w:szCs w:val="18"/>
        </w:rPr>
        <w:t xml:space="preserve">: a questo fine basterebbe infatti adottare un sistema di “n” gradi di libertà, di cui “n-1” variabili (ciascuna propriamente calibrata in funzione dello </w:t>
      </w:r>
      <w:r w:rsidRPr="00015BAA">
        <w:rPr>
          <w:rFonts w:ascii="Segoe UI" w:hAnsi="Segoe UI" w:cs="Segoe UI"/>
          <w:i/>
          <w:sz w:val="18"/>
          <w:szCs w:val="18"/>
        </w:rPr>
        <w:t>stakeholder</w:t>
      </w:r>
      <w:r w:rsidRPr="00015BAA">
        <w:rPr>
          <w:rFonts w:ascii="Segoe UI" w:hAnsi="Segoe UI" w:cs="Segoe UI"/>
          <w:sz w:val="18"/>
          <w:szCs w:val="18"/>
        </w:rPr>
        <w:t xml:space="preserve"> cui si riferisce) relative alle valutazioni dell’importanza dell’aspetto per ciascuna tipologia di </w:t>
      </w:r>
      <w:r w:rsidRPr="00015BAA">
        <w:rPr>
          <w:rFonts w:ascii="Segoe UI" w:hAnsi="Segoe UI" w:cs="Segoe UI"/>
          <w:i/>
          <w:sz w:val="18"/>
          <w:szCs w:val="18"/>
        </w:rPr>
        <w:t>stakeholder</w:t>
      </w:r>
      <w:r w:rsidRPr="00015BAA">
        <w:rPr>
          <w:rFonts w:ascii="Segoe UI" w:hAnsi="Segoe UI" w:cs="Segoe UI"/>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AA84FA" w14:textId="77777777" w:rsidR="002C2390" w:rsidRDefault="002C2390" w:rsidP="00CC6273">
    <w:pPr>
      <w:pStyle w:val="Intestazione"/>
      <w:jc w:val="center"/>
      <w:rPr>
        <w:rFonts w:ascii="Segoe UI" w:hAnsi="Segoe UI" w:cs="Segoe UI"/>
        <w:color w:val="000000"/>
        <w:sz w:val="28"/>
        <w:szCs w:val="28"/>
        <w:lang w:eastAsia="it-IT"/>
      </w:rPr>
    </w:pPr>
  </w:p>
  <w:p w14:paraId="4E133845" w14:textId="4E817677" w:rsidR="002C2390" w:rsidRPr="00CC6273" w:rsidRDefault="002C2390" w:rsidP="00CC6273">
    <w:pPr>
      <w:pStyle w:val="Intestazione"/>
      <w:jc w:val="center"/>
      <w:rPr>
        <w:rFonts w:ascii="Segoe UI" w:hAnsi="Segoe UI" w:cs="Segoe UI"/>
        <w:noProof/>
        <w:lang w:eastAsia="it-IT"/>
      </w:rPr>
    </w:pPr>
    <w:r w:rsidRPr="00CC6273">
      <w:rPr>
        <w:rFonts w:ascii="Segoe UI" w:hAnsi="Segoe UI" w:cs="Segoe UI"/>
        <w:color w:val="000000"/>
        <w:sz w:val="28"/>
        <w:szCs w:val="28"/>
        <w:lang w:eastAsia="it-IT"/>
      </w:rPr>
      <w:t>Consiglio Nazionale dei Dottori Commercialisti e degli Esperti Contabili</w:t>
    </w:r>
  </w:p>
  <w:p w14:paraId="39994707" w14:textId="20754636" w:rsidR="002C2390" w:rsidRPr="00F56564" w:rsidRDefault="002C2390" w:rsidP="00F56564">
    <w:pPr>
      <w:pStyle w:val="Intestazione"/>
      <w:jc w:val="center"/>
      <w:rPr>
        <w:rFonts w:ascii="Segoe UI" w:hAnsi="Segoe UI" w:cs="Segoe UI"/>
        <w:sz w:val="18"/>
        <w:szCs w:val="18"/>
      </w:rPr>
    </w:pPr>
    <w:r>
      <w:t xml:space="preserve"> </w:t>
    </w:r>
    <w:r w:rsidRPr="0062207D">
      <w:rPr>
        <w:rFonts w:ascii="Arial" w:hAnsi="Arial" w:cs="Arial"/>
        <w:noProof/>
        <w:lang w:eastAsia="it-IT"/>
      </w:rPr>
      <mc:AlternateContent>
        <mc:Choice Requires="wps">
          <w:drawing>
            <wp:inline distT="0" distB="0" distL="0" distR="0" wp14:anchorId="237417DC" wp14:editId="6195A16A">
              <wp:extent cx="6120000" cy="635"/>
              <wp:effectExtent l="0" t="95250" r="109855" b="37465"/>
              <wp:docPr id="5"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635"/>
                      </a:xfrm>
                      <a:prstGeom prst="straightConnector1">
                        <a:avLst/>
                      </a:prstGeom>
                      <a:noFill/>
                      <a:ln w="28575">
                        <a:solidFill>
                          <a:srgbClr val="FF0000"/>
                        </a:solidFill>
                        <a:round/>
                        <a:headEnd/>
                        <a:tailEnd/>
                      </a:ln>
                      <a:effectLst>
                        <a:outerShdw dist="107763" dir="189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inline>
          </w:drawing>
        </mc:Choice>
        <mc:Fallback>
          <w:pict>
            <v:shapetype w14:anchorId="0A16AF8F" id="_x0000_t32" coordsize="21600,21600" o:spt="32" o:oned="t" path="m,l21600,21600e" filled="f">
              <v:path arrowok="t" fillok="f" o:connecttype="none"/>
              <o:lock v:ext="edit" shapetype="t"/>
            </v:shapetype>
            <v:shape id="AutoShape 9" o:spid="_x0000_s1026" type="#_x0000_t32" style="width:481.9pt;height:.0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" strokecolor="red" strokeweight="2.25pt">
              <v:shadow on="t" opacity=".5" offset="6pt,-6pt"/>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86D304" w14:textId="77777777" w:rsidR="002C2390" w:rsidRPr="0062207D" w:rsidRDefault="002C2390">
    <w:pPr>
      <w:pStyle w:val="Intestazione"/>
      <w:rPr>
        <w:rFonts w:ascii="Arial" w:hAnsi="Arial" w:cs="Arial"/>
        <w:szCs w:val="20"/>
      </w:rPr>
    </w:pPr>
  </w:p>
  <w:p w14:paraId="5959ED7C" w14:textId="77777777" w:rsidR="002C2390" w:rsidRPr="0062207D" w:rsidRDefault="002C2390">
    <w:pPr>
      <w:pStyle w:val="Intestazione"/>
      <w:rPr>
        <w:rFonts w:ascii="Arial" w:hAnsi="Arial" w:cs="Arial"/>
        <w:szCs w:val="20"/>
      </w:rPr>
    </w:pPr>
  </w:p>
  <w:p w14:paraId="69F88E41" w14:textId="77777777" w:rsidR="002C2390" w:rsidRPr="0062207D" w:rsidRDefault="002C2390">
    <w:pPr>
      <w:pStyle w:val="Intestazione"/>
      <w:rPr>
        <w:rFonts w:ascii="Arial" w:hAnsi="Arial" w:cs="Arial"/>
        <w:szCs w:val="20"/>
      </w:rPr>
    </w:pPr>
    <w:r w:rsidRPr="0062207D">
      <w:rPr>
        <w:rFonts w:ascii="Arial" w:hAnsi="Arial" w:cs="Arial"/>
        <w:noProof/>
        <w:szCs w:val="20"/>
        <w:lang w:eastAsia="it-IT"/>
      </w:rPr>
      <w:drawing>
        <wp:inline distT="0" distB="0" distL="0" distR="0" wp14:anchorId="7807F3C6" wp14:editId="641FE33F">
          <wp:extent cx="1576800" cy="540000"/>
          <wp:effectExtent l="0" t="0" r="4445" b="0"/>
          <wp:docPr id="316" name="Immagine 0" descr="logo_con scritta_later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logo_con scritta_latera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800" cy="540000"/>
                  </a:xfrm>
                  <a:prstGeom prst="rect">
                    <a:avLst/>
                  </a:prstGeom>
                  <a:noFill/>
                  <a:ln>
                    <a:noFill/>
                  </a:ln>
                </pic:spPr>
              </pic:pic>
            </a:graphicData>
          </a:graphic>
        </wp:inline>
      </w:drawing>
    </w:r>
  </w:p>
  <w:p w14:paraId="7F763624" w14:textId="77777777" w:rsidR="002C2390" w:rsidRPr="0062207D" w:rsidRDefault="002C2390" w:rsidP="00930EA8">
    <w:pPr>
      <w:pStyle w:val="Intestazione"/>
      <w:jc w:val="right"/>
      <w:rPr>
        <w:rFonts w:ascii="Arial" w:hAnsi="Arial" w:cs="Arial"/>
        <w:szCs w:val="20"/>
      </w:rPr>
    </w:pPr>
    <w:r w:rsidRPr="0062207D">
      <w:rPr>
        <w:rFonts w:ascii="Arial" w:hAnsi="Arial" w:cs="Arial"/>
        <w:noProof/>
        <w:szCs w:val="20"/>
        <w:lang w:eastAsia="it-IT"/>
      </w:rPr>
      <mc:AlternateContent>
        <mc:Choice Requires="wps">
          <w:drawing>
            <wp:inline distT="0" distB="0" distL="0" distR="0" wp14:anchorId="365DCC84" wp14:editId="477BBB9E">
              <wp:extent cx="3960000" cy="0"/>
              <wp:effectExtent l="0" t="95250" r="97790" b="19050"/>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0" cy="0"/>
                      </a:xfrm>
                      <a:prstGeom prst="straightConnector1">
                        <a:avLst/>
                      </a:prstGeom>
                      <a:noFill/>
                      <a:ln w="28575">
                        <a:solidFill>
                          <a:srgbClr val="FF0000"/>
                        </a:solidFill>
                        <a:round/>
                        <a:headEnd/>
                        <a:tailEnd/>
                      </a:ln>
                      <a:effectLst>
                        <a:outerShdw dist="107763" dir="189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inline>
          </w:drawing>
        </mc:Choice>
        <mc:Fallback>
          <w:pict>
            <v:shapetype w14:anchorId="4B3EBF67" id="_x0000_t32" coordsize="21600,21600" o:spt="32" o:oned="t" path="m,l21600,21600e" filled="f">
              <v:path arrowok="t" fillok="f" o:connecttype="none"/>
              <o:lock v:ext="edit" shapetype="t"/>
            </v:shapetype>
            <v:shape id="AutoShape 2" o:spid="_x0000_s1026" type="#_x0000_t32" style="width:311.8pt;height:0;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" strokecolor="red" strokeweight="2.25pt">
              <v:shadow on="t" opacity=".5" offset="6pt,-6pt"/>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0A60DB" w14:textId="77777777" w:rsidR="002C2390" w:rsidRPr="002B1FC6" w:rsidRDefault="002C2390" w:rsidP="002B1FC6">
    <w:pPr>
      <w:pStyle w:val="Intestazione"/>
      <w:jc w:val="center"/>
      <w:rPr>
        <w:rFonts w:ascii="Segoe UI" w:hAnsi="Segoe UI" w:cs="Segoe UI"/>
        <w:sz w:val="18"/>
        <w:szCs w:val="18"/>
      </w:rPr>
    </w:pPr>
    <w:r w:rsidRPr="0062207D">
      <w:rPr>
        <w:rFonts w:ascii="Arial" w:hAnsi="Arial" w:cs="Arial"/>
        <w:noProof/>
        <w:lang w:eastAsia="it-IT"/>
      </w:rPr>
      <mc:AlternateContent>
        <mc:Choice Requires="wps">
          <w:drawing>
            <wp:inline distT="0" distB="0" distL="0" distR="0" wp14:anchorId="70D98A2A" wp14:editId="6496716E">
              <wp:extent cx="6120130" cy="635"/>
              <wp:effectExtent l="0" t="95250" r="109220" b="37465"/>
              <wp:docPr id="31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straightConnector1">
                        <a:avLst/>
                      </a:prstGeom>
                      <a:noFill/>
                      <a:ln w="28575">
                        <a:solidFill>
                          <a:srgbClr val="FF0000"/>
                        </a:solidFill>
                        <a:round/>
                        <a:headEnd/>
                        <a:tailEnd/>
                      </a:ln>
                      <a:effectLst>
                        <a:outerShdw dist="107763" dir="189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inline>
          </w:drawing>
        </mc:Choice>
        <mc:Fallback>
          <w:pict>
            <v:shapetype w14:anchorId="0BD09097" id="_x0000_t32" coordsize="21600,21600" o:spt="32" o:oned="t" path="m,l21600,21600e" filled="f">
              <v:path arrowok="t" fillok="f" o:connecttype="none"/>
              <o:lock v:ext="edit" shapetype="t"/>
            </v:shapetype>
            <v:shape id="AutoShape 6" o:spid="_x0000_s1026" type="#_x0000_t32" style="width:481.9pt;height:.0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" strokecolor="red" strokeweight="2.25pt">
              <v:shadow on="t" opacity=".5" offset="6pt,-6pt"/>
              <w10:anchorlock/>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B31E23" w14:textId="77777777" w:rsidR="002C2390" w:rsidRDefault="002C239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Num16"/>
    <w:lvl w:ilvl="0">
      <w:start w:val="1"/>
      <w:numFmt w:val="lowerLetter"/>
      <w:lvlText w:val="%1)"/>
      <w:lvlJc w:val="left"/>
      <w:pPr>
        <w:tabs>
          <w:tab w:val="num" w:pos="1095"/>
        </w:tabs>
        <w:ind w:left="1095" w:hanging="375"/>
      </w:pPr>
      <w:rPr>
        <w:b/>
      </w:rPr>
    </w:lvl>
    <w:lvl w:ilvl="1">
      <w:start w:val="1"/>
      <w:numFmt w:val="lowerLetter"/>
      <w:lvlText w:val="%2."/>
      <w:lvlJc w:val="left"/>
      <w:pPr>
        <w:tabs>
          <w:tab w:val="num" w:pos="1800"/>
        </w:tabs>
        <w:ind w:left="1800" w:hanging="360"/>
      </w:pPr>
    </w:lvl>
    <w:lvl w:ilvl="2">
      <w:start w:val="1"/>
      <w:numFmt w:val="lowerRoman"/>
      <w:lvlText w:val="%2.%3."/>
      <w:lvlJc w:val="right"/>
      <w:pPr>
        <w:tabs>
          <w:tab w:val="num" w:pos="2520"/>
        </w:tabs>
        <w:ind w:left="2520" w:hanging="180"/>
      </w:pPr>
    </w:lvl>
    <w:lvl w:ilvl="3">
      <w:start w:val="1"/>
      <w:numFmt w:val="decimal"/>
      <w:lvlText w:val="%2.%3.%4."/>
      <w:lvlJc w:val="left"/>
      <w:pPr>
        <w:tabs>
          <w:tab w:val="num" w:pos="3240"/>
        </w:tabs>
        <w:ind w:left="3240" w:hanging="360"/>
      </w:pPr>
    </w:lvl>
    <w:lvl w:ilvl="4">
      <w:start w:val="1"/>
      <w:numFmt w:val="lowerLetter"/>
      <w:lvlText w:val="%2.%3.%4.%5."/>
      <w:lvlJc w:val="left"/>
      <w:pPr>
        <w:tabs>
          <w:tab w:val="num" w:pos="3960"/>
        </w:tabs>
        <w:ind w:left="3960" w:hanging="360"/>
      </w:pPr>
    </w:lvl>
    <w:lvl w:ilvl="5">
      <w:start w:val="1"/>
      <w:numFmt w:val="lowerRoman"/>
      <w:lvlText w:val="%2.%3.%4.%5.%6."/>
      <w:lvlJc w:val="right"/>
      <w:pPr>
        <w:tabs>
          <w:tab w:val="num" w:pos="4680"/>
        </w:tabs>
        <w:ind w:left="4680" w:hanging="180"/>
      </w:pPr>
    </w:lvl>
    <w:lvl w:ilvl="6">
      <w:start w:val="1"/>
      <w:numFmt w:val="decimal"/>
      <w:lvlText w:val="%2.%3.%4.%5.%6.%7."/>
      <w:lvlJc w:val="left"/>
      <w:pPr>
        <w:tabs>
          <w:tab w:val="num" w:pos="5400"/>
        </w:tabs>
        <w:ind w:left="5400" w:hanging="360"/>
      </w:pPr>
    </w:lvl>
    <w:lvl w:ilvl="7">
      <w:start w:val="1"/>
      <w:numFmt w:val="lowerLetter"/>
      <w:lvlText w:val="%2.%3.%4.%5.%6.%7.%8."/>
      <w:lvlJc w:val="left"/>
      <w:pPr>
        <w:tabs>
          <w:tab w:val="num" w:pos="6120"/>
        </w:tabs>
        <w:ind w:left="6120" w:hanging="360"/>
      </w:pPr>
    </w:lvl>
    <w:lvl w:ilvl="8">
      <w:start w:val="1"/>
      <w:numFmt w:val="lowerRoman"/>
      <w:lvlText w:val="%2.%3.%4.%5.%6.%7.%8.%9."/>
      <w:lvlJc w:val="right"/>
      <w:pPr>
        <w:tabs>
          <w:tab w:val="num" w:pos="6840"/>
        </w:tabs>
        <w:ind w:left="6840" w:hanging="180"/>
      </w:pPr>
    </w:lvl>
  </w:abstractNum>
  <w:abstractNum w:abstractNumId="1" w15:restartNumberingAfterBreak="0">
    <w:nsid w:val="09302E64"/>
    <w:multiLevelType w:val="hybridMultilevel"/>
    <w:tmpl w:val="5590E104"/>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01">
      <w:start w:val="1"/>
      <w:numFmt w:val="bullet"/>
      <w:lvlText w:val=""/>
      <w:lvlJc w:val="left"/>
      <w:pPr>
        <w:ind w:left="2160" w:hanging="180"/>
      </w:pPr>
      <w:rPr>
        <w:rFonts w:ascii="Symbol" w:hAnsi="Symbol"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B5E33B9"/>
    <w:multiLevelType w:val="hybridMultilevel"/>
    <w:tmpl w:val="FBA450D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CA9663B"/>
    <w:multiLevelType w:val="hybridMultilevel"/>
    <w:tmpl w:val="954043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12A3884"/>
    <w:multiLevelType w:val="hybridMultilevel"/>
    <w:tmpl w:val="09626EF8"/>
    <w:lvl w:ilvl="0" w:tplc="C30EA986">
      <w:start w:val="1"/>
      <w:numFmt w:val="lowerLetter"/>
      <w:lvlText w:val="%1)"/>
      <w:lvlJc w:val="left"/>
      <w:pPr>
        <w:ind w:left="420" w:hanging="360"/>
      </w:pPr>
      <w:rPr>
        <w:rFonts w:hint="default"/>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5" w15:restartNumberingAfterBreak="0">
    <w:nsid w:val="11872B24"/>
    <w:multiLevelType w:val="hybridMultilevel"/>
    <w:tmpl w:val="66B8010A"/>
    <w:lvl w:ilvl="0" w:tplc="04100019">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2921446"/>
    <w:multiLevelType w:val="hybridMultilevel"/>
    <w:tmpl w:val="050A95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3502504"/>
    <w:multiLevelType w:val="hybridMultilevel"/>
    <w:tmpl w:val="932EB6E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13DF01E2"/>
    <w:multiLevelType w:val="hybridMultilevel"/>
    <w:tmpl w:val="B7467FE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774659D"/>
    <w:multiLevelType w:val="hybridMultilevel"/>
    <w:tmpl w:val="FAD8CB4E"/>
    <w:lvl w:ilvl="0" w:tplc="04100017">
      <w:start w:val="1"/>
      <w:numFmt w:val="lowerLetter"/>
      <w:lvlText w:val="%1)"/>
      <w:lvlJc w:val="left"/>
      <w:pPr>
        <w:ind w:left="720" w:hanging="360"/>
      </w:pPr>
    </w:lvl>
    <w:lvl w:ilvl="1" w:tplc="04100017">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A322B19"/>
    <w:multiLevelType w:val="hybridMultilevel"/>
    <w:tmpl w:val="37DEB6D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05524E1"/>
    <w:multiLevelType w:val="hybridMultilevel"/>
    <w:tmpl w:val="FA2286A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2C87A0A"/>
    <w:multiLevelType w:val="hybridMultilevel"/>
    <w:tmpl w:val="0C06B014"/>
    <w:lvl w:ilvl="0" w:tplc="04100001">
      <w:start w:val="1"/>
      <w:numFmt w:val="bullet"/>
      <w:lvlText w:val=""/>
      <w:lvlJc w:val="left"/>
      <w:pPr>
        <w:ind w:left="360" w:hanging="360"/>
      </w:pPr>
      <w:rPr>
        <w:rFonts w:ascii="Symbol" w:hAnsi="Symbol" w:hint="default"/>
        <w:b w:val="0"/>
        <w:i w:val="0"/>
        <w:sz w:val="18"/>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3" w15:restartNumberingAfterBreak="0">
    <w:nsid w:val="27EB2669"/>
    <w:multiLevelType w:val="multilevel"/>
    <w:tmpl w:val="7BAE4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EC1B6D"/>
    <w:multiLevelType w:val="hybridMultilevel"/>
    <w:tmpl w:val="B68EDC1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2D4269FE"/>
    <w:multiLevelType w:val="hybridMultilevel"/>
    <w:tmpl w:val="7EE0B6DC"/>
    <w:lvl w:ilvl="0" w:tplc="2558F932">
      <w:numFmt w:val="bullet"/>
      <w:lvlText w:val="•"/>
      <w:lvlJc w:val="left"/>
      <w:pPr>
        <w:ind w:left="720" w:hanging="360"/>
      </w:pPr>
      <w:rPr>
        <w:rFonts w:ascii="Calibri" w:eastAsiaTheme="minorHAnsi"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6" w15:restartNumberingAfterBreak="0">
    <w:nsid w:val="2DE604A9"/>
    <w:multiLevelType w:val="hybridMultilevel"/>
    <w:tmpl w:val="D9E85C6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2E7508EB"/>
    <w:multiLevelType w:val="hybridMultilevel"/>
    <w:tmpl w:val="D3D64D44"/>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8" w15:restartNumberingAfterBreak="0">
    <w:nsid w:val="2F145685"/>
    <w:multiLevelType w:val="hybridMultilevel"/>
    <w:tmpl w:val="448871EA"/>
    <w:lvl w:ilvl="0" w:tplc="B06C94AE">
      <w:start w:val="5"/>
      <w:numFmt w:val="bullet"/>
      <w:lvlText w:val="-"/>
      <w:lvlJc w:val="left"/>
      <w:pPr>
        <w:ind w:left="720" w:hanging="360"/>
      </w:pPr>
      <w:rPr>
        <w:rFonts w:ascii="Segoe UI" w:eastAsia="Times New Roman" w:hAnsi="Segoe UI" w:cs="Segoe U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31606D25"/>
    <w:multiLevelType w:val="hybridMultilevel"/>
    <w:tmpl w:val="D38AEA7C"/>
    <w:lvl w:ilvl="0" w:tplc="B06C94AE">
      <w:start w:val="5"/>
      <w:numFmt w:val="bullet"/>
      <w:lvlText w:val="-"/>
      <w:lvlJc w:val="left"/>
      <w:pPr>
        <w:ind w:left="720" w:hanging="360"/>
      </w:pPr>
      <w:rPr>
        <w:rFonts w:ascii="Segoe UI" w:eastAsia="Times New Roman" w:hAnsi="Segoe UI" w:cs="Segoe U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33312829"/>
    <w:multiLevelType w:val="hybridMultilevel"/>
    <w:tmpl w:val="AD96C1FE"/>
    <w:lvl w:ilvl="0" w:tplc="04100017">
      <w:start w:val="1"/>
      <w:numFmt w:val="lowerLetter"/>
      <w:lvlText w:val="%1)"/>
      <w:lvlJc w:val="left"/>
      <w:pPr>
        <w:ind w:left="720" w:hanging="360"/>
      </w:pPr>
    </w:lvl>
    <w:lvl w:ilvl="1" w:tplc="04100017">
      <w:start w:val="1"/>
      <w:numFmt w:val="lowerLetter"/>
      <w:lvlText w:val="%2)"/>
      <w:lvlJc w:val="left"/>
      <w:pPr>
        <w:ind w:left="1440" w:hanging="360"/>
      </w:pPr>
    </w:lvl>
    <w:lvl w:ilvl="2" w:tplc="0410000F">
      <w:start w:val="1"/>
      <w:numFmt w:val="decimal"/>
      <w:lvlText w:val="%3."/>
      <w:lvlJc w:val="lef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3DC73A27"/>
    <w:multiLevelType w:val="hybridMultilevel"/>
    <w:tmpl w:val="537E66C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42A565C8"/>
    <w:multiLevelType w:val="multilevel"/>
    <w:tmpl w:val="D2CC8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056353"/>
    <w:multiLevelType w:val="multilevel"/>
    <w:tmpl w:val="686EBDB2"/>
    <w:lvl w:ilvl="0">
      <w:start w:val="1"/>
      <w:numFmt w:val="decimal"/>
      <w:lvlText w:val="%1."/>
      <w:lvlJc w:val="left"/>
      <w:pPr>
        <w:ind w:left="360" w:hanging="360"/>
      </w:pPr>
      <w:rPr>
        <w:rFonts w:ascii="Segoe UI" w:hAnsi="Segoe UI" w:cs="Segoe UI" w:hint="default"/>
        <w:sz w:val="22"/>
        <w:szCs w:val="22"/>
      </w:rPr>
    </w:lvl>
    <w:lvl w:ilvl="1">
      <w:start w:val="17"/>
      <w:numFmt w:val="decimal"/>
      <w:isLgl/>
      <w:lvlText w:val="%1.%2"/>
      <w:lvlJc w:val="left"/>
      <w:pPr>
        <w:ind w:left="450" w:hanging="450"/>
      </w:pPr>
      <w:rPr>
        <w:rFonts w:ascii="FuturaStd-Medium" w:hAnsi="FuturaStd-Medium" w:cs="FuturaStd-Medium" w:hint="default"/>
        <w:b w:val="0"/>
        <w:i w:val="0"/>
        <w:sz w:val="20"/>
      </w:rPr>
    </w:lvl>
    <w:lvl w:ilvl="2">
      <w:start w:val="1"/>
      <w:numFmt w:val="decimal"/>
      <w:isLgl/>
      <w:lvlText w:val="%1.%2.%3"/>
      <w:lvlJc w:val="left"/>
      <w:pPr>
        <w:ind w:left="720" w:hanging="720"/>
      </w:pPr>
      <w:rPr>
        <w:rFonts w:ascii="FuturaStd-Medium" w:hAnsi="FuturaStd-Medium" w:cs="FuturaStd-Medium" w:hint="default"/>
        <w:b w:val="0"/>
        <w:i w:val="0"/>
        <w:sz w:val="20"/>
      </w:rPr>
    </w:lvl>
    <w:lvl w:ilvl="3">
      <w:start w:val="1"/>
      <w:numFmt w:val="decimal"/>
      <w:isLgl/>
      <w:lvlText w:val="%1.%2.%3.%4"/>
      <w:lvlJc w:val="left"/>
      <w:pPr>
        <w:ind w:left="720" w:hanging="720"/>
      </w:pPr>
      <w:rPr>
        <w:rFonts w:ascii="FuturaStd-Medium" w:hAnsi="FuturaStd-Medium" w:cs="FuturaStd-Medium" w:hint="default"/>
        <w:b w:val="0"/>
        <w:i w:val="0"/>
        <w:sz w:val="20"/>
      </w:rPr>
    </w:lvl>
    <w:lvl w:ilvl="4">
      <w:start w:val="1"/>
      <w:numFmt w:val="decimal"/>
      <w:isLgl/>
      <w:lvlText w:val="%1.%2.%3.%4.%5"/>
      <w:lvlJc w:val="left"/>
      <w:pPr>
        <w:ind w:left="1080" w:hanging="1080"/>
      </w:pPr>
      <w:rPr>
        <w:rFonts w:ascii="FuturaStd-Medium" w:hAnsi="FuturaStd-Medium" w:cs="FuturaStd-Medium" w:hint="default"/>
        <w:b w:val="0"/>
        <w:i w:val="0"/>
        <w:sz w:val="20"/>
      </w:rPr>
    </w:lvl>
    <w:lvl w:ilvl="5">
      <w:start w:val="1"/>
      <w:numFmt w:val="decimal"/>
      <w:isLgl/>
      <w:lvlText w:val="%1.%2.%3.%4.%5.%6"/>
      <w:lvlJc w:val="left"/>
      <w:pPr>
        <w:ind w:left="1080" w:hanging="1080"/>
      </w:pPr>
      <w:rPr>
        <w:rFonts w:ascii="FuturaStd-Medium" w:hAnsi="FuturaStd-Medium" w:cs="FuturaStd-Medium" w:hint="default"/>
        <w:b w:val="0"/>
        <w:i w:val="0"/>
        <w:sz w:val="20"/>
      </w:rPr>
    </w:lvl>
    <w:lvl w:ilvl="6">
      <w:start w:val="1"/>
      <w:numFmt w:val="decimal"/>
      <w:isLgl/>
      <w:lvlText w:val="%1.%2.%3.%4.%5.%6.%7"/>
      <w:lvlJc w:val="left"/>
      <w:pPr>
        <w:ind w:left="1440" w:hanging="1440"/>
      </w:pPr>
      <w:rPr>
        <w:rFonts w:ascii="FuturaStd-Medium" w:hAnsi="FuturaStd-Medium" w:cs="FuturaStd-Medium" w:hint="default"/>
        <w:b w:val="0"/>
        <w:i w:val="0"/>
        <w:sz w:val="20"/>
      </w:rPr>
    </w:lvl>
    <w:lvl w:ilvl="7">
      <w:start w:val="1"/>
      <w:numFmt w:val="decimal"/>
      <w:isLgl/>
      <w:lvlText w:val="%1.%2.%3.%4.%5.%6.%7.%8"/>
      <w:lvlJc w:val="left"/>
      <w:pPr>
        <w:ind w:left="1440" w:hanging="1440"/>
      </w:pPr>
      <w:rPr>
        <w:rFonts w:ascii="FuturaStd-Medium" w:hAnsi="FuturaStd-Medium" w:cs="FuturaStd-Medium" w:hint="default"/>
        <w:b w:val="0"/>
        <w:i w:val="0"/>
        <w:sz w:val="20"/>
      </w:rPr>
    </w:lvl>
    <w:lvl w:ilvl="8">
      <w:start w:val="1"/>
      <w:numFmt w:val="decimal"/>
      <w:isLgl/>
      <w:lvlText w:val="%1.%2.%3.%4.%5.%6.%7.%8.%9"/>
      <w:lvlJc w:val="left"/>
      <w:pPr>
        <w:ind w:left="1800" w:hanging="1800"/>
      </w:pPr>
      <w:rPr>
        <w:rFonts w:ascii="FuturaStd-Medium" w:hAnsi="FuturaStd-Medium" w:cs="FuturaStd-Medium" w:hint="default"/>
        <w:b w:val="0"/>
        <w:i w:val="0"/>
        <w:sz w:val="20"/>
      </w:rPr>
    </w:lvl>
  </w:abstractNum>
  <w:abstractNum w:abstractNumId="24" w15:restartNumberingAfterBreak="0">
    <w:nsid w:val="4836141A"/>
    <w:multiLevelType w:val="hybridMultilevel"/>
    <w:tmpl w:val="83BA059A"/>
    <w:lvl w:ilvl="0" w:tplc="4B52E68E">
      <w:start w:val="1"/>
      <w:numFmt w:val="bullet"/>
      <w:lvlText w:val="-"/>
      <w:lvlJc w:val="left"/>
      <w:pPr>
        <w:ind w:left="720" w:hanging="360"/>
      </w:pPr>
      <w:rPr>
        <w:rFonts w:ascii="Segoe UI" w:eastAsiaTheme="minorHAnsi" w:hAnsi="Segoe UI" w:cs="Segoe U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4FC335C9"/>
    <w:multiLevelType w:val="hybridMultilevel"/>
    <w:tmpl w:val="19844C12"/>
    <w:lvl w:ilvl="0" w:tplc="5C8CE280">
      <w:numFmt w:val="bullet"/>
      <w:lvlText w:val="•"/>
      <w:lvlJc w:val="left"/>
      <w:pPr>
        <w:ind w:left="360" w:hanging="360"/>
      </w:pPr>
      <w:rPr>
        <w:rFonts w:ascii="Calibri" w:eastAsiaTheme="minorHAnsi" w:hAnsi="Calibri" w:cstheme="minorBid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6" w15:restartNumberingAfterBreak="0">
    <w:nsid w:val="530771E3"/>
    <w:multiLevelType w:val="hybridMultilevel"/>
    <w:tmpl w:val="CE9E21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5723278"/>
    <w:multiLevelType w:val="hybridMultilevel"/>
    <w:tmpl w:val="AB7085C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96D6386"/>
    <w:multiLevelType w:val="hybridMultilevel"/>
    <w:tmpl w:val="C8F28F2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5AD32ADD"/>
    <w:multiLevelType w:val="hybridMultilevel"/>
    <w:tmpl w:val="7598CA9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60B36C90"/>
    <w:multiLevelType w:val="hybridMultilevel"/>
    <w:tmpl w:val="60E46464"/>
    <w:lvl w:ilvl="0" w:tplc="B06C94AE">
      <w:start w:val="5"/>
      <w:numFmt w:val="bullet"/>
      <w:lvlText w:val="-"/>
      <w:lvlJc w:val="left"/>
      <w:pPr>
        <w:ind w:left="720" w:hanging="360"/>
      </w:pPr>
      <w:rPr>
        <w:rFonts w:ascii="Segoe UI" w:eastAsia="Times New Roman" w:hAnsi="Segoe UI" w:cs="Segoe U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610F46DE"/>
    <w:multiLevelType w:val="hybridMultilevel"/>
    <w:tmpl w:val="FBA450D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611246C3"/>
    <w:multiLevelType w:val="hybridMultilevel"/>
    <w:tmpl w:val="DF08EE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628B4C4D"/>
    <w:multiLevelType w:val="hybridMultilevel"/>
    <w:tmpl w:val="F5B4A6A6"/>
    <w:lvl w:ilvl="0" w:tplc="9B1ACE98">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62D970CF"/>
    <w:multiLevelType w:val="hybridMultilevel"/>
    <w:tmpl w:val="F86A89F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635F75EC"/>
    <w:multiLevelType w:val="hybridMultilevel"/>
    <w:tmpl w:val="642C87C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671A1358"/>
    <w:multiLevelType w:val="hybridMultilevel"/>
    <w:tmpl w:val="F70653C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67DA71A4"/>
    <w:multiLevelType w:val="hybridMultilevel"/>
    <w:tmpl w:val="FD52F3D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15:restartNumberingAfterBreak="0">
    <w:nsid w:val="6DFE71E0"/>
    <w:multiLevelType w:val="hybridMultilevel"/>
    <w:tmpl w:val="E370FB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6E947D3E"/>
    <w:multiLevelType w:val="hybridMultilevel"/>
    <w:tmpl w:val="1A5A616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6FE74AB4"/>
    <w:multiLevelType w:val="hybridMultilevel"/>
    <w:tmpl w:val="29CE3414"/>
    <w:lvl w:ilvl="0" w:tplc="04100019">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 w15:restartNumberingAfterBreak="0">
    <w:nsid w:val="718715DF"/>
    <w:multiLevelType w:val="hybridMultilevel"/>
    <w:tmpl w:val="5E14AB3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2" w15:restartNumberingAfterBreak="0">
    <w:nsid w:val="726442D0"/>
    <w:multiLevelType w:val="hybridMultilevel"/>
    <w:tmpl w:val="A25ADBAC"/>
    <w:lvl w:ilvl="0" w:tplc="F2EA888A">
      <w:start w:val="1"/>
      <w:numFmt w:val="bullet"/>
      <w:lvlText w:val=""/>
      <w:lvlJc w:val="left"/>
      <w:pPr>
        <w:ind w:left="1004" w:hanging="360"/>
      </w:pPr>
      <w:rPr>
        <w:rFonts w:ascii="Symbol" w:hAnsi="Symbol" w:hint="default"/>
        <w:lang w:val="it-IT"/>
      </w:rPr>
    </w:lvl>
    <w:lvl w:ilvl="1" w:tplc="04100003">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43" w15:restartNumberingAfterBreak="0">
    <w:nsid w:val="759064B0"/>
    <w:multiLevelType w:val="hybridMultilevel"/>
    <w:tmpl w:val="854E6F5E"/>
    <w:lvl w:ilvl="0" w:tplc="635A1088">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15:restartNumberingAfterBreak="0">
    <w:nsid w:val="768B7DE7"/>
    <w:multiLevelType w:val="hybridMultilevel"/>
    <w:tmpl w:val="C8F04A4A"/>
    <w:lvl w:ilvl="0" w:tplc="B06C94AE">
      <w:start w:val="5"/>
      <w:numFmt w:val="bullet"/>
      <w:lvlText w:val="-"/>
      <w:lvlJc w:val="left"/>
      <w:pPr>
        <w:ind w:left="720" w:hanging="360"/>
      </w:pPr>
      <w:rPr>
        <w:rFonts w:ascii="Segoe UI" w:eastAsia="Times New Roman" w:hAnsi="Segoe UI" w:cs="Segoe U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5" w15:restartNumberingAfterBreak="0">
    <w:nsid w:val="76A44541"/>
    <w:multiLevelType w:val="hybridMultilevel"/>
    <w:tmpl w:val="263C39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6" w15:restartNumberingAfterBreak="0">
    <w:nsid w:val="7BF00C21"/>
    <w:multiLevelType w:val="hybridMultilevel"/>
    <w:tmpl w:val="EF86A764"/>
    <w:lvl w:ilvl="0" w:tplc="C30EA986">
      <w:start w:val="1"/>
      <w:numFmt w:val="lowerLetter"/>
      <w:lvlText w:val="%1)"/>
      <w:lvlJc w:val="left"/>
      <w:pPr>
        <w:ind w:left="4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7E3B74D9"/>
    <w:multiLevelType w:val="multilevel"/>
    <w:tmpl w:val="0E5071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25"/>
  </w:num>
  <w:num w:numId="3">
    <w:abstractNumId w:val="7"/>
  </w:num>
  <w:num w:numId="4">
    <w:abstractNumId w:val="6"/>
  </w:num>
  <w:num w:numId="5">
    <w:abstractNumId w:val="28"/>
  </w:num>
  <w:num w:numId="6">
    <w:abstractNumId w:val="2"/>
  </w:num>
  <w:num w:numId="7">
    <w:abstractNumId w:val="17"/>
  </w:num>
  <w:num w:numId="8">
    <w:abstractNumId w:val="31"/>
  </w:num>
  <w:num w:numId="9">
    <w:abstractNumId w:val="23"/>
  </w:num>
  <w:num w:numId="10">
    <w:abstractNumId w:val="35"/>
  </w:num>
  <w:num w:numId="11">
    <w:abstractNumId w:val="33"/>
  </w:num>
  <w:num w:numId="12">
    <w:abstractNumId w:val="39"/>
  </w:num>
  <w:num w:numId="13">
    <w:abstractNumId w:val="26"/>
  </w:num>
  <w:num w:numId="14">
    <w:abstractNumId w:val="9"/>
  </w:num>
  <w:num w:numId="15">
    <w:abstractNumId w:val="41"/>
  </w:num>
  <w:num w:numId="16">
    <w:abstractNumId w:val="8"/>
  </w:num>
  <w:num w:numId="17">
    <w:abstractNumId w:val="27"/>
  </w:num>
  <w:num w:numId="18">
    <w:abstractNumId w:val="20"/>
  </w:num>
  <w:num w:numId="19">
    <w:abstractNumId w:val="32"/>
  </w:num>
  <w:num w:numId="20">
    <w:abstractNumId w:val="3"/>
  </w:num>
  <w:num w:numId="21">
    <w:abstractNumId w:val="42"/>
  </w:num>
  <w:num w:numId="22">
    <w:abstractNumId w:val="18"/>
  </w:num>
  <w:num w:numId="23">
    <w:abstractNumId w:val="30"/>
  </w:num>
  <w:num w:numId="24">
    <w:abstractNumId w:val="44"/>
  </w:num>
  <w:num w:numId="25">
    <w:abstractNumId w:val="21"/>
  </w:num>
  <w:num w:numId="26">
    <w:abstractNumId w:val="47"/>
  </w:num>
  <w:num w:numId="27">
    <w:abstractNumId w:val="40"/>
  </w:num>
  <w:num w:numId="28">
    <w:abstractNumId w:val="5"/>
  </w:num>
  <w:num w:numId="29">
    <w:abstractNumId w:val="10"/>
  </w:num>
  <w:num w:numId="30">
    <w:abstractNumId w:val="14"/>
  </w:num>
  <w:num w:numId="31">
    <w:abstractNumId w:val="11"/>
  </w:num>
  <w:num w:numId="32">
    <w:abstractNumId w:val="19"/>
  </w:num>
  <w:num w:numId="33">
    <w:abstractNumId w:val="29"/>
  </w:num>
  <w:num w:numId="34">
    <w:abstractNumId w:val="37"/>
  </w:num>
  <w:num w:numId="35">
    <w:abstractNumId w:val="36"/>
  </w:num>
  <w:num w:numId="36">
    <w:abstractNumId w:val="16"/>
  </w:num>
  <w:num w:numId="37">
    <w:abstractNumId w:val="22"/>
  </w:num>
  <w:num w:numId="38">
    <w:abstractNumId w:val="13"/>
  </w:num>
  <w:num w:numId="39">
    <w:abstractNumId w:val="1"/>
  </w:num>
  <w:num w:numId="40">
    <w:abstractNumId w:val="24"/>
  </w:num>
  <w:num w:numId="41">
    <w:abstractNumId w:val="45"/>
  </w:num>
  <w:num w:numId="42">
    <w:abstractNumId w:val="34"/>
  </w:num>
  <w:num w:numId="43">
    <w:abstractNumId w:val="43"/>
  </w:num>
  <w:num w:numId="44">
    <w:abstractNumId w:val="4"/>
  </w:num>
  <w:num w:numId="45">
    <w:abstractNumId w:val="46"/>
  </w:num>
  <w:num w:numId="46">
    <w:abstractNumId w:val="15"/>
  </w:num>
  <w:num w:numId="47">
    <w:abstractNumId w:val="3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DB5"/>
    <w:rsid w:val="000004E9"/>
    <w:rsid w:val="000005A8"/>
    <w:rsid w:val="0000132B"/>
    <w:rsid w:val="00002A22"/>
    <w:rsid w:val="000051E8"/>
    <w:rsid w:val="00006564"/>
    <w:rsid w:val="00006B0B"/>
    <w:rsid w:val="0000731A"/>
    <w:rsid w:val="000076E2"/>
    <w:rsid w:val="00007D28"/>
    <w:rsid w:val="0001090A"/>
    <w:rsid w:val="00011261"/>
    <w:rsid w:val="000124B7"/>
    <w:rsid w:val="000139E4"/>
    <w:rsid w:val="00013DBD"/>
    <w:rsid w:val="00013DF8"/>
    <w:rsid w:val="00014B94"/>
    <w:rsid w:val="00014BEB"/>
    <w:rsid w:val="00015AAB"/>
    <w:rsid w:val="00015BAA"/>
    <w:rsid w:val="00015C4D"/>
    <w:rsid w:val="00016290"/>
    <w:rsid w:val="00016918"/>
    <w:rsid w:val="00017D82"/>
    <w:rsid w:val="000201C4"/>
    <w:rsid w:val="000203C1"/>
    <w:rsid w:val="000222CB"/>
    <w:rsid w:val="000223D0"/>
    <w:rsid w:val="000241CA"/>
    <w:rsid w:val="00024627"/>
    <w:rsid w:val="0002489A"/>
    <w:rsid w:val="000256D2"/>
    <w:rsid w:val="00026762"/>
    <w:rsid w:val="00026770"/>
    <w:rsid w:val="0002688C"/>
    <w:rsid w:val="000269FC"/>
    <w:rsid w:val="0003181A"/>
    <w:rsid w:val="00031A3F"/>
    <w:rsid w:val="0003256E"/>
    <w:rsid w:val="00032651"/>
    <w:rsid w:val="00032A7D"/>
    <w:rsid w:val="00032B58"/>
    <w:rsid w:val="00033534"/>
    <w:rsid w:val="00033993"/>
    <w:rsid w:val="000353EF"/>
    <w:rsid w:val="00035FDE"/>
    <w:rsid w:val="00036F9C"/>
    <w:rsid w:val="000376D9"/>
    <w:rsid w:val="0003792D"/>
    <w:rsid w:val="00037E72"/>
    <w:rsid w:val="0004000E"/>
    <w:rsid w:val="000401E7"/>
    <w:rsid w:val="00040956"/>
    <w:rsid w:val="000415EB"/>
    <w:rsid w:val="00042796"/>
    <w:rsid w:val="00042EC5"/>
    <w:rsid w:val="00044A96"/>
    <w:rsid w:val="00044EFD"/>
    <w:rsid w:val="00045460"/>
    <w:rsid w:val="000457D3"/>
    <w:rsid w:val="00045842"/>
    <w:rsid w:val="00045963"/>
    <w:rsid w:val="00045AEC"/>
    <w:rsid w:val="00045B02"/>
    <w:rsid w:val="00046CD9"/>
    <w:rsid w:val="00046E3B"/>
    <w:rsid w:val="0004712B"/>
    <w:rsid w:val="000476EC"/>
    <w:rsid w:val="0004797E"/>
    <w:rsid w:val="00047F98"/>
    <w:rsid w:val="0005038B"/>
    <w:rsid w:val="000504CE"/>
    <w:rsid w:val="000508C2"/>
    <w:rsid w:val="00050903"/>
    <w:rsid w:val="000511E1"/>
    <w:rsid w:val="00052063"/>
    <w:rsid w:val="0005341C"/>
    <w:rsid w:val="00053C6B"/>
    <w:rsid w:val="00053D66"/>
    <w:rsid w:val="000549D2"/>
    <w:rsid w:val="00054B2B"/>
    <w:rsid w:val="0005502B"/>
    <w:rsid w:val="00055462"/>
    <w:rsid w:val="00057B23"/>
    <w:rsid w:val="000606BA"/>
    <w:rsid w:val="0006115A"/>
    <w:rsid w:val="00061B90"/>
    <w:rsid w:val="00061BFE"/>
    <w:rsid w:val="00061C74"/>
    <w:rsid w:val="000633EF"/>
    <w:rsid w:val="00063A6A"/>
    <w:rsid w:val="00063CB3"/>
    <w:rsid w:val="0006487F"/>
    <w:rsid w:val="0006542C"/>
    <w:rsid w:val="000662FB"/>
    <w:rsid w:val="0006667B"/>
    <w:rsid w:val="00066FC2"/>
    <w:rsid w:val="00067006"/>
    <w:rsid w:val="00067AB7"/>
    <w:rsid w:val="00070C0C"/>
    <w:rsid w:val="00071522"/>
    <w:rsid w:val="0007155B"/>
    <w:rsid w:val="0007178F"/>
    <w:rsid w:val="00071995"/>
    <w:rsid w:val="00072740"/>
    <w:rsid w:val="0007277F"/>
    <w:rsid w:val="00073891"/>
    <w:rsid w:val="00074A71"/>
    <w:rsid w:val="00076108"/>
    <w:rsid w:val="00076269"/>
    <w:rsid w:val="00076BEC"/>
    <w:rsid w:val="000775CC"/>
    <w:rsid w:val="00077FF0"/>
    <w:rsid w:val="0008093F"/>
    <w:rsid w:val="00080BDC"/>
    <w:rsid w:val="00080BF6"/>
    <w:rsid w:val="000823F1"/>
    <w:rsid w:val="00082731"/>
    <w:rsid w:val="00083890"/>
    <w:rsid w:val="0008424F"/>
    <w:rsid w:val="0008426F"/>
    <w:rsid w:val="00085670"/>
    <w:rsid w:val="00085B7A"/>
    <w:rsid w:val="00085D98"/>
    <w:rsid w:val="00086280"/>
    <w:rsid w:val="0008690E"/>
    <w:rsid w:val="00086E8A"/>
    <w:rsid w:val="00087147"/>
    <w:rsid w:val="00087EAA"/>
    <w:rsid w:val="0009017A"/>
    <w:rsid w:val="00090A1C"/>
    <w:rsid w:val="000914BA"/>
    <w:rsid w:val="0009171E"/>
    <w:rsid w:val="000919CD"/>
    <w:rsid w:val="00091DD9"/>
    <w:rsid w:val="000939D4"/>
    <w:rsid w:val="00095AFF"/>
    <w:rsid w:val="0009611E"/>
    <w:rsid w:val="00096A1A"/>
    <w:rsid w:val="00096B24"/>
    <w:rsid w:val="0009744C"/>
    <w:rsid w:val="000A0D91"/>
    <w:rsid w:val="000A182B"/>
    <w:rsid w:val="000A1EBA"/>
    <w:rsid w:val="000A2243"/>
    <w:rsid w:val="000A25E5"/>
    <w:rsid w:val="000A26E9"/>
    <w:rsid w:val="000A2C62"/>
    <w:rsid w:val="000A394F"/>
    <w:rsid w:val="000A4ABE"/>
    <w:rsid w:val="000A52FD"/>
    <w:rsid w:val="000A6C24"/>
    <w:rsid w:val="000A76DB"/>
    <w:rsid w:val="000A7712"/>
    <w:rsid w:val="000A773D"/>
    <w:rsid w:val="000B0223"/>
    <w:rsid w:val="000B04A4"/>
    <w:rsid w:val="000B083E"/>
    <w:rsid w:val="000B1165"/>
    <w:rsid w:val="000B1251"/>
    <w:rsid w:val="000B1E24"/>
    <w:rsid w:val="000B28F9"/>
    <w:rsid w:val="000B3BB9"/>
    <w:rsid w:val="000B3EF7"/>
    <w:rsid w:val="000B5163"/>
    <w:rsid w:val="000B5C8C"/>
    <w:rsid w:val="000B758B"/>
    <w:rsid w:val="000B7A02"/>
    <w:rsid w:val="000C0234"/>
    <w:rsid w:val="000C1170"/>
    <w:rsid w:val="000C11FE"/>
    <w:rsid w:val="000C3EF7"/>
    <w:rsid w:val="000C46D3"/>
    <w:rsid w:val="000C49BA"/>
    <w:rsid w:val="000C5172"/>
    <w:rsid w:val="000C587F"/>
    <w:rsid w:val="000C5DA1"/>
    <w:rsid w:val="000C5E74"/>
    <w:rsid w:val="000C6014"/>
    <w:rsid w:val="000C6C3B"/>
    <w:rsid w:val="000D0D52"/>
    <w:rsid w:val="000D1550"/>
    <w:rsid w:val="000D1809"/>
    <w:rsid w:val="000D1AE8"/>
    <w:rsid w:val="000D23C9"/>
    <w:rsid w:val="000D28DF"/>
    <w:rsid w:val="000D2E77"/>
    <w:rsid w:val="000D2F69"/>
    <w:rsid w:val="000D36CF"/>
    <w:rsid w:val="000D3D37"/>
    <w:rsid w:val="000D3F1B"/>
    <w:rsid w:val="000D3FD6"/>
    <w:rsid w:val="000D4A11"/>
    <w:rsid w:val="000D4BBA"/>
    <w:rsid w:val="000D54AD"/>
    <w:rsid w:val="000D5654"/>
    <w:rsid w:val="000D681E"/>
    <w:rsid w:val="000D6927"/>
    <w:rsid w:val="000D7506"/>
    <w:rsid w:val="000E062C"/>
    <w:rsid w:val="000E104A"/>
    <w:rsid w:val="000E1EFD"/>
    <w:rsid w:val="000E2F1A"/>
    <w:rsid w:val="000E464F"/>
    <w:rsid w:val="000E4D9F"/>
    <w:rsid w:val="000E5269"/>
    <w:rsid w:val="000E5E8A"/>
    <w:rsid w:val="000E6697"/>
    <w:rsid w:val="000E6A2C"/>
    <w:rsid w:val="000E6B81"/>
    <w:rsid w:val="000E6F5D"/>
    <w:rsid w:val="000E7140"/>
    <w:rsid w:val="000E74DA"/>
    <w:rsid w:val="000E76C5"/>
    <w:rsid w:val="000E76EC"/>
    <w:rsid w:val="000E7CF1"/>
    <w:rsid w:val="000E7E04"/>
    <w:rsid w:val="000F1227"/>
    <w:rsid w:val="000F1259"/>
    <w:rsid w:val="000F1C89"/>
    <w:rsid w:val="000F2501"/>
    <w:rsid w:val="000F3276"/>
    <w:rsid w:val="000F3352"/>
    <w:rsid w:val="000F41AC"/>
    <w:rsid w:val="000F427C"/>
    <w:rsid w:val="000F427D"/>
    <w:rsid w:val="000F437E"/>
    <w:rsid w:val="000F4BB1"/>
    <w:rsid w:val="000F4EAA"/>
    <w:rsid w:val="000F54EF"/>
    <w:rsid w:val="000F557E"/>
    <w:rsid w:val="000F5C1A"/>
    <w:rsid w:val="000F61DE"/>
    <w:rsid w:val="000F6CF8"/>
    <w:rsid w:val="000F7AD0"/>
    <w:rsid w:val="00101D9A"/>
    <w:rsid w:val="00102F14"/>
    <w:rsid w:val="0010364D"/>
    <w:rsid w:val="00103ED4"/>
    <w:rsid w:val="00104691"/>
    <w:rsid w:val="00104F9A"/>
    <w:rsid w:val="00106891"/>
    <w:rsid w:val="00106DAD"/>
    <w:rsid w:val="00110C3D"/>
    <w:rsid w:val="00110F0D"/>
    <w:rsid w:val="00113E03"/>
    <w:rsid w:val="00114042"/>
    <w:rsid w:val="0011411A"/>
    <w:rsid w:val="00114523"/>
    <w:rsid w:val="00114796"/>
    <w:rsid w:val="0011479F"/>
    <w:rsid w:val="00114897"/>
    <w:rsid w:val="0011614E"/>
    <w:rsid w:val="0011619C"/>
    <w:rsid w:val="001161B2"/>
    <w:rsid w:val="00116747"/>
    <w:rsid w:val="0011725F"/>
    <w:rsid w:val="0011728C"/>
    <w:rsid w:val="00117E8A"/>
    <w:rsid w:val="00120A37"/>
    <w:rsid w:val="00120C15"/>
    <w:rsid w:val="0012130F"/>
    <w:rsid w:val="00121DC7"/>
    <w:rsid w:val="00122B82"/>
    <w:rsid w:val="00122BB0"/>
    <w:rsid w:val="00122D8A"/>
    <w:rsid w:val="00123189"/>
    <w:rsid w:val="001235CB"/>
    <w:rsid w:val="0012364F"/>
    <w:rsid w:val="00123CEF"/>
    <w:rsid w:val="001243EB"/>
    <w:rsid w:val="001250F7"/>
    <w:rsid w:val="00125386"/>
    <w:rsid w:val="001254A4"/>
    <w:rsid w:val="00125647"/>
    <w:rsid w:val="00125F96"/>
    <w:rsid w:val="00126594"/>
    <w:rsid w:val="001267E0"/>
    <w:rsid w:val="00126D23"/>
    <w:rsid w:val="00126E44"/>
    <w:rsid w:val="00127BED"/>
    <w:rsid w:val="00127F77"/>
    <w:rsid w:val="001305EE"/>
    <w:rsid w:val="001313D6"/>
    <w:rsid w:val="00132139"/>
    <w:rsid w:val="001324F9"/>
    <w:rsid w:val="0013336D"/>
    <w:rsid w:val="001333D6"/>
    <w:rsid w:val="001344E3"/>
    <w:rsid w:val="00134BB3"/>
    <w:rsid w:val="0013585D"/>
    <w:rsid w:val="00136135"/>
    <w:rsid w:val="00136202"/>
    <w:rsid w:val="0014008F"/>
    <w:rsid w:val="00140D24"/>
    <w:rsid w:val="00140DBE"/>
    <w:rsid w:val="00140F7D"/>
    <w:rsid w:val="001421C9"/>
    <w:rsid w:val="00142F2D"/>
    <w:rsid w:val="0014338D"/>
    <w:rsid w:val="0014374D"/>
    <w:rsid w:val="00143A8E"/>
    <w:rsid w:val="00143BB5"/>
    <w:rsid w:val="00143CEE"/>
    <w:rsid w:val="0014522A"/>
    <w:rsid w:val="00146F4A"/>
    <w:rsid w:val="001475FE"/>
    <w:rsid w:val="00152122"/>
    <w:rsid w:val="0015297E"/>
    <w:rsid w:val="0015357B"/>
    <w:rsid w:val="00153C62"/>
    <w:rsid w:val="00153D8E"/>
    <w:rsid w:val="001541D6"/>
    <w:rsid w:val="0015541A"/>
    <w:rsid w:val="001554F5"/>
    <w:rsid w:val="00156776"/>
    <w:rsid w:val="0015680E"/>
    <w:rsid w:val="00156B68"/>
    <w:rsid w:val="001601D4"/>
    <w:rsid w:val="00160E46"/>
    <w:rsid w:val="0016149B"/>
    <w:rsid w:val="00161AED"/>
    <w:rsid w:val="00162709"/>
    <w:rsid w:val="0016297B"/>
    <w:rsid w:val="00162E6D"/>
    <w:rsid w:val="00162F92"/>
    <w:rsid w:val="00163C6F"/>
    <w:rsid w:val="00164F61"/>
    <w:rsid w:val="00165FA2"/>
    <w:rsid w:val="001662CF"/>
    <w:rsid w:val="00166400"/>
    <w:rsid w:val="00166454"/>
    <w:rsid w:val="0016687A"/>
    <w:rsid w:val="00166A31"/>
    <w:rsid w:val="00166B1D"/>
    <w:rsid w:val="001677BE"/>
    <w:rsid w:val="0017020C"/>
    <w:rsid w:val="0017055A"/>
    <w:rsid w:val="00170828"/>
    <w:rsid w:val="00171A33"/>
    <w:rsid w:val="00172ACE"/>
    <w:rsid w:val="0017459A"/>
    <w:rsid w:val="00174A2A"/>
    <w:rsid w:val="00174FBB"/>
    <w:rsid w:val="00175654"/>
    <w:rsid w:val="00175972"/>
    <w:rsid w:val="00175B31"/>
    <w:rsid w:val="00175E66"/>
    <w:rsid w:val="001760EB"/>
    <w:rsid w:val="00177D84"/>
    <w:rsid w:val="001800C5"/>
    <w:rsid w:val="0018082D"/>
    <w:rsid w:val="00180C19"/>
    <w:rsid w:val="00180D1E"/>
    <w:rsid w:val="00180E0C"/>
    <w:rsid w:val="00181546"/>
    <w:rsid w:val="00182728"/>
    <w:rsid w:val="00182B0E"/>
    <w:rsid w:val="001842F0"/>
    <w:rsid w:val="001856B1"/>
    <w:rsid w:val="00186142"/>
    <w:rsid w:val="001862C8"/>
    <w:rsid w:val="001862E2"/>
    <w:rsid w:val="00186731"/>
    <w:rsid w:val="001867D1"/>
    <w:rsid w:val="00186AF6"/>
    <w:rsid w:val="00187CD5"/>
    <w:rsid w:val="00187CF1"/>
    <w:rsid w:val="00190C05"/>
    <w:rsid w:val="00191813"/>
    <w:rsid w:val="00191E71"/>
    <w:rsid w:val="00193942"/>
    <w:rsid w:val="00193B59"/>
    <w:rsid w:val="0019508E"/>
    <w:rsid w:val="001952F9"/>
    <w:rsid w:val="00195486"/>
    <w:rsid w:val="0019588D"/>
    <w:rsid w:val="00195F9F"/>
    <w:rsid w:val="00196714"/>
    <w:rsid w:val="001970DE"/>
    <w:rsid w:val="00197575"/>
    <w:rsid w:val="00197615"/>
    <w:rsid w:val="001A002B"/>
    <w:rsid w:val="001A01E6"/>
    <w:rsid w:val="001A02F0"/>
    <w:rsid w:val="001A06F7"/>
    <w:rsid w:val="001A0C85"/>
    <w:rsid w:val="001A0E06"/>
    <w:rsid w:val="001A19BE"/>
    <w:rsid w:val="001A1CB4"/>
    <w:rsid w:val="001A29F3"/>
    <w:rsid w:val="001A2A66"/>
    <w:rsid w:val="001A2BB2"/>
    <w:rsid w:val="001A2E5F"/>
    <w:rsid w:val="001A39C2"/>
    <w:rsid w:val="001A3E71"/>
    <w:rsid w:val="001A3EDE"/>
    <w:rsid w:val="001A58D5"/>
    <w:rsid w:val="001A5D38"/>
    <w:rsid w:val="001A6086"/>
    <w:rsid w:val="001A7342"/>
    <w:rsid w:val="001A738C"/>
    <w:rsid w:val="001B0AAA"/>
    <w:rsid w:val="001B0CBB"/>
    <w:rsid w:val="001B0E89"/>
    <w:rsid w:val="001B1E6A"/>
    <w:rsid w:val="001B3511"/>
    <w:rsid w:val="001B37A7"/>
    <w:rsid w:val="001B495D"/>
    <w:rsid w:val="001B5775"/>
    <w:rsid w:val="001B597A"/>
    <w:rsid w:val="001B642C"/>
    <w:rsid w:val="001B6DBC"/>
    <w:rsid w:val="001B7E7A"/>
    <w:rsid w:val="001C0726"/>
    <w:rsid w:val="001C09F7"/>
    <w:rsid w:val="001C0B2A"/>
    <w:rsid w:val="001C13A1"/>
    <w:rsid w:val="001C1542"/>
    <w:rsid w:val="001C1676"/>
    <w:rsid w:val="001C219D"/>
    <w:rsid w:val="001C29A5"/>
    <w:rsid w:val="001C3639"/>
    <w:rsid w:val="001C4C86"/>
    <w:rsid w:val="001C4E71"/>
    <w:rsid w:val="001C51A0"/>
    <w:rsid w:val="001C51C0"/>
    <w:rsid w:val="001C5D70"/>
    <w:rsid w:val="001C6088"/>
    <w:rsid w:val="001C61FF"/>
    <w:rsid w:val="001C64D6"/>
    <w:rsid w:val="001C65A8"/>
    <w:rsid w:val="001C6A8A"/>
    <w:rsid w:val="001C6AF2"/>
    <w:rsid w:val="001C736F"/>
    <w:rsid w:val="001C7BE5"/>
    <w:rsid w:val="001D0416"/>
    <w:rsid w:val="001D0A7D"/>
    <w:rsid w:val="001D13E8"/>
    <w:rsid w:val="001D1E6F"/>
    <w:rsid w:val="001D2208"/>
    <w:rsid w:val="001D2AC4"/>
    <w:rsid w:val="001D4995"/>
    <w:rsid w:val="001D4BAD"/>
    <w:rsid w:val="001D4C06"/>
    <w:rsid w:val="001D4CD6"/>
    <w:rsid w:val="001D6E88"/>
    <w:rsid w:val="001D7269"/>
    <w:rsid w:val="001D740B"/>
    <w:rsid w:val="001D7E0D"/>
    <w:rsid w:val="001E0040"/>
    <w:rsid w:val="001E01D9"/>
    <w:rsid w:val="001E0311"/>
    <w:rsid w:val="001E1918"/>
    <w:rsid w:val="001E2498"/>
    <w:rsid w:val="001E2A16"/>
    <w:rsid w:val="001E383E"/>
    <w:rsid w:val="001E4130"/>
    <w:rsid w:val="001E439A"/>
    <w:rsid w:val="001E4654"/>
    <w:rsid w:val="001E64DF"/>
    <w:rsid w:val="001E68C5"/>
    <w:rsid w:val="001E72FB"/>
    <w:rsid w:val="001E7FB0"/>
    <w:rsid w:val="001F4E3F"/>
    <w:rsid w:val="001F5030"/>
    <w:rsid w:val="001F5076"/>
    <w:rsid w:val="001F6527"/>
    <w:rsid w:val="001F7890"/>
    <w:rsid w:val="001F7F17"/>
    <w:rsid w:val="0020014E"/>
    <w:rsid w:val="00200EE9"/>
    <w:rsid w:val="002024EC"/>
    <w:rsid w:val="00202BDF"/>
    <w:rsid w:val="002033BB"/>
    <w:rsid w:val="00203FCE"/>
    <w:rsid w:val="00204AAF"/>
    <w:rsid w:val="00204CF1"/>
    <w:rsid w:val="0020541E"/>
    <w:rsid w:val="00205A15"/>
    <w:rsid w:val="00206AF4"/>
    <w:rsid w:val="00207106"/>
    <w:rsid w:val="002073D9"/>
    <w:rsid w:val="002076CC"/>
    <w:rsid w:val="00210769"/>
    <w:rsid w:val="00210B44"/>
    <w:rsid w:val="002110FC"/>
    <w:rsid w:val="0021124B"/>
    <w:rsid w:val="00211735"/>
    <w:rsid w:val="00212AB7"/>
    <w:rsid w:val="00213C0C"/>
    <w:rsid w:val="002145B4"/>
    <w:rsid w:val="00214B86"/>
    <w:rsid w:val="00214CF3"/>
    <w:rsid w:val="002155DA"/>
    <w:rsid w:val="0021775E"/>
    <w:rsid w:val="00217915"/>
    <w:rsid w:val="002179ED"/>
    <w:rsid w:val="00220586"/>
    <w:rsid w:val="00220EA0"/>
    <w:rsid w:val="00221527"/>
    <w:rsid w:val="00221C1F"/>
    <w:rsid w:val="00222938"/>
    <w:rsid w:val="00223679"/>
    <w:rsid w:val="002236C1"/>
    <w:rsid w:val="00223BB0"/>
    <w:rsid w:val="00226407"/>
    <w:rsid w:val="002274BE"/>
    <w:rsid w:val="00227AC3"/>
    <w:rsid w:val="00230B70"/>
    <w:rsid w:val="00232BBF"/>
    <w:rsid w:val="00233521"/>
    <w:rsid w:val="00233A7A"/>
    <w:rsid w:val="00233FFB"/>
    <w:rsid w:val="0023432D"/>
    <w:rsid w:val="00234A4D"/>
    <w:rsid w:val="00235D84"/>
    <w:rsid w:val="002360B8"/>
    <w:rsid w:val="0023693E"/>
    <w:rsid w:val="00236DD4"/>
    <w:rsid w:val="00240379"/>
    <w:rsid w:val="00240498"/>
    <w:rsid w:val="00241D8B"/>
    <w:rsid w:val="0024331F"/>
    <w:rsid w:val="00244635"/>
    <w:rsid w:val="00246362"/>
    <w:rsid w:val="0024652D"/>
    <w:rsid w:val="00246993"/>
    <w:rsid w:val="002478CD"/>
    <w:rsid w:val="00250205"/>
    <w:rsid w:val="00250533"/>
    <w:rsid w:val="002505DA"/>
    <w:rsid w:val="0025075F"/>
    <w:rsid w:val="002511DD"/>
    <w:rsid w:val="0025174A"/>
    <w:rsid w:val="00251F8C"/>
    <w:rsid w:val="00252BDF"/>
    <w:rsid w:val="00252D15"/>
    <w:rsid w:val="00254360"/>
    <w:rsid w:val="002554E8"/>
    <w:rsid w:val="002559BF"/>
    <w:rsid w:val="00255D65"/>
    <w:rsid w:val="00256D5C"/>
    <w:rsid w:val="00256F0C"/>
    <w:rsid w:val="0025703A"/>
    <w:rsid w:val="002579FD"/>
    <w:rsid w:val="00257AE7"/>
    <w:rsid w:val="00261188"/>
    <w:rsid w:val="002612E7"/>
    <w:rsid w:val="002622A1"/>
    <w:rsid w:val="002632C9"/>
    <w:rsid w:val="00263323"/>
    <w:rsid w:val="00263719"/>
    <w:rsid w:val="0026382F"/>
    <w:rsid w:val="00263A64"/>
    <w:rsid w:val="00264699"/>
    <w:rsid w:val="0026507E"/>
    <w:rsid w:val="002654F3"/>
    <w:rsid w:val="0026626A"/>
    <w:rsid w:val="002662B6"/>
    <w:rsid w:val="002664CD"/>
    <w:rsid w:val="002674F9"/>
    <w:rsid w:val="002679F7"/>
    <w:rsid w:val="00267B7B"/>
    <w:rsid w:val="002700E1"/>
    <w:rsid w:val="002719CB"/>
    <w:rsid w:val="00271B6D"/>
    <w:rsid w:val="00271C73"/>
    <w:rsid w:val="002721C5"/>
    <w:rsid w:val="002721C9"/>
    <w:rsid w:val="00272B5C"/>
    <w:rsid w:val="00272D48"/>
    <w:rsid w:val="002735D5"/>
    <w:rsid w:val="00273B7A"/>
    <w:rsid w:val="00273DF3"/>
    <w:rsid w:val="00275D4B"/>
    <w:rsid w:val="00275DEB"/>
    <w:rsid w:val="00276431"/>
    <w:rsid w:val="00277090"/>
    <w:rsid w:val="00277B82"/>
    <w:rsid w:val="00281043"/>
    <w:rsid w:val="002810EC"/>
    <w:rsid w:val="0028320C"/>
    <w:rsid w:val="00284763"/>
    <w:rsid w:val="00284EA9"/>
    <w:rsid w:val="002853D2"/>
    <w:rsid w:val="002858B3"/>
    <w:rsid w:val="00285A5D"/>
    <w:rsid w:val="002877B7"/>
    <w:rsid w:val="00287BD1"/>
    <w:rsid w:val="00287F09"/>
    <w:rsid w:val="002909C4"/>
    <w:rsid w:val="0029179C"/>
    <w:rsid w:val="002924B6"/>
    <w:rsid w:val="0029288B"/>
    <w:rsid w:val="00293090"/>
    <w:rsid w:val="00293214"/>
    <w:rsid w:val="0029324F"/>
    <w:rsid w:val="00293268"/>
    <w:rsid w:val="00294CE8"/>
    <w:rsid w:val="0029743B"/>
    <w:rsid w:val="002976B5"/>
    <w:rsid w:val="00297864"/>
    <w:rsid w:val="00297B47"/>
    <w:rsid w:val="002A0011"/>
    <w:rsid w:val="002A0081"/>
    <w:rsid w:val="002A02F5"/>
    <w:rsid w:val="002A1597"/>
    <w:rsid w:val="002A16F0"/>
    <w:rsid w:val="002A352A"/>
    <w:rsid w:val="002A453E"/>
    <w:rsid w:val="002A4D65"/>
    <w:rsid w:val="002A4DD5"/>
    <w:rsid w:val="002A5613"/>
    <w:rsid w:val="002A56BD"/>
    <w:rsid w:val="002A5908"/>
    <w:rsid w:val="002A5E0E"/>
    <w:rsid w:val="002A6126"/>
    <w:rsid w:val="002A6936"/>
    <w:rsid w:val="002A7336"/>
    <w:rsid w:val="002A7430"/>
    <w:rsid w:val="002A7E60"/>
    <w:rsid w:val="002B0DD2"/>
    <w:rsid w:val="002B162A"/>
    <w:rsid w:val="002B1C06"/>
    <w:rsid w:val="002B1F46"/>
    <w:rsid w:val="002B1FC6"/>
    <w:rsid w:val="002B2540"/>
    <w:rsid w:val="002B4313"/>
    <w:rsid w:val="002B45EE"/>
    <w:rsid w:val="002B4A92"/>
    <w:rsid w:val="002B505C"/>
    <w:rsid w:val="002B5290"/>
    <w:rsid w:val="002B5CD7"/>
    <w:rsid w:val="002B732B"/>
    <w:rsid w:val="002B79EC"/>
    <w:rsid w:val="002C1774"/>
    <w:rsid w:val="002C1957"/>
    <w:rsid w:val="002C1A0D"/>
    <w:rsid w:val="002C1BE5"/>
    <w:rsid w:val="002C1D5F"/>
    <w:rsid w:val="002C2390"/>
    <w:rsid w:val="002C2A3D"/>
    <w:rsid w:val="002C56C2"/>
    <w:rsid w:val="002C61A2"/>
    <w:rsid w:val="002C64E9"/>
    <w:rsid w:val="002C7938"/>
    <w:rsid w:val="002C7F1F"/>
    <w:rsid w:val="002D0524"/>
    <w:rsid w:val="002D216A"/>
    <w:rsid w:val="002D272E"/>
    <w:rsid w:val="002D2FF8"/>
    <w:rsid w:val="002D40B4"/>
    <w:rsid w:val="002D40BC"/>
    <w:rsid w:val="002D4EE2"/>
    <w:rsid w:val="002D5596"/>
    <w:rsid w:val="002D63A3"/>
    <w:rsid w:val="002D63FB"/>
    <w:rsid w:val="002D7E8A"/>
    <w:rsid w:val="002E04E7"/>
    <w:rsid w:val="002E0906"/>
    <w:rsid w:val="002E0D7C"/>
    <w:rsid w:val="002E1871"/>
    <w:rsid w:val="002E1C4C"/>
    <w:rsid w:val="002E1C55"/>
    <w:rsid w:val="002E26D6"/>
    <w:rsid w:val="002E33C1"/>
    <w:rsid w:val="002E4927"/>
    <w:rsid w:val="002E588E"/>
    <w:rsid w:val="002E600A"/>
    <w:rsid w:val="002E63E9"/>
    <w:rsid w:val="002E6836"/>
    <w:rsid w:val="002E725C"/>
    <w:rsid w:val="002E7A58"/>
    <w:rsid w:val="002E7D17"/>
    <w:rsid w:val="002F1EE6"/>
    <w:rsid w:val="002F2A51"/>
    <w:rsid w:val="002F3E15"/>
    <w:rsid w:val="002F485B"/>
    <w:rsid w:val="002F4AE9"/>
    <w:rsid w:val="002F50C0"/>
    <w:rsid w:val="002F668C"/>
    <w:rsid w:val="002F6E51"/>
    <w:rsid w:val="002F6F85"/>
    <w:rsid w:val="002F7151"/>
    <w:rsid w:val="002F7572"/>
    <w:rsid w:val="002F788F"/>
    <w:rsid w:val="0030053E"/>
    <w:rsid w:val="0030065A"/>
    <w:rsid w:val="00301673"/>
    <w:rsid w:val="00302150"/>
    <w:rsid w:val="00302813"/>
    <w:rsid w:val="00303B29"/>
    <w:rsid w:val="003064A5"/>
    <w:rsid w:val="00306AC9"/>
    <w:rsid w:val="00306F87"/>
    <w:rsid w:val="00307675"/>
    <w:rsid w:val="0031030B"/>
    <w:rsid w:val="003103A0"/>
    <w:rsid w:val="003118E1"/>
    <w:rsid w:val="00311FA9"/>
    <w:rsid w:val="003142AB"/>
    <w:rsid w:val="003146EA"/>
    <w:rsid w:val="00315BD3"/>
    <w:rsid w:val="00317185"/>
    <w:rsid w:val="00317446"/>
    <w:rsid w:val="003177A8"/>
    <w:rsid w:val="00320267"/>
    <w:rsid w:val="003205C2"/>
    <w:rsid w:val="00321C44"/>
    <w:rsid w:val="00322461"/>
    <w:rsid w:val="003232D5"/>
    <w:rsid w:val="00323FD3"/>
    <w:rsid w:val="00324D89"/>
    <w:rsid w:val="00326E76"/>
    <w:rsid w:val="00326F79"/>
    <w:rsid w:val="00327C0F"/>
    <w:rsid w:val="0033191F"/>
    <w:rsid w:val="00331DF4"/>
    <w:rsid w:val="00332FBF"/>
    <w:rsid w:val="00333882"/>
    <w:rsid w:val="003338E4"/>
    <w:rsid w:val="00336C29"/>
    <w:rsid w:val="00336F7A"/>
    <w:rsid w:val="0033791E"/>
    <w:rsid w:val="00337A01"/>
    <w:rsid w:val="00337C6B"/>
    <w:rsid w:val="00341F99"/>
    <w:rsid w:val="0034251C"/>
    <w:rsid w:val="0034313E"/>
    <w:rsid w:val="00343EC4"/>
    <w:rsid w:val="00344103"/>
    <w:rsid w:val="003445B3"/>
    <w:rsid w:val="003448FA"/>
    <w:rsid w:val="00345B56"/>
    <w:rsid w:val="00345D2A"/>
    <w:rsid w:val="003466AC"/>
    <w:rsid w:val="00347F30"/>
    <w:rsid w:val="00350250"/>
    <w:rsid w:val="00351355"/>
    <w:rsid w:val="0035266A"/>
    <w:rsid w:val="00352FA1"/>
    <w:rsid w:val="003536BE"/>
    <w:rsid w:val="0035435B"/>
    <w:rsid w:val="0035503A"/>
    <w:rsid w:val="003551BA"/>
    <w:rsid w:val="003552EB"/>
    <w:rsid w:val="00356636"/>
    <w:rsid w:val="00356BC3"/>
    <w:rsid w:val="00357021"/>
    <w:rsid w:val="0035776D"/>
    <w:rsid w:val="00360A74"/>
    <w:rsid w:val="00361693"/>
    <w:rsid w:val="00361A3A"/>
    <w:rsid w:val="00361E96"/>
    <w:rsid w:val="003629E3"/>
    <w:rsid w:val="00362C47"/>
    <w:rsid w:val="00362CD7"/>
    <w:rsid w:val="00362EE1"/>
    <w:rsid w:val="003630D1"/>
    <w:rsid w:val="00363CA0"/>
    <w:rsid w:val="00363CAA"/>
    <w:rsid w:val="00364046"/>
    <w:rsid w:val="00364A58"/>
    <w:rsid w:val="00364D07"/>
    <w:rsid w:val="0036531C"/>
    <w:rsid w:val="00365637"/>
    <w:rsid w:val="003656B9"/>
    <w:rsid w:val="003661B2"/>
    <w:rsid w:val="00366BED"/>
    <w:rsid w:val="00366E9A"/>
    <w:rsid w:val="003673F6"/>
    <w:rsid w:val="00367C97"/>
    <w:rsid w:val="00367FCD"/>
    <w:rsid w:val="00370E55"/>
    <w:rsid w:val="00371C95"/>
    <w:rsid w:val="003720C0"/>
    <w:rsid w:val="00372C53"/>
    <w:rsid w:val="00373635"/>
    <w:rsid w:val="003736A1"/>
    <w:rsid w:val="00373952"/>
    <w:rsid w:val="00374420"/>
    <w:rsid w:val="0037480A"/>
    <w:rsid w:val="00375097"/>
    <w:rsid w:val="00375636"/>
    <w:rsid w:val="00376698"/>
    <w:rsid w:val="003769D6"/>
    <w:rsid w:val="00377287"/>
    <w:rsid w:val="00377599"/>
    <w:rsid w:val="003778CC"/>
    <w:rsid w:val="003779B4"/>
    <w:rsid w:val="00377C56"/>
    <w:rsid w:val="00377E80"/>
    <w:rsid w:val="00377F74"/>
    <w:rsid w:val="00380B3C"/>
    <w:rsid w:val="0038141E"/>
    <w:rsid w:val="00384229"/>
    <w:rsid w:val="00384EFF"/>
    <w:rsid w:val="00385255"/>
    <w:rsid w:val="003852B8"/>
    <w:rsid w:val="003852FE"/>
    <w:rsid w:val="003854FA"/>
    <w:rsid w:val="003855E3"/>
    <w:rsid w:val="00387B81"/>
    <w:rsid w:val="00387DD1"/>
    <w:rsid w:val="00391475"/>
    <w:rsid w:val="0039156F"/>
    <w:rsid w:val="00393043"/>
    <w:rsid w:val="003932B3"/>
    <w:rsid w:val="003936FC"/>
    <w:rsid w:val="00395403"/>
    <w:rsid w:val="00395CE3"/>
    <w:rsid w:val="003A0926"/>
    <w:rsid w:val="003A14BB"/>
    <w:rsid w:val="003A1C7E"/>
    <w:rsid w:val="003A23A5"/>
    <w:rsid w:val="003A2AF3"/>
    <w:rsid w:val="003A2B55"/>
    <w:rsid w:val="003A2BFB"/>
    <w:rsid w:val="003A425E"/>
    <w:rsid w:val="003A520C"/>
    <w:rsid w:val="003A5456"/>
    <w:rsid w:val="003A54AA"/>
    <w:rsid w:val="003A56AF"/>
    <w:rsid w:val="003A65C3"/>
    <w:rsid w:val="003B0123"/>
    <w:rsid w:val="003B0AFB"/>
    <w:rsid w:val="003B0B87"/>
    <w:rsid w:val="003B2335"/>
    <w:rsid w:val="003B2366"/>
    <w:rsid w:val="003B26E8"/>
    <w:rsid w:val="003B292F"/>
    <w:rsid w:val="003B3877"/>
    <w:rsid w:val="003B459D"/>
    <w:rsid w:val="003B6A80"/>
    <w:rsid w:val="003C0032"/>
    <w:rsid w:val="003C0820"/>
    <w:rsid w:val="003C0904"/>
    <w:rsid w:val="003C0A7E"/>
    <w:rsid w:val="003C1912"/>
    <w:rsid w:val="003C1A31"/>
    <w:rsid w:val="003C1B75"/>
    <w:rsid w:val="003C24E6"/>
    <w:rsid w:val="003C25A0"/>
    <w:rsid w:val="003C2B18"/>
    <w:rsid w:val="003C334A"/>
    <w:rsid w:val="003C3810"/>
    <w:rsid w:val="003C3C06"/>
    <w:rsid w:val="003C4D46"/>
    <w:rsid w:val="003C523F"/>
    <w:rsid w:val="003C6058"/>
    <w:rsid w:val="003C6B0D"/>
    <w:rsid w:val="003C7B75"/>
    <w:rsid w:val="003C7E89"/>
    <w:rsid w:val="003D00C8"/>
    <w:rsid w:val="003D016C"/>
    <w:rsid w:val="003D15B9"/>
    <w:rsid w:val="003D1FDB"/>
    <w:rsid w:val="003D2475"/>
    <w:rsid w:val="003D261C"/>
    <w:rsid w:val="003D3B14"/>
    <w:rsid w:val="003D4414"/>
    <w:rsid w:val="003D4F6B"/>
    <w:rsid w:val="003D4FE0"/>
    <w:rsid w:val="003D5415"/>
    <w:rsid w:val="003D57D8"/>
    <w:rsid w:val="003D5EC5"/>
    <w:rsid w:val="003D6025"/>
    <w:rsid w:val="003D611F"/>
    <w:rsid w:val="003D682A"/>
    <w:rsid w:val="003D790B"/>
    <w:rsid w:val="003E0501"/>
    <w:rsid w:val="003E0ADB"/>
    <w:rsid w:val="003E1020"/>
    <w:rsid w:val="003E1B06"/>
    <w:rsid w:val="003E3045"/>
    <w:rsid w:val="003E35B8"/>
    <w:rsid w:val="003E3D7C"/>
    <w:rsid w:val="003E4ABB"/>
    <w:rsid w:val="003E53C3"/>
    <w:rsid w:val="003E5945"/>
    <w:rsid w:val="003E60EE"/>
    <w:rsid w:val="003E68D4"/>
    <w:rsid w:val="003E6EBD"/>
    <w:rsid w:val="003E7333"/>
    <w:rsid w:val="003E74CF"/>
    <w:rsid w:val="003E78BD"/>
    <w:rsid w:val="003E7D7B"/>
    <w:rsid w:val="003E7DE6"/>
    <w:rsid w:val="003E7FAB"/>
    <w:rsid w:val="003F0018"/>
    <w:rsid w:val="003F333D"/>
    <w:rsid w:val="003F4CBB"/>
    <w:rsid w:val="003F52A2"/>
    <w:rsid w:val="003F6153"/>
    <w:rsid w:val="003F61C4"/>
    <w:rsid w:val="003F6C53"/>
    <w:rsid w:val="003F736B"/>
    <w:rsid w:val="003F780A"/>
    <w:rsid w:val="003F7983"/>
    <w:rsid w:val="00401C96"/>
    <w:rsid w:val="0040229D"/>
    <w:rsid w:val="00402BEC"/>
    <w:rsid w:val="00403E97"/>
    <w:rsid w:val="004041E8"/>
    <w:rsid w:val="00405042"/>
    <w:rsid w:val="00405276"/>
    <w:rsid w:val="0040529D"/>
    <w:rsid w:val="004056AC"/>
    <w:rsid w:val="00406826"/>
    <w:rsid w:val="00406D7F"/>
    <w:rsid w:val="004077CF"/>
    <w:rsid w:val="00407F83"/>
    <w:rsid w:val="004105E8"/>
    <w:rsid w:val="00410BE3"/>
    <w:rsid w:val="004113E8"/>
    <w:rsid w:val="004114CD"/>
    <w:rsid w:val="00411F8C"/>
    <w:rsid w:val="004121CF"/>
    <w:rsid w:val="00412821"/>
    <w:rsid w:val="00412FC4"/>
    <w:rsid w:val="00412FF3"/>
    <w:rsid w:val="0041325B"/>
    <w:rsid w:val="00413D47"/>
    <w:rsid w:val="0041467C"/>
    <w:rsid w:val="00414B90"/>
    <w:rsid w:val="004170F4"/>
    <w:rsid w:val="004176DB"/>
    <w:rsid w:val="00417C39"/>
    <w:rsid w:val="00420E87"/>
    <w:rsid w:val="00420EA3"/>
    <w:rsid w:val="004210ED"/>
    <w:rsid w:val="004225F2"/>
    <w:rsid w:val="00422985"/>
    <w:rsid w:val="00423B6E"/>
    <w:rsid w:val="00423DBB"/>
    <w:rsid w:val="00424A03"/>
    <w:rsid w:val="00424D60"/>
    <w:rsid w:val="00424D90"/>
    <w:rsid w:val="0042566F"/>
    <w:rsid w:val="00426937"/>
    <w:rsid w:val="00427003"/>
    <w:rsid w:val="00430092"/>
    <w:rsid w:val="00430D41"/>
    <w:rsid w:val="004326C0"/>
    <w:rsid w:val="00432A58"/>
    <w:rsid w:val="00432D32"/>
    <w:rsid w:val="00433562"/>
    <w:rsid w:val="00433BEF"/>
    <w:rsid w:val="004347F4"/>
    <w:rsid w:val="00434AEF"/>
    <w:rsid w:val="0043558D"/>
    <w:rsid w:val="00436703"/>
    <w:rsid w:val="00437460"/>
    <w:rsid w:val="00441E2C"/>
    <w:rsid w:val="00441F86"/>
    <w:rsid w:val="004420D0"/>
    <w:rsid w:val="004426A2"/>
    <w:rsid w:val="00442CC1"/>
    <w:rsid w:val="0044300B"/>
    <w:rsid w:val="004434DE"/>
    <w:rsid w:val="0044394E"/>
    <w:rsid w:val="00443C87"/>
    <w:rsid w:val="00444393"/>
    <w:rsid w:val="0044452A"/>
    <w:rsid w:val="0044520B"/>
    <w:rsid w:val="00446E4A"/>
    <w:rsid w:val="00450611"/>
    <w:rsid w:val="00451877"/>
    <w:rsid w:val="004518D7"/>
    <w:rsid w:val="00451F67"/>
    <w:rsid w:val="004544C9"/>
    <w:rsid w:val="004545B4"/>
    <w:rsid w:val="0045480E"/>
    <w:rsid w:val="00454AA2"/>
    <w:rsid w:val="0045559E"/>
    <w:rsid w:val="0045594D"/>
    <w:rsid w:val="004559D6"/>
    <w:rsid w:val="004559FB"/>
    <w:rsid w:val="00455E86"/>
    <w:rsid w:val="004572EA"/>
    <w:rsid w:val="00457456"/>
    <w:rsid w:val="00460501"/>
    <w:rsid w:val="00460954"/>
    <w:rsid w:val="00460FBD"/>
    <w:rsid w:val="00461EDA"/>
    <w:rsid w:val="00461F7D"/>
    <w:rsid w:val="0046221A"/>
    <w:rsid w:val="004623CF"/>
    <w:rsid w:val="00462858"/>
    <w:rsid w:val="00462B9A"/>
    <w:rsid w:val="00462ECC"/>
    <w:rsid w:val="00464CFC"/>
    <w:rsid w:val="00465058"/>
    <w:rsid w:val="004657BD"/>
    <w:rsid w:val="004657D3"/>
    <w:rsid w:val="0046582A"/>
    <w:rsid w:val="00465AAB"/>
    <w:rsid w:val="00465AB9"/>
    <w:rsid w:val="00465C3E"/>
    <w:rsid w:val="00466141"/>
    <w:rsid w:val="00467526"/>
    <w:rsid w:val="00470023"/>
    <w:rsid w:val="00470682"/>
    <w:rsid w:val="00471587"/>
    <w:rsid w:val="0047192F"/>
    <w:rsid w:val="004719E4"/>
    <w:rsid w:val="00472FB5"/>
    <w:rsid w:val="0047350D"/>
    <w:rsid w:val="0047388C"/>
    <w:rsid w:val="00476556"/>
    <w:rsid w:val="0047777B"/>
    <w:rsid w:val="004805A6"/>
    <w:rsid w:val="00480ECF"/>
    <w:rsid w:val="00480EE0"/>
    <w:rsid w:val="004813EF"/>
    <w:rsid w:val="00482422"/>
    <w:rsid w:val="00482A20"/>
    <w:rsid w:val="00483A6A"/>
    <w:rsid w:val="00483F01"/>
    <w:rsid w:val="00487637"/>
    <w:rsid w:val="00487A49"/>
    <w:rsid w:val="00487D36"/>
    <w:rsid w:val="00490985"/>
    <w:rsid w:val="00491C06"/>
    <w:rsid w:val="00491CC9"/>
    <w:rsid w:val="004925A1"/>
    <w:rsid w:val="00492EC3"/>
    <w:rsid w:val="00492F2E"/>
    <w:rsid w:val="00493C8A"/>
    <w:rsid w:val="0049434D"/>
    <w:rsid w:val="00494B42"/>
    <w:rsid w:val="00495495"/>
    <w:rsid w:val="00495BB8"/>
    <w:rsid w:val="00496665"/>
    <w:rsid w:val="004A2B5F"/>
    <w:rsid w:val="004A2D64"/>
    <w:rsid w:val="004A31D8"/>
    <w:rsid w:val="004A3B12"/>
    <w:rsid w:val="004A46DD"/>
    <w:rsid w:val="004A4801"/>
    <w:rsid w:val="004A58FB"/>
    <w:rsid w:val="004A6318"/>
    <w:rsid w:val="004A68C4"/>
    <w:rsid w:val="004B0EA3"/>
    <w:rsid w:val="004B262D"/>
    <w:rsid w:val="004B2A96"/>
    <w:rsid w:val="004B3706"/>
    <w:rsid w:val="004B37A9"/>
    <w:rsid w:val="004B45E3"/>
    <w:rsid w:val="004B45FF"/>
    <w:rsid w:val="004B49A8"/>
    <w:rsid w:val="004B4A88"/>
    <w:rsid w:val="004B52B9"/>
    <w:rsid w:val="004B5982"/>
    <w:rsid w:val="004B5EDD"/>
    <w:rsid w:val="004B668F"/>
    <w:rsid w:val="004B7441"/>
    <w:rsid w:val="004B7C25"/>
    <w:rsid w:val="004B7E11"/>
    <w:rsid w:val="004B7F77"/>
    <w:rsid w:val="004C01A3"/>
    <w:rsid w:val="004C02B3"/>
    <w:rsid w:val="004C14AD"/>
    <w:rsid w:val="004C1D89"/>
    <w:rsid w:val="004C1E0A"/>
    <w:rsid w:val="004C2A50"/>
    <w:rsid w:val="004C2EF5"/>
    <w:rsid w:val="004C3F17"/>
    <w:rsid w:val="004C4497"/>
    <w:rsid w:val="004C5B0D"/>
    <w:rsid w:val="004C5D71"/>
    <w:rsid w:val="004C6914"/>
    <w:rsid w:val="004C6FF4"/>
    <w:rsid w:val="004C7259"/>
    <w:rsid w:val="004C7FDC"/>
    <w:rsid w:val="004D0F2C"/>
    <w:rsid w:val="004D129F"/>
    <w:rsid w:val="004D1372"/>
    <w:rsid w:val="004D1F92"/>
    <w:rsid w:val="004D20EC"/>
    <w:rsid w:val="004D23A7"/>
    <w:rsid w:val="004D27F4"/>
    <w:rsid w:val="004D2BFC"/>
    <w:rsid w:val="004D3951"/>
    <w:rsid w:val="004D3B31"/>
    <w:rsid w:val="004D3FF2"/>
    <w:rsid w:val="004D40C2"/>
    <w:rsid w:val="004D41BA"/>
    <w:rsid w:val="004D41F1"/>
    <w:rsid w:val="004D4434"/>
    <w:rsid w:val="004D4A62"/>
    <w:rsid w:val="004D4CED"/>
    <w:rsid w:val="004D616E"/>
    <w:rsid w:val="004D7C1C"/>
    <w:rsid w:val="004E0271"/>
    <w:rsid w:val="004E0934"/>
    <w:rsid w:val="004E09A3"/>
    <w:rsid w:val="004E109A"/>
    <w:rsid w:val="004E1808"/>
    <w:rsid w:val="004E183E"/>
    <w:rsid w:val="004E374E"/>
    <w:rsid w:val="004E399C"/>
    <w:rsid w:val="004E3FAE"/>
    <w:rsid w:val="004E4234"/>
    <w:rsid w:val="004E4A1F"/>
    <w:rsid w:val="004E4ADB"/>
    <w:rsid w:val="004E4FC5"/>
    <w:rsid w:val="004E5562"/>
    <w:rsid w:val="004E60F5"/>
    <w:rsid w:val="004E6B56"/>
    <w:rsid w:val="004E73B6"/>
    <w:rsid w:val="004F0206"/>
    <w:rsid w:val="004F0A7F"/>
    <w:rsid w:val="004F0DC1"/>
    <w:rsid w:val="004F1290"/>
    <w:rsid w:val="004F1902"/>
    <w:rsid w:val="004F1967"/>
    <w:rsid w:val="004F29AE"/>
    <w:rsid w:val="004F3142"/>
    <w:rsid w:val="004F4CAE"/>
    <w:rsid w:val="004F6729"/>
    <w:rsid w:val="004F74E6"/>
    <w:rsid w:val="004F7610"/>
    <w:rsid w:val="004F7D59"/>
    <w:rsid w:val="00500962"/>
    <w:rsid w:val="00500AFA"/>
    <w:rsid w:val="00500B94"/>
    <w:rsid w:val="00500FF8"/>
    <w:rsid w:val="00501914"/>
    <w:rsid w:val="0050260A"/>
    <w:rsid w:val="00502875"/>
    <w:rsid w:val="0050381E"/>
    <w:rsid w:val="005047A2"/>
    <w:rsid w:val="00504AE3"/>
    <w:rsid w:val="0050519E"/>
    <w:rsid w:val="005065B2"/>
    <w:rsid w:val="00506AC7"/>
    <w:rsid w:val="00506F03"/>
    <w:rsid w:val="005077E1"/>
    <w:rsid w:val="00507D9A"/>
    <w:rsid w:val="0051069C"/>
    <w:rsid w:val="0051114E"/>
    <w:rsid w:val="0051154F"/>
    <w:rsid w:val="0051195B"/>
    <w:rsid w:val="00512A6F"/>
    <w:rsid w:val="0051341D"/>
    <w:rsid w:val="00513C00"/>
    <w:rsid w:val="00513C13"/>
    <w:rsid w:val="00513F87"/>
    <w:rsid w:val="00514201"/>
    <w:rsid w:val="00514E3A"/>
    <w:rsid w:val="00515257"/>
    <w:rsid w:val="00515C42"/>
    <w:rsid w:val="00515DA8"/>
    <w:rsid w:val="00515E83"/>
    <w:rsid w:val="00516076"/>
    <w:rsid w:val="00516E69"/>
    <w:rsid w:val="00517BA9"/>
    <w:rsid w:val="00520768"/>
    <w:rsid w:val="005215DA"/>
    <w:rsid w:val="005221CC"/>
    <w:rsid w:val="0052268D"/>
    <w:rsid w:val="00522F31"/>
    <w:rsid w:val="00523C2D"/>
    <w:rsid w:val="00524278"/>
    <w:rsid w:val="005263AE"/>
    <w:rsid w:val="005272F7"/>
    <w:rsid w:val="005303C2"/>
    <w:rsid w:val="005303DE"/>
    <w:rsid w:val="005305B0"/>
    <w:rsid w:val="0053063D"/>
    <w:rsid w:val="00530731"/>
    <w:rsid w:val="00531F9A"/>
    <w:rsid w:val="00532EE8"/>
    <w:rsid w:val="0053326F"/>
    <w:rsid w:val="005337B5"/>
    <w:rsid w:val="00534458"/>
    <w:rsid w:val="00534A9A"/>
    <w:rsid w:val="00534C5F"/>
    <w:rsid w:val="00535056"/>
    <w:rsid w:val="00535466"/>
    <w:rsid w:val="00536674"/>
    <w:rsid w:val="00536D05"/>
    <w:rsid w:val="00537598"/>
    <w:rsid w:val="00537B96"/>
    <w:rsid w:val="00540010"/>
    <w:rsid w:val="00540529"/>
    <w:rsid w:val="005408DB"/>
    <w:rsid w:val="00541A48"/>
    <w:rsid w:val="005421A0"/>
    <w:rsid w:val="00542565"/>
    <w:rsid w:val="005426E0"/>
    <w:rsid w:val="005439C5"/>
    <w:rsid w:val="00543E71"/>
    <w:rsid w:val="00544C1A"/>
    <w:rsid w:val="00545127"/>
    <w:rsid w:val="0054541C"/>
    <w:rsid w:val="00545CB6"/>
    <w:rsid w:val="00545CB8"/>
    <w:rsid w:val="00545E4D"/>
    <w:rsid w:val="00546969"/>
    <w:rsid w:val="00546A47"/>
    <w:rsid w:val="00547B37"/>
    <w:rsid w:val="0055041E"/>
    <w:rsid w:val="00550C93"/>
    <w:rsid w:val="005510E6"/>
    <w:rsid w:val="00551CFC"/>
    <w:rsid w:val="0055222E"/>
    <w:rsid w:val="005522F3"/>
    <w:rsid w:val="00552C15"/>
    <w:rsid w:val="00552ED5"/>
    <w:rsid w:val="00553C8E"/>
    <w:rsid w:val="005542DB"/>
    <w:rsid w:val="0055483A"/>
    <w:rsid w:val="00554AB8"/>
    <w:rsid w:val="00555531"/>
    <w:rsid w:val="00555A28"/>
    <w:rsid w:val="00555B85"/>
    <w:rsid w:val="00556619"/>
    <w:rsid w:val="0056014D"/>
    <w:rsid w:val="005607AF"/>
    <w:rsid w:val="0056080A"/>
    <w:rsid w:val="00562B69"/>
    <w:rsid w:val="00563AC1"/>
    <w:rsid w:val="00563E1C"/>
    <w:rsid w:val="005642E3"/>
    <w:rsid w:val="00564B61"/>
    <w:rsid w:val="0056718A"/>
    <w:rsid w:val="00567A90"/>
    <w:rsid w:val="005704FB"/>
    <w:rsid w:val="0057091E"/>
    <w:rsid w:val="00571BDA"/>
    <w:rsid w:val="00571DA5"/>
    <w:rsid w:val="00572021"/>
    <w:rsid w:val="0057216A"/>
    <w:rsid w:val="00572FFF"/>
    <w:rsid w:val="0057323E"/>
    <w:rsid w:val="00574453"/>
    <w:rsid w:val="005746FA"/>
    <w:rsid w:val="00574E31"/>
    <w:rsid w:val="0057512B"/>
    <w:rsid w:val="005776CD"/>
    <w:rsid w:val="00577D4F"/>
    <w:rsid w:val="005807D1"/>
    <w:rsid w:val="00580A0D"/>
    <w:rsid w:val="00580CDC"/>
    <w:rsid w:val="00580DB7"/>
    <w:rsid w:val="00580E9D"/>
    <w:rsid w:val="00581726"/>
    <w:rsid w:val="00581A30"/>
    <w:rsid w:val="00581E21"/>
    <w:rsid w:val="00581F63"/>
    <w:rsid w:val="0058207B"/>
    <w:rsid w:val="00582151"/>
    <w:rsid w:val="005835C1"/>
    <w:rsid w:val="0058396B"/>
    <w:rsid w:val="00585EBA"/>
    <w:rsid w:val="0058651E"/>
    <w:rsid w:val="00586973"/>
    <w:rsid w:val="00586BAC"/>
    <w:rsid w:val="00587175"/>
    <w:rsid w:val="00587484"/>
    <w:rsid w:val="0058776C"/>
    <w:rsid w:val="00590006"/>
    <w:rsid w:val="00590306"/>
    <w:rsid w:val="005938C8"/>
    <w:rsid w:val="0059484E"/>
    <w:rsid w:val="0059639A"/>
    <w:rsid w:val="00596AC8"/>
    <w:rsid w:val="00596BB9"/>
    <w:rsid w:val="00596DC6"/>
    <w:rsid w:val="00597104"/>
    <w:rsid w:val="005A1D76"/>
    <w:rsid w:val="005A2C4D"/>
    <w:rsid w:val="005A2D79"/>
    <w:rsid w:val="005A2F1D"/>
    <w:rsid w:val="005A3D6D"/>
    <w:rsid w:val="005A4378"/>
    <w:rsid w:val="005A501D"/>
    <w:rsid w:val="005A5205"/>
    <w:rsid w:val="005A546B"/>
    <w:rsid w:val="005A65E9"/>
    <w:rsid w:val="005A6E60"/>
    <w:rsid w:val="005B01CD"/>
    <w:rsid w:val="005B08DF"/>
    <w:rsid w:val="005B0E88"/>
    <w:rsid w:val="005B157A"/>
    <w:rsid w:val="005B170C"/>
    <w:rsid w:val="005B3C7E"/>
    <w:rsid w:val="005B5313"/>
    <w:rsid w:val="005B5C57"/>
    <w:rsid w:val="005B5ECC"/>
    <w:rsid w:val="005B6A01"/>
    <w:rsid w:val="005B6B4C"/>
    <w:rsid w:val="005B6C3B"/>
    <w:rsid w:val="005B7216"/>
    <w:rsid w:val="005C05CB"/>
    <w:rsid w:val="005C0E74"/>
    <w:rsid w:val="005C1245"/>
    <w:rsid w:val="005C167C"/>
    <w:rsid w:val="005C18D5"/>
    <w:rsid w:val="005C3153"/>
    <w:rsid w:val="005C3B40"/>
    <w:rsid w:val="005C3EDB"/>
    <w:rsid w:val="005C40A3"/>
    <w:rsid w:val="005C4782"/>
    <w:rsid w:val="005C504A"/>
    <w:rsid w:val="005C61F8"/>
    <w:rsid w:val="005C76DC"/>
    <w:rsid w:val="005C7D97"/>
    <w:rsid w:val="005D0409"/>
    <w:rsid w:val="005D2201"/>
    <w:rsid w:val="005D249C"/>
    <w:rsid w:val="005D2696"/>
    <w:rsid w:val="005D2836"/>
    <w:rsid w:val="005D2C9F"/>
    <w:rsid w:val="005D2FA2"/>
    <w:rsid w:val="005D3A56"/>
    <w:rsid w:val="005D3AC0"/>
    <w:rsid w:val="005D3F9D"/>
    <w:rsid w:val="005D401E"/>
    <w:rsid w:val="005D432D"/>
    <w:rsid w:val="005D4B89"/>
    <w:rsid w:val="005D4DA7"/>
    <w:rsid w:val="005D4DBE"/>
    <w:rsid w:val="005D56DE"/>
    <w:rsid w:val="005D5E4A"/>
    <w:rsid w:val="005D6433"/>
    <w:rsid w:val="005D66A8"/>
    <w:rsid w:val="005D7990"/>
    <w:rsid w:val="005E0028"/>
    <w:rsid w:val="005E0072"/>
    <w:rsid w:val="005E043C"/>
    <w:rsid w:val="005E1609"/>
    <w:rsid w:val="005E1704"/>
    <w:rsid w:val="005E1A51"/>
    <w:rsid w:val="005E1DBC"/>
    <w:rsid w:val="005E27DF"/>
    <w:rsid w:val="005E3DF0"/>
    <w:rsid w:val="005E3E60"/>
    <w:rsid w:val="005E3F21"/>
    <w:rsid w:val="005E5327"/>
    <w:rsid w:val="005E5397"/>
    <w:rsid w:val="005E58E9"/>
    <w:rsid w:val="005E6DC9"/>
    <w:rsid w:val="005E7115"/>
    <w:rsid w:val="005E7D6A"/>
    <w:rsid w:val="005F0387"/>
    <w:rsid w:val="005F0557"/>
    <w:rsid w:val="005F0A1B"/>
    <w:rsid w:val="005F0C40"/>
    <w:rsid w:val="005F126C"/>
    <w:rsid w:val="005F1565"/>
    <w:rsid w:val="005F1C1D"/>
    <w:rsid w:val="005F2063"/>
    <w:rsid w:val="005F238B"/>
    <w:rsid w:val="005F37E2"/>
    <w:rsid w:val="005F3BAF"/>
    <w:rsid w:val="005F3D12"/>
    <w:rsid w:val="005F547B"/>
    <w:rsid w:val="005F760E"/>
    <w:rsid w:val="005F7789"/>
    <w:rsid w:val="0060021A"/>
    <w:rsid w:val="00600606"/>
    <w:rsid w:val="0060094C"/>
    <w:rsid w:val="00601D2F"/>
    <w:rsid w:val="00602D00"/>
    <w:rsid w:val="00604761"/>
    <w:rsid w:val="00604DA0"/>
    <w:rsid w:val="00605070"/>
    <w:rsid w:val="0060517D"/>
    <w:rsid w:val="006053F1"/>
    <w:rsid w:val="00605789"/>
    <w:rsid w:val="006059DD"/>
    <w:rsid w:val="00605C75"/>
    <w:rsid w:val="00605CFF"/>
    <w:rsid w:val="00605D58"/>
    <w:rsid w:val="00605FD6"/>
    <w:rsid w:val="006068D3"/>
    <w:rsid w:val="00607018"/>
    <w:rsid w:val="006075BD"/>
    <w:rsid w:val="006100B8"/>
    <w:rsid w:val="006109C5"/>
    <w:rsid w:val="00611025"/>
    <w:rsid w:val="00611949"/>
    <w:rsid w:val="00612211"/>
    <w:rsid w:val="006123E4"/>
    <w:rsid w:val="00612770"/>
    <w:rsid w:val="00612BD6"/>
    <w:rsid w:val="0061552B"/>
    <w:rsid w:val="00615C80"/>
    <w:rsid w:val="00615CBC"/>
    <w:rsid w:val="00615D07"/>
    <w:rsid w:val="00616475"/>
    <w:rsid w:val="00616914"/>
    <w:rsid w:val="006179FF"/>
    <w:rsid w:val="00617E6A"/>
    <w:rsid w:val="0062003F"/>
    <w:rsid w:val="00620B3F"/>
    <w:rsid w:val="0062116F"/>
    <w:rsid w:val="006211F0"/>
    <w:rsid w:val="00622013"/>
    <w:rsid w:val="0062207D"/>
    <w:rsid w:val="00622898"/>
    <w:rsid w:val="006231CC"/>
    <w:rsid w:val="00623F83"/>
    <w:rsid w:val="0062561A"/>
    <w:rsid w:val="00625995"/>
    <w:rsid w:val="006264CB"/>
    <w:rsid w:val="0062776C"/>
    <w:rsid w:val="006278BF"/>
    <w:rsid w:val="00627EFB"/>
    <w:rsid w:val="006303AA"/>
    <w:rsid w:val="0063073A"/>
    <w:rsid w:val="0063099C"/>
    <w:rsid w:val="00630C72"/>
    <w:rsid w:val="00631A7F"/>
    <w:rsid w:val="00631D84"/>
    <w:rsid w:val="00632301"/>
    <w:rsid w:val="00633C92"/>
    <w:rsid w:val="00634392"/>
    <w:rsid w:val="00634715"/>
    <w:rsid w:val="006347BD"/>
    <w:rsid w:val="00634DBA"/>
    <w:rsid w:val="00634EE4"/>
    <w:rsid w:val="006351F0"/>
    <w:rsid w:val="00635404"/>
    <w:rsid w:val="00635833"/>
    <w:rsid w:val="00637594"/>
    <w:rsid w:val="00637C85"/>
    <w:rsid w:val="00637DC0"/>
    <w:rsid w:val="00640006"/>
    <w:rsid w:val="00641125"/>
    <w:rsid w:val="006414F7"/>
    <w:rsid w:val="00641704"/>
    <w:rsid w:val="0064394F"/>
    <w:rsid w:val="00643970"/>
    <w:rsid w:val="0064429C"/>
    <w:rsid w:val="00646FFE"/>
    <w:rsid w:val="00647A3B"/>
    <w:rsid w:val="00650FBB"/>
    <w:rsid w:val="006511D2"/>
    <w:rsid w:val="00651FF7"/>
    <w:rsid w:val="006526BE"/>
    <w:rsid w:val="00652BF9"/>
    <w:rsid w:val="00652E90"/>
    <w:rsid w:val="00653927"/>
    <w:rsid w:val="00653B3E"/>
    <w:rsid w:val="00654CFB"/>
    <w:rsid w:val="00654E00"/>
    <w:rsid w:val="0065524D"/>
    <w:rsid w:val="00655349"/>
    <w:rsid w:val="00655DF9"/>
    <w:rsid w:val="006563C1"/>
    <w:rsid w:val="006564CC"/>
    <w:rsid w:val="0065663C"/>
    <w:rsid w:val="0065718B"/>
    <w:rsid w:val="00657826"/>
    <w:rsid w:val="00657F4A"/>
    <w:rsid w:val="00660850"/>
    <w:rsid w:val="00660F02"/>
    <w:rsid w:val="00661B7F"/>
    <w:rsid w:val="0066383E"/>
    <w:rsid w:val="00663942"/>
    <w:rsid w:val="00663F91"/>
    <w:rsid w:val="006653CA"/>
    <w:rsid w:val="0066557C"/>
    <w:rsid w:val="00666344"/>
    <w:rsid w:val="006665C8"/>
    <w:rsid w:val="0066725E"/>
    <w:rsid w:val="00667BB2"/>
    <w:rsid w:val="00670421"/>
    <w:rsid w:val="00671156"/>
    <w:rsid w:val="00672096"/>
    <w:rsid w:val="00672436"/>
    <w:rsid w:val="00672438"/>
    <w:rsid w:val="00672B24"/>
    <w:rsid w:val="0067356F"/>
    <w:rsid w:val="00673C21"/>
    <w:rsid w:val="006742B6"/>
    <w:rsid w:val="0067482F"/>
    <w:rsid w:val="00674D4B"/>
    <w:rsid w:val="0067575B"/>
    <w:rsid w:val="00676415"/>
    <w:rsid w:val="00677FCA"/>
    <w:rsid w:val="0068043B"/>
    <w:rsid w:val="006806F6"/>
    <w:rsid w:val="00680B41"/>
    <w:rsid w:val="00681B0D"/>
    <w:rsid w:val="00681C8D"/>
    <w:rsid w:val="00682E1D"/>
    <w:rsid w:val="006838F7"/>
    <w:rsid w:val="00683BD5"/>
    <w:rsid w:val="0068430D"/>
    <w:rsid w:val="00685C68"/>
    <w:rsid w:val="00685CC9"/>
    <w:rsid w:val="006860F8"/>
    <w:rsid w:val="006861FD"/>
    <w:rsid w:val="006864BC"/>
    <w:rsid w:val="0068735E"/>
    <w:rsid w:val="0068779C"/>
    <w:rsid w:val="006908D1"/>
    <w:rsid w:val="006911EA"/>
    <w:rsid w:val="00691461"/>
    <w:rsid w:val="0069181B"/>
    <w:rsid w:val="00691CF9"/>
    <w:rsid w:val="00693026"/>
    <w:rsid w:val="006931F9"/>
    <w:rsid w:val="00694C7B"/>
    <w:rsid w:val="00694CE7"/>
    <w:rsid w:val="006A0051"/>
    <w:rsid w:val="006A0321"/>
    <w:rsid w:val="006A0AAA"/>
    <w:rsid w:val="006A1D1D"/>
    <w:rsid w:val="006A2127"/>
    <w:rsid w:val="006A2384"/>
    <w:rsid w:val="006A24B5"/>
    <w:rsid w:val="006A32BC"/>
    <w:rsid w:val="006A4872"/>
    <w:rsid w:val="006A56BC"/>
    <w:rsid w:val="006A59C4"/>
    <w:rsid w:val="006A6162"/>
    <w:rsid w:val="006A6437"/>
    <w:rsid w:val="006A67FA"/>
    <w:rsid w:val="006A6B47"/>
    <w:rsid w:val="006A6CED"/>
    <w:rsid w:val="006A758A"/>
    <w:rsid w:val="006A79A5"/>
    <w:rsid w:val="006B03E4"/>
    <w:rsid w:val="006B0B23"/>
    <w:rsid w:val="006B0FFD"/>
    <w:rsid w:val="006B12FF"/>
    <w:rsid w:val="006B259D"/>
    <w:rsid w:val="006B2609"/>
    <w:rsid w:val="006B2BEE"/>
    <w:rsid w:val="006B2EB2"/>
    <w:rsid w:val="006B54AC"/>
    <w:rsid w:val="006B55EE"/>
    <w:rsid w:val="006B5F2E"/>
    <w:rsid w:val="006B6DFF"/>
    <w:rsid w:val="006C0763"/>
    <w:rsid w:val="006C09F7"/>
    <w:rsid w:val="006C0F79"/>
    <w:rsid w:val="006C1752"/>
    <w:rsid w:val="006C1F91"/>
    <w:rsid w:val="006C2C1E"/>
    <w:rsid w:val="006C442D"/>
    <w:rsid w:val="006C4BDE"/>
    <w:rsid w:val="006C4C30"/>
    <w:rsid w:val="006C5FEA"/>
    <w:rsid w:val="006C67C1"/>
    <w:rsid w:val="006C6B90"/>
    <w:rsid w:val="006C7FFC"/>
    <w:rsid w:val="006D037B"/>
    <w:rsid w:val="006D0DF6"/>
    <w:rsid w:val="006D0F2A"/>
    <w:rsid w:val="006D1502"/>
    <w:rsid w:val="006D1F0D"/>
    <w:rsid w:val="006D2221"/>
    <w:rsid w:val="006D316C"/>
    <w:rsid w:val="006D322D"/>
    <w:rsid w:val="006D38C8"/>
    <w:rsid w:val="006D3C26"/>
    <w:rsid w:val="006D3E4D"/>
    <w:rsid w:val="006D4075"/>
    <w:rsid w:val="006D58CC"/>
    <w:rsid w:val="006D5D32"/>
    <w:rsid w:val="006D624F"/>
    <w:rsid w:val="006D7524"/>
    <w:rsid w:val="006D755C"/>
    <w:rsid w:val="006D7A18"/>
    <w:rsid w:val="006E1A21"/>
    <w:rsid w:val="006E1AD4"/>
    <w:rsid w:val="006E1B54"/>
    <w:rsid w:val="006E2060"/>
    <w:rsid w:val="006E20D3"/>
    <w:rsid w:val="006E23F5"/>
    <w:rsid w:val="006E31C0"/>
    <w:rsid w:val="006E31CB"/>
    <w:rsid w:val="006E3BA8"/>
    <w:rsid w:val="006E45FE"/>
    <w:rsid w:val="006E766C"/>
    <w:rsid w:val="006E7D6E"/>
    <w:rsid w:val="006F0E3C"/>
    <w:rsid w:val="006F0E53"/>
    <w:rsid w:val="006F102B"/>
    <w:rsid w:val="006F1D1C"/>
    <w:rsid w:val="006F37FC"/>
    <w:rsid w:val="006F37FF"/>
    <w:rsid w:val="006F4C92"/>
    <w:rsid w:val="006F5C09"/>
    <w:rsid w:val="006F5CB4"/>
    <w:rsid w:val="006F63EF"/>
    <w:rsid w:val="006F70A5"/>
    <w:rsid w:val="006F779A"/>
    <w:rsid w:val="006F77FB"/>
    <w:rsid w:val="00700D9C"/>
    <w:rsid w:val="00700F6F"/>
    <w:rsid w:val="007041A8"/>
    <w:rsid w:val="00704523"/>
    <w:rsid w:val="0070533C"/>
    <w:rsid w:val="00705AC8"/>
    <w:rsid w:val="00705C6A"/>
    <w:rsid w:val="007067CC"/>
    <w:rsid w:val="00706DC4"/>
    <w:rsid w:val="00706E13"/>
    <w:rsid w:val="0071093F"/>
    <w:rsid w:val="00711807"/>
    <w:rsid w:val="00711990"/>
    <w:rsid w:val="00712025"/>
    <w:rsid w:val="007132A3"/>
    <w:rsid w:val="007143D2"/>
    <w:rsid w:val="007149F4"/>
    <w:rsid w:val="00714BA5"/>
    <w:rsid w:val="0071560B"/>
    <w:rsid w:val="00715A58"/>
    <w:rsid w:val="007162E5"/>
    <w:rsid w:val="0071685B"/>
    <w:rsid w:val="0071714A"/>
    <w:rsid w:val="007178F8"/>
    <w:rsid w:val="00717DE2"/>
    <w:rsid w:val="00720163"/>
    <w:rsid w:val="007226BE"/>
    <w:rsid w:val="00722BE3"/>
    <w:rsid w:val="00722EDB"/>
    <w:rsid w:val="00722F46"/>
    <w:rsid w:val="007230EA"/>
    <w:rsid w:val="0072361B"/>
    <w:rsid w:val="00723662"/>
    <w:rsid w:val="00725FFC"/>
    <w:rsid w:val="00726D04"/>
    <w:rsid w:val="00727920"/>
    <w:rsid w:val="00727EEB"/>
    <w:rsid w:val="007302F7"/>
    <w:rsid w:val="007306F9"/>
    <w:rsid w:val="00730F56"/>
    <w:rsid w:val="007312A2"/>
    <w:rsid w:val="00731429"/>
    <w:rsid w:val="0073220A"/>
    <w:rsid w:val="00732D5B"/>
    <w:rsid w:val="00733280"/>
    <w:rsid w:val="00733B65"/>
    <w:rsid w:val="00733CF5"/>
    <w:rsid w:val="00733D7A"/>
    <w:rsid w:val="007347EC"/>
    <w:rsid w:val="00735D6C"/>
    <w:rsid w:val="00736431"/>
    <w:rsid w:val="00736497"/>
    <w:rsid w:val="00736A6B"/>
    <w:rsid w:val="00736E2E"/>
    <w:rsid w:val="0073791C"/>
    <w:rsid w:val="007403CC"/>
    <w:rsid w:val="00740B86"/>
    <w:rsid w:val="007410AE"/>
    <w:rsid w:val="0074280B"/>
    <w:rsid w:val="007457A0"/>
    <w:rsid w:val="00745DD0"/>
    <w:rsid w:val="007460F6"/>
    <w:rsid w:val="0074623D"/>
    <w:rsid w:val="00746334"/>
    <w:rsid w:val="007465C7"/>
    <w:rsid w:val="00747D78"/>
    <w:rsid w:val="00750B9C"/>
    <w:rsid w:val="00750D52"/>
    <w:rsid w:val="007510FC"/>
    <w:rsid w:val="00751C07"/>
    <w:rsid w:val="00751D3E"/>
    <w:rsid w:val="0075273D"/>
    <w:rsid w:val="00752E95"/>
    <w:rsid w:val="00754038"/>
    <w:rsid w:val="0075471D"/>
    <w:rsid w:val="00755022"/>
    <w:rsid w:val="0075518D"/>
    <w:rsid w:val="00755222"/>
    <w:rsid w:val="0075582F"/>
    <w:rsid w:val="00755CF6"/>
    <w:rsid w:val="007560C8"/>
    <w:rsid w:val="00756402"/>
    <w:rsid w:val="007565BC"/>
    <w:rsid w:val="00757442"/>
    <w:rsid w:val="007574B2"/>
    <w:rsid w:val="00757579"/>
    <w:rsid w:val="007579BF"/>
    <w:rsid w:val="00760B11"/>
    <w:rsid w:val="00760B5E"/>
    <w:rsid w:val="007619E5"/>
    <w:rsid w:val="00763405"/>
    <w:rsid w:val="00764453"/>
    <w:rsid w:val="00764634"/>
    <w:rsid w:val="00764C40"/>
    <w:rsid w:val="00764EF1"/>
    <w:rsid w:val="007654ED"/>
    <w:rsid w:val="007657F0"/>
    <w:rsid w:val="00765A94"/>
    <w:rsid w:val="007668F1"/>
    <w:rsid w:val="00767CE4"/>
    <w:rsid w:val="00770B05"/>
    <w:rsid w:val="00770E81"/>
    <w:rsid w:val="00771815"/>
    <w:rsid w:val="00771912"/>
    <w:rsid w:val="00771C4F"/>
    <w:rsid w:val="00771DB6"/>
    <w:rsid w:val="0077206B"/>
    <w:rsid w:val="00774761"/>
    <w:rsid w:val="007753F7"/>
    <w:rsid w:val="007763BB"/>
    <w:rsid w:val="00776CEF"/>
    <w:rsid w:val="00777138"/>
    <w:rsid w:val="00777A00"/>
    <w:rsid w:val="00777A91"/>
    <w:rsid w:val="00777C4F"/>
    <w:rsid w:val="00780030"/>
    <w:rsid w:val="00780C3C"/>
    <w:rsid w:val="00781875"/>
    <w:rsid w:val="0078282C"/>
    <w:rsid w:val="0078329C"/>
    <w:rsid w:val="00783BE7"/>
    <w:rsid w:val="00783F6D"/>
    <w:rsid w:val="007854B7"/>
    <w:rsid w:val="00785596"/>
    <w:rsid w:val="00785A1C"/>
    <w:rsid w:val="00786FBF"/>
    <w:rsid w:val="00787B41"/>
    <w:rsid w:val="00787CC7"/>
    <w:rsid w:val="00787D6D"/>
    <w:rsid w:val="007903F6"/>
    <w:rsid w:val="007915ED"/>
    <w:rsid w:val="007916DD"/>
    <w:rsid w:val="00791EAA"/>
    <w:rsid w:val="00792301"/>
    <w:rsid w:val="00792310"/>
    <w:rsid w:val="00792AD5"/>
    <w:rsid w:val="00793CDE"/>
    <w:rsid w:val="00793D43"/>
    <w:rsid w:val="00793D9D"/>
    <w:rsid w:val="00793FE3"/>
    <w:rsid w:val="00793FEB"/>
    <w:rsid w:val="007947A3"/>
    <w:rsid w:val="00795083"/>
    <w:rsid w:val="00795863"/>
    <w:rsid w:val="007961E9"/>
    <w:rsid w:val="007963C3"/>
    <w:rsid w:val="00797456"/>
    <w:rsid w:val="007A281F"/>
    <w:rsid w:val="007A2880"/>
    <w:rsid w:val="007A2BAE"/>
    <w:rsid w:val="007A2C5B"/>
    <w:rsid w:val="007A2D64"/>
    <w:rsid w:val="007A3D8E"/>
    <w:rsid w:val="007A3EE2"/>
    <w:rsid w:val="007A4906"/>
    <w:rsid w:val="007A6DBC"/>
    <w:rsid w:val="007A6E3E"/>
    <w:rsid w:val="007A744A"/>
    <w:rsid w:val="007A7E3B"/>
    <w:rsid w:val="007B1ECF"/>
    <w:rsid w:val="007B2DDA"/>
    <w:rsid w:val="007B2ED9"/>
    <w:rsid w:val="007B34E3"/>
    <w:rsid w:val="007B391A"/>
    <w:rsid w:val="007B48B3"/>
    <w:rsid w:val="007B562D"/>
    <w:rsid w:val="007B591C"/>
    <w:rsid w:val="007B5C78"/>
    <w:rsid w:val="007B6432"/>
    <w:rsid w:val="007B67A0"/>
    <w:rsid w:val="007B7B1F"/>
    <w:rsid w:val="007C00FB"/>
    <w:rsid w:val="007C018B"/>
    <w:rsid w:val="007C178E"/>
    <w:rsid w:val="007C29F8"/>
    <w:rsid w:val="007C2B7E"/>
    <w:rsid w:val="007C33D5"/>
    <w:rsid w:val="007C629E"/>
    <w:rsid w:val="007C671B"/>
    <w:rsid w:val="007C6B59"/>
    <w:rsid w:val="007D0080"/>
    <w:rsid w:val="007D0BC5"/>
    <w:rsid w:val="007D0C1C"/>
    <w:rsid w:val="007D4F17"/>
    <w:rsid w:val="007D5424"/>
    <w:rsid w:val="007D54E2"/>
    <w:rsid w:val="007D5563"/>
    <w:rsid w:val="007D55AD"/>
    <w:rsid w:val="007D66A0"/>
    <w:rsid w:val="007D6956"/>
    <w:rsid w:val="007E04A4"/>
    <w:rsid w:val="007E054B"/>
    <w:rsid w:val="007E0D0F"/>
    <w:rsid w:val="007E0FE3"/>
    <w:rsid w:val="007E17C5"/>
    <w:rsid w:val="007E24C8"/>
    <w:rsid w:val="007E2A42"/>
    <w:rsid w:val="007E31DA"/>
    <w:rsid w:val="007E4320"/>
    <w:rsid w:val="007E4E0A"/>
    <w:rsid w:val="007E4E91"/>
    <w:rsid w:val="007E67A9"/>
    <w:rsid w:val="007E6A77"/>
    <w:rsid w:val="007E6B46"/>
    <w:rsid w:val="007E6F9B"/>
    <w:rsid w:val="007F01EC"/>
    <w:rsid w:val="007F1C32"/>
    <w:rsid w:val="007F1E43"/>
    <w:rsid w:val="007F1EC1"/>
    <w:rsid w:val="007F24F0"/>
    <w:rsid w:val="007F2936"/>
    <w:rsid w:val="007F359D"/>
    <w:rsid w:val="007F5164"/>
    <w:rsid w:val="007F5442"/>
    <w:rsid w:val="007F56B0"/>
    <w:rsid w:val="007F5E93"/>
    <w:rsid w:val="007F63B9"/>
    <w:rsid w:val="007F6E7E"/>
    <w:rsid w:val="007F75D8"/>
    <w:rsid w:val="008004BF"/>
    <w:rsid w:val="008007BE"/>
    <w:rsid w:val="00800E14"/>
    <w:rsid w:val="00800FAF"/>
    <w:rsid w:val="00802187"/>
    <w:rsid w:val="008022B6"/>
    <w:rsid w:val="0080248C"/>
    <w:rsid w:val="0080364A"/>
    <w:rsid w:val="00804D9D"/>
    <w:rsid w:val="008053DD"/>
    <w:rsid w:val="0080540D"/>
    <w:rsid w:val="008057C1"/>
    <w:rsid w:val="00805BD3"/>
    <w:rsid w:val="0080783E"/>
    <w:rsid w:val="00807B3F"/>
    <w:rsid w:val="00807CB7"/>
    <w:rsid w:val="00807D26"/>
    <w:rsid w:val="008118D5"/>
    <w:rsid w:val="00811A29"/>
    <w:rsid w:val="00811A30"/>
    <w:rsid w:val="00811BD5"/>
    <w:rsid w:val="00812F66"/>
    <w:rsid w:val="008130E5"/>
    <w:rsid w:val="0081361F"/>
    <w:rsid w:val="00813E3D"/>
    <w:rsid w:val="0081465C"/>
    <w:rsid w:val="008172CD"/>
    <w:rsid w:val="008179D4"/>
    <w:rsid w:val="00817D5A"/>
    <w:rsid w:val="0082011B"/>
    <w:rsid w:val="00820FB6"/>
    <w:rsid w:val="008212CF"/>
    <w:rsid w:val="008216BF"/>
    <w:rsid w:val="00821989"/>
    <w:rsid w:val="00821FC5"/>
    <w:rsid w:val="008220D2"/>
    <w:rsid w:val="00822747"/>
    <w:rsid w:val="00822F6A"/>
    <w:rsid w:val="00824472"/>
    <w:rsid w:val="00824493"/>
    <w:rsid w:val="00824956"/>
    <w:rsid w:val="00824A16"/>
    <w:rsid w:val="00824DB1"/>
    <w:rsid w:val="00825EA8"/>
    <w:rsid w:val="00826069"/>
    <w:rsid w:val="008277C4"/>
    <w:rsid w:val="00827B4E"/>
    <w:rsid w:val="00827C28"/>
    <w:rsid w:val="00830E89"/>
    <w:rsid w:val="00831805"/>
    <w:rsid w:val="00832696"/>
    <w:rsid w:val="008338A2"/>
    <w:rsid w:val="00833CDD"/>
    <w:rsid w:val="00833EAE"/>
    <w:rsid w:val="008349DA"/>
    <w:rsid w:val="00834BA0"/>
    <w:rsid w:val="00835184"/>
    <w:rsid w:val="008353E5"/>
    <w:rsid w:val="008359BE"/>
    <w:rsid w:val="00835DE5"/>
    <w:rsid w:val="008365BF"/>
    <w:rsid w:val="008371CD"/>
    <w:rsid w:val="00837E60"/>
    <w:rsid w:val="008403B3"/>
    <w:rsid w:val="00842508"/>
    <w:rsid w:val="008425E1"/>
    <w:rsid w:val="00842B6F"/>
    <w:rsid w:val="00842F72"/>
    <w:rsid w:val="00844B26"/>
    <w:rsid w:val="008453C1"/>
    <w:rsid w:val="00845483"/>
    <w:rsid w:val="00845D8F"/>
    <w:rsid w:val="00847C52"/>
    <w:rsid w:val="00847DD4"/>
    <w:rsid w:val="008503D4"/>
    <w:rsid w:val="0085167B"/>
    <w:rsid w:val="008525C1"/>
    <w:rsid w:val="008527C1"/>
    <w:rsid w:val="008536A9"/>
    <w:rsid w:val="00854302"/>
    <w:rsid w:val="008549A5"/>
    <w:rsid w:val="00854A86"/>
    <w:rsid w:val="0085541C"/>
    <w:rsid w:val="00855999"/>
    <w:rsid w:val="00855C04"/>
    <w:rsid w:val="008569C5"/>
    <w:rsid w:val="00856A8D"/>
    <w:rsid w:val="00856BC0"/>
    <w:rsid w:val="008570EA"/>
    <w:rsid w:val="0085749A"/>
    <w:rsid w:val="00857A58"/>
    <w:rsid w:val="00857A7C"/>
    <w:rsid w:val="00860967"/>
    <w:rsid w:val="00860A81"/>
    <w:rsid w:val="0086170A"/>
    <w:rsid w:val="00861C59"/>
    <w:rsid w:val="00862095"/>
    <w:rsid w:val="0086209A"/>
    <w:rsid w:val="008630C5"/>
    <w:rsid w:val="0086466C"/>
    <w:rsid w:val="00864FAE"/>
    <w:rsid w:val="00865484"/>
    <w:rsid w:val="008661E6"/>
    <w:rsid w:val="00866210"/>
    <w:rsid w:val="008664FB"/>
    <w:rsid w:val="008678FE"/>
    <w:rsid w:val="00867B89"/>
    <w:rsid w:val="00870CD1"/>
    <w:rsid w:val="00870FF6"/>
    <w:rsid w:val="00871086"/>
    <w:rsid w:val="008714E8"/>
    <w:rsid w:val="008729CC"/>
    <w:rsid w:val="00872D32"/>
    <w:rsid w:val="0087304C"/>
    <w:rsid w:val="008730DE"/>
    <w:rsid w:val="0087367D"/>
    <w:rsid w:val="00874202"/>
    <w:rsid w:val="008747A3"/>
    <w:rsid w:val="00874C28"/>
    <w:rsid w:val="0087674F"/>
    <w:rsid w:val="00880F87"/>
    <w:rsid w:val="0088111E"/>
    <w:rsid w:val="00881562"/>
    <w:rsid w:val="008816C4"/>
    <w:rsid w:val="008818D8"/>
    <w:rsid w:val="008818E9"/>
    <w:rsid w:val="00881F2B"/>
    <w:rsid w:val="00882420"/>
    <w:rsid w:val="0088273C"/>
    <w:rsid w:val="00882B34"/>
    <w:rsid w:val="00882C8A"/>
    <w:rsid w:val="00884274"/>
    <w:rsid w:val="00884834"/>
    <w:rsid w:val="00885B25"/>
    <w:rsid w:val="0088637B"/>
    <w:rsid w:val="008874C0"/>
    <w:rsid w:val="008879B6"/>
    <w:rsid w:val="008908F0"/>
    <w:rsid w:val="00890908"/>
    <w:rsid w:val="00891365"/>
    <w:rsid w:val="00891449"/>
    <w:rsid w:val="00891FC7"/>
    <w:rsid w:val="00892C2A"/>
    <w:rsid w:val="00894001"/>
    <w:rsid w:val="00894D23"/>
    <w:rsid w:val="00894DC6"/>
    <w:rsid w:val="00895B4E"/>
    <w:rsid w:val="00896018"/>
    <w:rsid w:val="00896967"/>
    <w:rsid w:val="00897229"/>
    <w:rsid w:val="00897C1B"/>
    <w:rsid w:val="00897ED7"/>
    <w:rsid w:val="008A029A"/>
    <w:rsid w:val="008A164F"/>
    <w:rsid w:val="008A1C4E"/>
    <w:rsid w:val="008A2A21"/>
    <w:rsid w:val="008A347C"/>
    <w:rsid w:val="008A53CF"/>
    <w:rsid w:val="008A7343"/>
    <w:rsid w:val="008A7646"/>
    <w:rsid w:val="008B00F4"/>
    <w:rsid w:val="008B0183"/>
    <w:rsid w:val="008B0731"/>
    <w:rsid w:val="008B07C6"/>
    <w:rsid w:val="008B0B7F"/>
    <w:rsid w:val="008B0D4F"/>
    <w:rsid w:val="008B0E6F"/>
    <w:rsid w:val="008B16E0"/>
    <w:rsid w:val="008B4DA3"/>
    <w:rsid w:val="008B5679"/>
    <w:rsid w:val="008B597F"/>
    <w:rsid w:val="008B6AB8"/>
    <w:rsid w:val="008B71FC"/>
    <w:rsid w:val="008B764D"/>
    <w:rsid w:val="008C0F1B"/>
    <w:rsid w:val="008C108A"/>
    <w:rsid w:val="008C1258"/>
    <w:rsid w:val="008C1469"/>
    <w:rsid w:val="008C1DE1"/>
    <w:rsid w:val="008C2A51"/>
    <w:rsid w:val="008C31AF"/>
    <w:rsid w:val="008C3816"/>
    <w:rsid w:val="008C4697"/>
    <w:rsid w:val="008C4CFD"/>
    <w:rsid w:val="008C5641"/>
    <w:rsid w:val="008C5CF9"/>
    <w:rsid w:val="008C61BF"/>
    <w:rsid w:val="008C7034"/>
    <w:rsid w:val="008D193D"/>
    <w:rsid w:val="008D1E60"/>
    <w:rsid w:val="008D2065"/>
    <w:rsid w:val="008D274E"/>
    <w:rsid w:val="008D44B5"/>
    <w:rsid w:val="008D4BF4"/>
    <w:rsid w:val="008D4D34"/>
    <w:rsid w:val="008D4D44"/>
    <w:rsid w:val="008D500C"/>
    <w:rsid w:val="008D5ED2"/>
    <w:rsid w:val="008D664F"/>
    <w:rsid w:val="008D6FCC"/>
    <w:rsid w:val="008D7407"/>
    <w:rsid w:val="008D7854"/>
    <w:rsid w:val="008E1831"/>
    <w:rsid w:val="008E1842"/>
    <w:rsid w:val="008E2CDF"/>
    <w:rsid w:val="008E45B0"/>
    <w:rsid w:val="008E4785"/>
    <w:rsid w:val="008E47F5"/>
    <w:rsid w:val="008E54CE"/>
    <w:rsid w:val="008E56E3"/>
    <w:rsid w:val="008E657C"/>
    <w:rsid w:val="008E6DD9"/>
    <w:rsid w:val="008E730B"/>
    <w:rsid w:val="008E7759"/>
    <w:rsid w:val="008F0B07"/>
    <w:rsid w:val="008F0DD5"/>
    <w:rsid w:val="008F191E"/>
    <w:rsid w:val="008F2FB9"/>
    <w:rsid w:val="008F338B"/>
    <w:rsid w:val="008F3905"/>
    <w:rsid w:val="008F3982"/>
    <w:rsid w:val="008F5432"/>
    <w:rsid w:val="008F5770"/>
    <w:rsid w:val="008F68ED"/>
    <w:rsid w:val="008F6C4C"/>
    <w:rsid w:val="008F6F86"/>
    <w:rsid w:val="008F70B2"/>
    <w:rsid w:val="008F74F7"/>
    <w:rsid w:val="00900988"/>
    <w:rsid w:val="009014FC"/>
    <w:rsid w:val="00901BF1"/>
    <w:rsid w:val="0090341A"/>
    <w:rsid w:val="00903C68"/>
    <w:rsid w:val="00903CC7"/>
    <w:rsid w:val="009043D3"/>
    <w:rsid w:val="009052A4"/>
    <w:rsid w:val="00905305"/>
    <w:rsid w:val="00905E0E"/>
    <w:rsid w:val="009069CB"/>
    <w:rsid w:val="00906BC2"/>
    <w:rsid w:val="009071E8"/>
    <w:rsid w:val="00907998"/>
    <w:rsid w:val="00907F5F"/>
    <w:rsid w:val="00910075"/>
    <w:rsid w:val="009112EB"/>
    <w:rsid w:val="0091221D"/>
    <w:rsid w:val="0091252A"/>
    <w:rsid w:val="00912C6D"/>
    <w:rsid w:val="009130E8"/>
    <w:rsid w:val="009135E2"/>
    <w:rsid w:val="00913661"/>
    <w:rsid w:val="00913D89"/>
    <w:rsid w:val="0091433D"/>
    <w:rsid w:val="00914D24"/>
    <w:rsid w:val="00916611"/>
    <w:rsid w:val="00917B15"/>
    <w:rsid w:val="0092060B"/>
    <w:rsid w:val="00920D21"/>
    <w:rsid w:val="00921433"/>
    <w:rsid w:val="00921BF9"/>
    <w:rsid w:val="009221B6"/>
    <w:rsid w:val="00922824"/>
    <w:rsid w:val="00922E05"/>
    <w:rsid w:val="00923613"/>
    <w:rsid w:val="00923F77"/>
    <w:rsid w:val="00924AB0"/>
    <w:rsid w:val="00926D88"/>
    <w:rsid w:val="009278E4"/>
    <w:rsid w:val="00927AA1"/>
    <w:rsid w:val="00930180"/>
    <w:rsid w:val="00930536"/>
    <w:rsid w:val="00930829"/>
    <w:rsid w:val="0093087C"/>
    <w:rsid w:val="00930EA8"/>
    <w:rsid w:val="00931CF7"/>
    <w:rsid w:val="00932FD2"/>
    <w:rsid w:val="009331D0"/>
    <w:rsid w:val="00933C7A"/>
    <w:rsid w:val="009346CD"/>
    <w:rsid w:val="009346CE"/>
    <w:rsid w:val="00934F2D"/>
    <w:rsid w:val="00935B27"/>
    <w:rsid w:val="00936716"/>
    <w:rsid w:val="00936B55"/>
    <w:rsid w:val="00936BDE"/>
    <w:rsid w:val="00936E76"/>
    <w:rsid w:val="009372CD"/>
    <w:rsid w:val="00937917"/>
    <w:rsid w:val="00937CE2"/>
    <w:rsid w:val="0094070D"/>
    <w:rsid w:val="00940A8D"/>
    <w:rsid w:val="009414FE"/>
    <w:rsid w:val="00941D28"/>
    <w:rsid w:val="00942D8D"/>
    <w:rsid w:val="009430D3"/>
    <w:rsid w:val="0094365F"/>
    <w:rsid w:val="00943901"/>
    <w:rsid w:val="00944468"/>
    <w:rsid w:val="00944ACC"/>
    <w:rsid w:val="009453C2"/>
    <w:rsid w:val="00945574"/>
    <w:rsid w:val="0094589F"/>
    <w:rsid w:val="00946554"/>
    <w:rsid w:val="009466BC"/>
    <w:rsid w:val="00946761"/>
    <w:rsid w:val="00946DE3"/>
    <w:rsid w:val="00947A08"/>
    <w:rsid w:val="00951360"/>
    <w:rsid w:val="00951E1A"/>
    <w:rsid w:val="00951F50"/>
    <w:rsid w:val="00952AE2"/>
    <w:rsid w:val="009532C6"/>
    <w:rsid w:val="0095393E"/>
    <w:rsid w:val="00954062"/>
    <w:rsid w:val="00955B57"/>
    <w:rsid w:val="0095688A"/>
    <w:rsid w:val="00956FEB"/>
    <w:rsid w:val="0096039A"/>
    <w:rsid w:val="009604A3"/>
    <w:rsid w:val="00960D47"/>
    <w:rsid w:val="009617BF"/>
    <w:rsid w:val="009626EC"/>
    <w:rsid w:val="00962B78"/>
    <w:rsid w:val="0096393A"/>
    <w:rsid w:val="00964F46"/>
    <w:rsid w:val="00965482"/>
    <w:rsid w:val="009666EE"/>
    <w:rsid w:val="0096682D"/>
    <w:rsid w:val="00967F54"/>
    <w:rsid w:val="00970B85"/>
    <w:rsid w:val="00971155"/>
    <w:rsid w:val="00971642"/>
    <w:rsid w:val="00971743"/>
    <w:rsid w:val="009720C2"/>
    <w:rsid w:val="009725BD"/>
    <w:rsid w:val="0097266E"/>
    <w:rsid w:val="00972DE4"/>
    <w:rsid w:val="00972ECA"/>
    <w:rsid w:val="00973167"/>
    <w:rsid w:val="00973D51"/>
    <w:rsid w:val="009752F4"/>
    <w:rsid w:val="00976F4C"/>
    <w:rsid w:val="00976F7C"/>
    <w:rsid w:val="00977500"/>
    <w:rsid w:val="00977791"/>
    <w:rsid w:val="00977BC0"/>
    <w:rsid w:val="00977F56"/>
    <w:rsid w:val="0098108C"/>
    <w:rsid w:val="009819EC"/>
    <w:rsid w:val="00981B29"/>
    <w:rsid w:val="0098205B"/>
    <w:rsid w:val="0098389E"/>
    <w:rsid w:val="009838DD"/>
    <w:rsid w:val="00984232"/>
    <w:rsid w:val="0098444B"/>
    <w:rsid w:val="00984A4C"/>
    <w:rsid w:val="009851A1"/>
    <w:rsid w:val="00985A00"/>
    <w:rsid w:val="00986618"/>
    <w:rsid w:val="00987ACE"/>
    <w:rsid w:val="00987D17"/>
    <w:rsid w:val="00990E17"/>
    <w:rsid w:val="0099144D"/>
    <w:rsid w:val="009946B2"/>
    <w:rsid w:val="009955D9"/>
    <w:rsid w:val="00995AF4"/>
    <w:rsid w:val="00995C78"/>
    <w:rsid w:val="00995E8F"/>
    <w:rsid w:val="009969AD"/>
    <w:rsid w:val="009978E5"/>
    <w:rsid w:val="009A0319"/>
    <w:rsid w:val="009A0AB1"/>
    <w:rsid w:val="009A0CE5"/>
    <w:rsid w:val="009A0CFD"/>
    <w:rsid w:val="009A2286"/>
    <w:rsid w:val="009A29E5"/>
    <w:rsid w:val="009A3AC4"/>
    <w:rsid w:val="009A43F3"/>
    <w:rsid w:val="009A44D5"/>
    <w:rsid w:val="009A689A"/>
    <w:rsid w:val="009A6AE0"/>
    <w:rsid w:val="009A6ECE"/>
    <w:rsid w:val="009A796B"/>
    <w:rsid w:val="009B1014"/>
    <w:rsid w:val="009B1452"/>
    <w:rsid w:val="009B1584"/>
    <w:rsid w:val="009B1662"/>
    <w:rsid w:val="009B2982"/>
    <w:rsid w:val="009B5AC6"/>
    <w:rsid w:val="009B66F6"/>
    <w:rsid w:val="009B71E5"/>
    <w:rsid w:val="009C01E9"/>
    <w:rsid w:val="009C0EC1"/>
    <w:rsid w:val="009C3A61"/>
    <w:rsid w:val="009C3E00"/>
    <w:rsid w:val="009C53B7"/>
    <w:rsid w:val="009C5FA5"/>
    <w:rsid w:val="009D07FF"/>
    <w:rsid w:val="009D0BD6"/>
    <w:rsid w:val="009D13B1"/>
    <w:rsid w:val="009D19D4"/>
    <w:rsid w:val="009D27F5"/>
    <w:rsid w:val="009D3071"/>
    <w:rsid w:val="009D308D"/>
    <w:rsid w:val="009D3770"/>
    <w:rsid w:val="009D3BC0"/>
    <w:rsid w:val="009D4EBB"/>
    <w:rsid w:val="009D53E5"/>
    <w:rsid w:val="009D5558"/>
    <w:rsid w:val="009D5C45"/>
    <w:rsid w:val="009D60A3"/>
    <w:rsid w:val="009D6A4C"/>
    <w:rsid w:val="009D71C0"/>
    <w:rsid w:val="009E0C5D"/>
    <w:rsid w:val="009E19AE"/>
    <w:rsid w:val="009E1CDD"/>
    <w:rsid w:val="009E23FB"/>
    <w:rsid w:val="009E442D"/>
    <w:rsid w:val="009E4735"/>
    <w:rsid w:val="009E47F2"/>
    <w:rsid w:val="009E4D42"/>
    <w:rsid w:val="009E67E8"/>
    <w:rsid w:val="009E7580"/>
    <w:rsid w:val="009E7701"/>
    <w:rsid w:val="009F0910"/>
    <w:rsid w:val="009F1532"/>
    <w:rsid w:val="009F1C74"/>
    <w:rsid w:val="009F1CA0"/>
    <w:rsid w:val="009F1DF0"/>
    <w:rsid w:val="009F25AA"/>
    <w:rsid w:val="009F2B49"/>
    <w:rsid w:val="009F2B74"/>
    <w:rsid w:val="009F3641"/>
    <w:rsid w:val="009F36D5"/>
    <w:rsid w:val="009F413C"/>
    <w:rsid w:val="009F41B1"/>
    <w:rsid w:val="009F44FA"/>
    <w:rsid w:val="009F5085"/>
    <w:rsid w:val="009F58D2"/>
    <w:rsid w:val="009F59E6"/>
    <w:rsid w:val="009F5C80"/>
    <w:rsid w:val="009F5EDA"/>
    <w:rsid w:val="009F7B05"/>
    <w:rsid w:val="009F7DC6"/>
    <w:rsid w:val="00A00331"/>
    <w:rsid w:val="00A004D6"/>
    <w:rsid w:val="00A00CED"/>
    <w:rsid w:val="00A013AE"/>
    <w:rsid w:val="00A01A6D"/>
    <w:rsid w:val="00A02699"/>
    <w:rsid w:val="00A026B4"/>
    <w:rsid w:val="00A02906"/>
    <w:rsid w:val="00A0323D"/>
    <w:rsid w:val="00A0442F"/>
    <w:rsid w:val="00A0449F"/>
    <w:rsid w:val="00A055CF"/>
    <w:rsid w:val="00A05DE4"/>
    <w:rsid w:val="00A05F05"/>
    <w:rsid w:val="00A07581"/>
    <w:rsid w:val="00A10047"/>
    <w:rsid w:val="00A101C2"/>
    <w:rsid w:val="00A10353"/>
    <w:rsid w:val="00A105A7"/>
    <w:rsid w:val="00A10EF7"/>
    <w:rsid w:val="00A11BEB"/>
    <w:rsid w:val="00A12263"/>
    <w:rsid w:val="00A122F0"/>
    <w:rsid w:val="00A12AE0"/>
    <w:rsid w:val="00A1397C"/>
    <w:rsid w:val="00A13BDE"/>
    <w:rsid w:val="00A143FD"/>
    <w:rsid w:val="00A14649"/>
    <w:rsid w:val="00A15519"/>
    <w:rsid w:val="00A16378"/>
    <w:rsid w:val="00A16919"/>
    <w:rsid w:val="00A2054D"/>
    <w:rsid w:val="00A20761"/>
    <w:rsid w:val="00A20E70"/>
    <w:rsid w:val="00A21525"/>
    <w:rsid w:val="00A221C4"/>
    <w:rsid w:val="00A22A0D"/>
    <w:rsid w:val="00A2344B"/>
    <w:rsid w:val="00A23550"/>
    <w:rsid w:val="00A235EA"/>
    <w:rsid w:val="00A23A50"/>
    <w:rsid w:val="00A23EBE"/>
    <w:rsid w:val="00A24336"/>
    <w:rsid w:val="00A24DDC"/>
    <w:rsid w:val="00A254FF"/>
    <w:rsid w:val="00A25DF8"/>
    <w:rsid w:val="00A2600C"/>
    <w:rsid w:val="00A263E8"/>
    <w:rsid w:val="00A26A88"/>
    <w:rsid w:val="00A27584"/>
    <w:rsid w:val="00A27E8A"/>
    <w:rsid w:val="00A300D7"/>
    <w:rsid w:val="00A302DE"/>
    <w:rsid w:val="00A30A8D"/>
    <w:rsid w:val="00A30B85"/>
    <w:rsid w:val="00A3106F"/>
    <w:rsid w:val="00A31D89"/>
    <w:rsid w:val="00A326FE"/>
    <w:rsid w:val="00A3284F"/>
    <w:rsid w:val="00A33591"/>
    <w:rsid w:val="00A345C6"/>
    <w:rsid w:val="00A3467A"/>
    <w:rsid w:val="00A34C06"/>
    <w:rsid w:val="00A352DF"/>
    <w:rsid w:val="00A35563"/>
    <w:rsid w:val="00A361E0"/>
    <w:rsid w:val="00A36498"/>
    <w:rsid w:val="00A36A22"/>
    <w:rsid w:val="00A36AE0"/>
    <w:rsid w:val="00A36F19"/>
    <w:rsid w:val="00A374C0"/>
    <w:rsid w:val="00A37829"/>
    <w:rsid w:val="00A37EA6"/>
    <w:rsid w:val="00A41DBB"/>
    <w:rsid w:val="00A4276A"/>
    <w:rsid w:val="00A42B15"/>
    <w:rsid w:val="00A42E62"/>
    <w:rsid w:val="00A43C4E"/>
    <w:rsid w:val="00A444D3"/>
    <w:rsid w:val="00A446B7"/>
    <w:rsid w:val="00A44714"/>
    <w:rsid w:val="00A44768"/>
    <w:rsid w:val="00A44792"/>
    <w:rsid w:val="00A44FD5"/>
    <w:rsid w:val="00A45E39"/>
    <w:rsid w:val="00A461F9"/>
    <w:rsid w:val="00A476D3"/>
    <w:rsid w:val="00A50C30"/>
    <w:rsid w:val="00A52027"/>
    <w:rsid w:val="00A523B9"/>
    <w:rsid w:val="00A52C44"/>
    <w:rsid w:val="00A538F9"/>
    <w:rsid w:val="00A542E0"/>
    <w:rsid w:val="00A54367"/>
    <w:rsid w:val="00A546B1"/>
    <w:rsid w:val="00A546B6"/>
    <w:rsid w:val="00A555E5"/>
    <w:rsid w:val="00A562AD"/>
    <w:rsid w:val="00A57626"/>
    <w:rsid w:val="00A605A5"/>
    <w:rsid w:val="00A61EDE"/>
    <w:rsid w:val="00A61FB0"/>
    <w:rsid w:val="00A627AF"/>
    <w:rsid w:val="00A64132"/>
    <w:rsid w:val="00A64B25"/>
    <w:rsid w:val="00A65418"/>
    <w:rsid w:val="00A65539"/>
    <w:rsid w:val="00A65FD3"/>
    <w:rsid w:val="00A66156"/>
    <w:rsid w:val="00A66F11"/>
    <w:rsid w:val="00A713B9"/>
    <w:rsid w:val="00A72049"/>
    <w:rsid w:val="00A72A48"/>
    <w:rsid w:val="00A72C30"/>
    <w:rsid w:val="00A75F7E"/>
    <w:rsid w:val="00A76082"/>
    <w:rsid w:val="00A76860"/>
    <w:rsid w:val="00A76EA1"/>
    <w:rsid w:val="00A7707D"/>
    <w:rsid w:val="00A776EA"/>
    <w:rsid w:val="00A77B3B"/>
    <w:rsid w:val="00A805B5"/>
    <w:rsid w:val="00A81081"/>
    <w:rsid w:val="00A816CD"/>
    <w:rsid w:val="00A81D77"/>
    <w:rsid w:val="00A827A2"/>
    <w:rsid w:val="00A8296E"/>
    <w:rsid w:val="00A82CBA"/>
    <w:rsid w:val="00A84D53"/>
    <w:rsid w:val="00A85196"/>
    <w:rsid w:val="00A853B2"/>
    <w:rsid w:val="00A855BE"/>
    <w:rsid w:val="00A85D08"/>
    <w:rsid w:val="00A85DF3"/>
    <w:rsid w:val="00A8641B"/>
    <w:rsid w:val="00A87DA8"/>
    <w:rsid w:val="00A914F3"/>
    <w:rsid w:val="00A91946"/>
    <w:rsid w:val="00A91C40"/>
    <w:rsid w:val="00A97B3A"/>
    <w:rsid w:val="00AA0121"/>
    <w:rsid w:val="00AA07B5"/>
    <w:rsid w:val="00AA0DD2"/>
    <w:rsid w:val="00AA13FF"/>
    <w:rsid w:val="00AA178C"/>
    <w:rsid w:val="00AA2117"/>
    <w:rsid w:val="00AA21AB"/>
    <w:rsid w:val="00AA283F"/>
    <w:rsid w:val="00AA32DD"/>
    <w:rsid w:val="00AA4A2E"/>
    <w:rsid w:val="00AA5514"/>
    <w:rsid w:val="00AA60B1"/>
    <w:rsid w:val="00AA78AB"/>
    <w:rsid w:val="00AB1D7C"/>
    <w:rsid w:val="00AB2476"/>
    <w:rsid w:val="00AB32F0"/>
    <w:rsid w:val="00AB3718"/>
    <w:rsid w:val="00AB3BDE"/>
    <w:rsid w:val="00AB3F93"/>
    <w:rsid w:val="00AB586F"/>
    <w:rsid w:val="00AB5B46"/>
    <w:rsid w:val="00AB694B"/>
    <w:rsid w:val="00AC0D58"/>
    <w:rsid w:val="00AC2CD0"/>
    <w:rsid w:val="00AC31D2"/>
    <w:rsid w:val="00AC44D6"/>
    <w:rsid w:val="00AC5262"/>
    <w:rsid w:val="00AC6D95"/>
    <w:rsid w:val="00AC712E"/>
    <w:rsid w:val="00AC7910"/>
    <w:rsid w:val="00AC7EC2"/>
    <w:rsid w:val="00AD0475"/>
    <w:rsid w:val="00AD05B6"/>
    <w:rsid w:val="00AD0602"/>
    <w:rsid w:val="00AD0A02"/>
    <w:rsid w:val="00AD27C7"/>
    <w:rsid w:val="00AD4118"/>
    <w:rsid w:val="00AD4529"/>
    <w:rsid w:val="00AD56E4"/>
    <w:rsid w:val="00AD6D76"/>
    <w:rsid w:val="00AD6FAD"/>
    <w:rsid w:val="00AD7891"/>
    <w:rsid w:val="00AE2131"/>
    <w:rsid w:val="00AE322B"/>
    <w:rsid w:val="00AE415C"/>
    <w:rsid w:val="00AE4D3F"/>
    <w:rsid w:val="00AE4F4A"/>
    <w:rsid w:val="00AE57F4"/>
    <w:rsid w:val="00AE61CF"/>
    <w:rsid w:val="00AE6AEF"/>
    <w:rsid w:val="00AE6D7D"/>
    <w:rsid w:val="00AE7528"/>
    <w:rsid w:val="00AE7598"/>
    <w:rsid w:val="00AF237C"/>
    <w:rsid w:val="00AF2572"/>
    <w:rsid w:val="00AF2D3D"/>
    <w:rsid w:val="00AF2D40"/>
    <w:rsid w:val="00AF2DE6"/>
    <w:rsid w:val="00AF32E3"/>
    <w:rsid w:val="00AF33CD"/>
    <w:rsid w:val="00AF402B"/>
    <w:rsid w:val="00AF4F38"/>
    <w:rsid w:val="00AF5B8C"/>
    <w:rsid w:val="00AF5F4B"/>
    <w:rsid w:val="00AF6C96"/>
    <w:rsid w:val="00AF6FB6"/>
    <w:rsid w:val="00B00A2A"/>
    <w:rsid w:val="00B011C9"/>
    <w:rsid w:val="00B02693"/>
    <w:rsid w:val="00B034DF"/>
    <w:rsid w:val="00B03C57"/>
    <w:rsid w:val="00B0416E"/>
    <w:rsid w:val="00B04170"/>
    <w:rsid w:val="00B04D8B"/>
    <w:rsid w:val="00B05049"/>
    <w:rsid w:val="00B05232"/>
    <w:rsid w:val="00B05D85"/>
    <w:rsid w:val="00B067C4"/>
    <w:rsid w:val="00B07492"/>
    <w:rsid w:val="00B07622"/>
    <w:rsid w:val="00B10894"/>
    <w:rsid w:val="00B12357"/>
    <w:rsid w:val="00B13296"/>
    <w:rsid w:val="00B133B0"/>
    <w:rsid w:val="00B137A2"/>
    <w:rsid w:val="00B138CE"/>
    <w:rsid w:val="00B146A4"/>
    <w:rsid w:val="00B14701"/>
    <w:rsid w:val="00B1477A"/>
    <w:rsid w:val="00B159E5"/>
    <w:rsid w:val="00B15A0D"/>
    <w:rsid w:val="00B162BE"/>
    <w:rsid w:val="00B171DF"/>
    <w:rsid w:val="00B17495"/>
    <w:rsid w:val="00B1782C"/>
    <w:rsid w:val="00B179FE"/>
    <w:rsid w:val="00B20271"/>
    <w:rsid w:val="00B202D0"/>
    <w:rsid w:val="00B20601"/>
    <w:rsid w:val="00B20AE2"/>
    <w:rsid w:val="00B20D80"/>
    <w:rsid w:val="00B20F6B"/>
    <w:rsid w:val="00B2316E"/>
    <w:rsid w:val="00B231F8"/>
    <w:rsid w:val="00B2388D"/>
    <w:rsid w:val="00B240EE"/>
    <w:rsid w:val="00B249FF"/>
    <w:rsid w:val="00B2559F"/>
    <w:rsid w:val="00B25723"/>
    <w:rsid w:val="00B261D6"/>
    <w:rsid w:val="00B26364"/>
    <w:rsid w:val="00B2691B"/>
    <w:rsid w:val="00B26A4F"/>
    <w:rsid w:val="00B26F3E"/>
    <w:rsid w:val="00B27865"/>
    <w:rsid w:val="00B301CF"/>
    <w:rsid w:val="00B31AD4"/>
    <w:rsid w:val="00B31BAA"/>
    <w:rsid w:val="00B32501"/>
    <w:rsid w:val="00B33052"/>
    <w:rsid w:val="00B34F87"/>
    <w:rsid w:val="00B3537F"/>
    <w:rsid w:val="00B355B9"/>
    <w:rsid w:val="00B37474"/>
    <w:rsid w:val="00B37A89"/>
    <w:rsid w:val="00B37A9B"/>
    <w:rsid w:val="00B40332"/>
    <w:rsid w:val="00B41066"/>
    <w:rsid w:val="00B41209"/>
    <w:rsid w:val="00B41912"/>
    <w:rsid w:val="00B41918"/>
    <w:rsid w:val="00B419FF"/>
    <w:rsid w:val="00B426EE"/>
    <w:rsid w:val="00B42E8E"/>
    <w:rsid w:val="00B43D98"/>
    <w:rsid w:val="00B441EC"/>
    <w:rsid w:val="00B44345"/>
    <w:rsid w:val="00B44869"/>
    <w:rsid w:val="00B4512E"/>
    <w:rsid w:val="00B45D7B"/>
    <w:rsid w:val="00B469DB"/>
    <w:rsid w:val="00B46D15"/>
    <w:rsid w:val="00B476B8"/>
    <w:rsid w:val="00B5044C"/>
    <w:rsid w:val="00B506C4"/>
    <w:rsid w:val="00B51868"/>
    <w:rsid w:val="00B518D3"/>
    <w:rsid w:val="00B51A82"/>
    <w:rsid w:val="00B51AD7"/>
    <w:rsid w:val="00B51F26"/>
    <w:rsid w:val="00B53D01"/>
    <w:rsid w:val="00B53E18"/>
    <w:rsid w:val="00B54DCC"/>
    <w:rsid w:val="00B5591F"/>
    <w:rsid w:val="00B562C5"/>
    <w:rsid w:val="00B56323"/>
    <w:rsid w:val="00B5665E"/>
    <w:rsid w:val="00B56E3E"/>
    <w:rsid w:val="00B57F60"/>
    <w:rsid w:val="00B600AA"/>
    <w:rsid w:val="00B608E5"/>
    <w:rsid w:val="00B609DE"/>
    <w:rsid w:val="00B60AC4"/>
    <w:rsid w:val="00B61A6E"/>
    <w:rsid w:val="00B62227"/>
    <w:rsid w:val="00B634B9"/>
    <w:rsid w:val="00B637A9"/>
    <w:rsid w:val="00B63820"/>
    <w:rsid w:val="00B63A99"/>
    <w:rsid w:val="00B640A7"/>
    <w:rsid w:val="00B647DF"/>
    <w:rsid w:val="00B65550"/>
    <w:rsid w:val="00B659F6"/>
    <w:rsid w:val="00B65B0E"/>
    <w:rsid w:val="00B65B86"/>
    <w:rsid w:val="00B673EF"/>
    <w:rsid w:val="00B70530"/>
    <w:rsid w:val="00B720D9"/>
    <w:rsid w:val="00B7247C"/>
    <w:rsid w:val="00B72E0F"/>
    <w:rsid w:val="00B738DB"/>
    <w:rsid w:val="00B73ADE"/>
    <w:rsid w:val="00B73CAB"/>
    <w:rsid w:val="00B74DE0"/>
    <w:rsid w:val="00B753CE"/>
    <w:rsid w:val="00B755D9"/>
    <w:rsid w:val="00B7574E"/>
    <w:rsid w:val="00B765FB"/>
    <w:rsid w:val="00B76D06"/>
    <w:rsid w:val="00B771DC"/>
    <w:rsid w:val="00B773F4"/>
    <w:rsid w:val="00B77BF0"/>
    <w:rsid w:val="00B77CEB"/>
    <w:rsid w:val="00B80585"/>
    <w:rsid w:val="00B806A9"/>
    <w:rsid w:val="00B81113"/>
    <w:rsid w:val="00B8322C"/>
    <w:rsid w:val="00B83AC0"/>
    <w:rsid w:val="00B83E34"/>
    <w:rsid w:val="00B84251"/>
    <w:rsid w:val="00B850A0"/>
    <w:rsid w:val="00B8532A"/>
    <w:rsid w:val="00B87660"/>
    <w:rsid w:val="00B87788"/>
    <w:rsid w:val="00B8798A"/>
    <w:rsid w:val="00B87CE7"/>
    <w:rsid w:val="00B9065C"/>
    <w:rsid w:val="00B90EB0"/>
    <w:rsid w:val="00B9110A"/>
    <w:rsid w:val="00B91163"/>
    <w:rsid w:val="00B9120D"/>
    <w:rsid w:val="00B91228"/>
    <w:rsid w:val="00B924CD"/>
    <w:rsid w:val="00B927C8"/>
    <w:rsid w:val="00B93BD6"/>
    <w:rsid w:val="00B94593"/>
    <w:rsid w:val="00B94A54"/>
    <w:rsid w:val="00B94D4F"/>
    <w:rsid w:val="00B94EA1"/>
    <w:rsid w:val="00B94FE5"/>
    <w:rsid w:val="00B95548"/>
    <w:rsid w:val="00B9693C"/>
    <w:rsid w:val="00B97190"/>
    <w:rsid w:val="00B97848"/>
    <w:rsid w:val="00B97B7D"/>
    <w:rsid w:val="00BA1B7F"/>
    <w:rsid w:val="00BA1D57"/>
    <w:rsid w:val="00BA3C2C"/>
    <w:rsid w:val="00BA4E36"/>
    <w:rsid w:val="00BA5254"/>
    <w:rsid w:val="00BA5EC4"/>
    <w:rsid w:val="00BA6475"/>
    <w:rsid w:val="00BA6B37"/>
    <w:rsid w:val="00BB01D7"/>
    <w:rsid w:val="00BB0679"/>
    <w:rsid w:val="00BB0890"/>
    <w:rsid w:val="00BB0F92"/>
    <w:rsid w:val="00BB1796"/>
    <w:rsid w:val="00BB20D4"/>
    <w:rsid w:val="00BB228A"/>
    <w:rsid w:val="00BB3209"/>
    <w:rsid w:val="00BB41AD"/>
    <w:rsid w:val="00BB4700"/>
    <w:rsid w:val="00BB4B7D"/>
    <w:rsid w:val="00BB6484"/>
    <w:rsid w:val="00BC036F"/>
    <w:rsid w:val="00BC1679"/>
    <w:rsid w:val="00BC219F"/>
    <w:rsid w:val="00BC2BC0"/>
    <w:rsid w:val="00BC35CA"/>
    <w:rsid w:val="00BC4063"/>
    <w:rsid w:val="00BC4CF3"/>
    <w:rsid w:val="00BC4DA5"/>
    <w:rsid w:val="00BC5B49"/>
    <w:rsid w:val="00BC6398"/>
    <w:rsid w:val="00BC66EF"/>
    <w:rsid w:val="00BC7908"/>
    <w:rsid w:val="00BD092F"/>
    <w:rsid w:val="00BD11CE"/>
    <w:rsid w:val="00BD1845"/>
    <w:rsid w:val="00BD1D06"/>
    <w:rsid w:val="00BD2CEC"/>
    <w:rsid w:val="00BD2F81"/>
    <w:rsid w:val="00BD3885"/>
    <w:rsid w:val="00BD41C8"/>
    <w:rsid w:val="00BD473D"/>
    <w:rsid w:val="00BD57E7"/>
    <w:rsid w:val="00BD58EC"/>
    <w:rsid w:val="00BD6BE3"/>
    <w:rsid w:val="00BD776A"/>
    <w:rsid w:val="00BD7CB1"/>
    <w:rsid w:val="00BE0683"/>
    <w:rsid w:val="00BE0E61"/>
    <w:rsid w:val="00BE0EC4"/>
    <w:rsid w:val="00BE141B"/>
    <w:rsid w:val="00BE193D"/>
    <w:rsid w:val="00BE2609"/>
    <w:rsid w:val="00BE2B16"/>
    <w:rsid w:val="00BE3069"/>
    <w:rsid w:val="00BE32D9"/>
    <w:rsid w:val="00BE3BC7"/>
    <w:rsid w:val="00BE4839"/>
    <w:rsid w:val="00BE4CF2"/>
    <w:rsid w:val="00BE5333"/>
    <w:rsid w:val="00BE5FAD"/>
    <w:rsid w:val="00BF0DFB"/>
    <w:rsid w:val="00BF0FFA"/>
    <w:rsid w:val="00BF12B8"/>
    <w:rsid w:val="00BF27B3"/>
    <w:rsid w:val="00BF30C6"/>
    <w:rsid w:val="00BF3BF4"/>
    <w:rsid w:val="00BF46DF"/>
    <w:rsid w:val="00BF4768"/>
    <w:rsid w:val="00BF4CBA"/>
    <w:rsid w:val="00BF4CDA"/>
    <w:rsid w:val="00BF7365"/>
    <w:rsid w:val="00BF7833"/>
    <w:rsid w:val="00BF7DAF"/>
    <w:rsid w:val="00BF7EA8"/>
    <w:rsid w:val="00C00B7C"/>
    <w:rsid w:val="00C01239"/>
    <w:rsid w:val="00C01F23"/>
    <w:rsid w:val="00C01F85"/>
    <w:rsid w:val="00C02CCB"/>
    <w:rsid w:val="00C03365"/>
    <w:rsid w:val="00C03754"/>
    <w:rsid w:val="00C056D4"/>
    <w:rsid w:val="00C05B17"/>
    <w:rsid w:val="00C064C6"/>
    <w:rsid w:val="00C06529"/>
    <w:rsid w:val="00C06B86"/>
    <w:rsid w:val="00C06DAE"/>
    <w:rsid w:val="00C07BBB"/>
    <w:rsid w:val="00C07F3B"/>
    <w:rsid w:val="00C115A6"/>
    <w:rsid w:val="00C1161D"/>
    <w:rsid w:val="00C12B46"/>
    <w:rsid w:val="00C14382"/>
    <w:rsid w:val="00C17127"/>
    <w:rsid w:val="00C17566"/>
    <w:rsid w:val="00C2133F"/>
    <w:rsid w:val="00C22037"/>
    <w:rsid w:val="00C22787"/>
    <w:rsid w:val="00C23247"/>
    <w:rsid w:val="00C23330"/>
    <w:rsid w:val="00C24DC8"/>
    <w:rsid w:val="00C276A2"/>
    <w:rsid w:val="00C27A16"/>
    <w:rsid w:val="00C30449"/>
    <w:rsid w:val="00C31E4B"/>
    <w:rsid w:val="00C323C0"/>
    <w:rsid w:val="00C32F49"/>
    <w:rsid w:val="00C3367E"/>
    <w:rsid w:val="00C33697"/>
    <w:rsid w:val="00C3386B"/>
    <w:rsid w:val="00C33C82"/>
    <w:rsid w:val="00C33E4A"/>
    <w:rsid w:val="00C349C8"/>
    <w:rsid w:val="00C34D45"/>
    <w:rsid w:val="00C35116"/>
    <w:rsid w:val="00C35BC5"/>
    <w:rsid w:val="00C35DF4"/>
    <w:rsid w:val="00C3637B"/>
    <w:rsid w:val="00C369E4"/>
    <w:rsid w:val="00C37B6D"/>
    <w:rsid w:val="00C37E47"/>
    <w:rsid w:val="00C405F0"/>
    <w:rsid w:val="00C40D2B"/>
    <w:rsid w:val="00C42861"/>
    <w:rsid w:val="00C42E4A"/>
    <w:rsid w:val="00C43B74"/>
    <w:rsid w:val="00C43DF5"/>
    <w:rsid w:val="00C440A8"/>
    <w:rsid w:val="00C4445F"/>
    <w:rsid w:val="00C4448F"/>
    <w:rsid w:val="00C44A50"/>
    <w:rsid w:val="00C45017"/>
    <w:rsid w:val="00C45838"/>
    <w:rsid w:val="00C464BD"/>
    <w:rsid w:val="00C501B3"/>
    <w:rsid w:val="00C501F5"/>
    <w:rsid w:val="00C50382"/>
    <w:rsid w:val="00C51619"/>
    <w:rsid w:val="00C51A83"/>
    <w:rsid w:val="00C52315"/>
    <w:rsid w:val="00C52E9B"/>
    <w:rsid w:val="00C530D5"/>
    <w:rsid w:val="00C538AD"/>
    <w:rsid w:val="00C538FA"/>
    <w:rsid w:val="00C53A05"/>
    <w:rsid w:val="00C53BBD"/>
    <w:rsid w:val="00C53BEF"/>
    <w:rsid w:val="00C53D2D"/>
    <w:rsid w:val="00C540F6"/>
    <w:rsid w:val="00C54D1B"/>
    <w:rsid w:val="00C54DCF"/>
    <w:rsid w:val="00C55C48"/>
    <w:rsid w:val="00C561E8"/>
    <w:rsid w:val="00C56CE1"/>
    <w:rsid w:val="00C60513"/>
    <w:rsid w:val="00C605A8"/>
    <w:rsid w:val="00C6142B"/>
    <w:rsid w:val="00C61CC5"/>
    <w:rsid w:val="00C61ECC"/>
    <w:rsid w:val="00C6270D"/>
    <w:rsid w:val="00C63523"/>
    <w:rsid w:val="00C63745"/>
    <w:rsid w:val="00C63F36"/>
    <w:rsid w:val="00C6403A"/>
    <w:rsid w:val="00C64B70"/>
    <w:rsid w:val="00C65823"/>
    <w:rsid w:val="00C6599C"/>
    <w:rsid w:val="00C6617D"/>
    <w:rsid w:val="00C66276"/>
    <w:rsid w:val="00C66C5E"/>
    <w:rsid w:val="00C66FE7"/>
    <w:rsid w:val="00C67B20"/>
    <w:rsid w:val="00C70B40"/>
    <w:rsid w:val="00C70CB6"/>
    <w:rsid w:val="00C70F04"/>
    <w:rsid w:val="00C715D0"/>
    <w:rsid w:val="00C71E97"/>
    <w:rsid w:val="00C71EDE"/>
    <w:rsid w:val="00C73170"/>
    <w:rsid w:val="00C736FD"/>
    <w:rsid w:val="00C73955"/>
    <w:rsid w:val="00C741E2"/>
    <w:rsid w:val="00C74549"/>
    <w:rsid w:val="00C74E39"/>
    <w:rsid w:val="00C755CD"/>
    <w:rsid w:val="00C759F3"/>
    <w:rsid w:val="00C76402"/>
    <w:rsid w:val="00C7710E"/>
    <w:rsid w:val="00C7741A"/>
    <w:rsid w:val="00C776F1"/>
    <w:rsid w:val="00C779FB"/>
    <w:rsid w:val="00C800BB"/>
    <w:rsid w:val="00C80A59"/>
    <w:rsid w:val="00C80A68"/>
    <w:rsid w:val="00C81042"/>
    <w:rsid w:val="00C81E24"/>
    <w:rsid w:val="00C82249"/>
    <w:rsid w:val="00C82451"/>
    <w:rsid w:val="00C84304"/>
    <w:rsid w:val="00C84D0B"/>
    <w:rsid w:val="00C868B2"/>
    <w:rsid w:val="00C86979"/>
    <w:rsid w:val="00C877C1"/>
    <w:rsid w:val="00C87A86"/>
    <w:rsid w:val="00C908FA"/>
    <w:rsid w:val="00C91015"/>
    <w:rsid w:val="00C91035"/>
    <w:rsid w:val="00C926C5"/>
    <w:rsid w:val="00C926EC"/>
    <w:rsid w:val="00C9270A"/>
    <w:rsid w:val="00C948F7"/>
    <w:rsid w:val="00C95420"/>
    <w:rsid w:val="00C95FD9"/>
    <w:rsid w:val="00C9707B"/>
    <w:rsid w:val="00CA1C6A"/>
    <w:rsid w:val="00CA24BC"/>
    <w:rsid w:val="00CA284A"/>
    <w:rsid w:val="00CA2F19"/>
    <w:rsid w:val="00CA3B61"/>
    <w:rsid w:val="00CA5599"/>
    <w:rsid w:val="00CA58DA"/>
    <w:rsid w:val="00CA5D69"/>
    <w:rsid w:val="00CA62C0"/>
    <w:rsid w:val="00CA6494"/>
    <w:rsid w:val="00CA6B29"/>
    <w:rsid w:val="00CB05F1"/>
    <w:rsid w:val="00CB0815"/>
    <w:rsid w:val="00CB0E78"/>
    <w:rsid w:val="00CB14CE"/>
    <w:rsid w:val="00CB25AF"/>
    <w:rsid w:val="00CB313E"/>
    <w:rsid w:val="00CB41F5"/>
    <w:rsid w:val="00CB4980"/>
    <w:rsid w:val="00CB5693"/>
    <w:rsid w:val="00CB7573"/>
    <w:rsid w:val="00CB78EE"/>
    <w:rsid w:val="00CC0B69"/>
    <w:rsid w:val="00CC0DC0"/>
    <w:rsid w:val="00CC1287"/>
    <w:rsid w:val="00CC1355"/>
    <w:rsid w:val="00CC1478"/>
    <w:rsid w:val="00CC173A"/>
    <w:rsid w:val="00CC1AC6"/>
    <w:rsid w:val="00CC294D"/>
    <w:rsid w:val="00CC2C79"/>
    <w:rsid w:val="00CC3C3B"/>
    <w:rsid w:val="00CC4C87"/>
    <w:rsid w:val="00CC50B6"/>
    <w:rsid w:val="00CC51E1"/>
    <w:rsid w:val="00CC59FC"/>
    <w:rsid w:val="00CC6273"/>
    <w:rsid w:val="00CD2D93"/>
    <w:rsid w:val="00CD3505"/>
    <w:rsid w:val="00CD43EF"/>
    <w:rsid w:val="00CD4E3A"/>
    <w:rsid w:val="00CD50D9"/>
    <w:rsid w:val="00CD56A7"/>
    <w:rsid w:val="00CD5B89"/>
    <w:rsid w:val="00CD6423"/>
    <w:rsid w:val="00CD72CD"/>
    <w:rsid w:val="00CD7385"/>
    <w:rsid w:val="00CD7CA1"/>
    <w:rsid w:val="00CD7E6E"/>
    <w:rsid w:val="00CE08AA"/>
    <w:rsid w:val="00CE1396"/>
    <w:rsid w:val="00CE2647"/>
    <w:rsid w:val="00CE35BA"/>
    <w:rsid w:val="00CE44C3"/>
    <w:rsid w:val="00CE4A0B"/>
    <w:rsid w:val="00CE5CAB"/>
    <w:rsid w:val="00CE6919"/>
    <w:rsid w:val="00CE6BB2"/>
    <w:rsid w:val="00CE73DB"/>
    <w:rsid w:val="00CE7F65"/>
    <w:rsid w:val="00CE7FBF"/>
    <w:rsid w:val="00CF13BF"/>
    <w:rsid w:val="00CF1570"/>
    <w:rsid w:val="00CF23A4"/>
    <w:rsid w:val="00CF2790"/>
    <w:rsid w:val="00CF2E63"/>
    <w:rsid w:val="00CF3EB1"/>
    <w:rsid w:val="00CF40CD"/>
    <w:rsid w:val="00CF43C2"/>
    <w:rsid w:val="00CF43C8"/>
    <w:rsid w:val="00CF5464"/>
    <w:rsid w:val="00CF57D5"/>
    <w:rsid w:val="00CF5C74"/>
    <w:rsid w:val="00CF5CCC"/>
    <w:rsid w:val="00D002BF"/>
    <w:rsid w:val="00D003A0"/>
    <w:rsid w:val="00D00AFE"/>
    <w:rsid w:val="00D012CD"/>
    <w:rsid w:val="00D014C0"/>
    <w:rsid w:val="00D026A7"/>
    <w:rsid w:val="00D02C62"/>
    <w:rsid w:val="00D05160"/>
    <w:rsid w:val="00D05278"/>
    <w:rsid w:val="00D07F47"/>
    <w:rsid w:val="00D10EB4"/>
    <w:rsid w:val="00D11A66"/>
    <w:rsid w:val="00D11E3F"/>
    <w:rsid w:val="00D12637"/>
    <w:rsid w:val="00D12AC2"/>
    <w:rsid w:val="00D12F19"/>
    <w:rsid w:val="00D132AB"/>
    <w:rsid w:val="00D13B1E"/>
    <w:rsid w:val="00D13C55"/>
    <w:rsid w:val="00D1479C"/>
    <w:rsid w:val="00D14E32"/>
    <w:rsid w:val="00D1687A"/>
    <w:rsid w:val="00D17574"/>
    <w:rsid w:val="00D20D8B"/>
    <w:rsid w:val="00D20ED0"/>
    <w:rsid w:val="00D215A6"/>
    <w:rsid w:val="00D217FC"/>
    <w:rsid w:val="00D244FD"/>
    <w:rsid w:val="00D24BD9"/>
    <w:rsid w:val="00D25618"/>
    <w:rsid w:val="00D25712"/>
    <w:rsid w:val="00D25E01"/>
    <w:rsid w:val="00D264A2"/>
    <w:rsid w:val="00D26654"/>
    <w:rsid w:val="00D26C16"/>
    <w:rsid w:val="00D274D5"/>
    <w:rsid w:val="00D276FB"/>
    <w:rsid w:val="00D27ABF"/>
    <w:rsid w:val="00D30882"/>
    <w:rsid w:val="00D3178C"/>
    <w:rsid w:val="00D317F1"/>
    <w:rsid w:val="00D31898"/>
    <w:rsid w:val="00D32455"/>
    <w:rsid w:val="00D32990"/>
    <w:rsid w:val="00D33AA3"/>
    <w:rsid w:val="00D33E42"/>
    <w:rsid w:val="00D34F05"/>
    <w:rsid w:val="00D34F19"/>
    <w:rsid w:val="00D35233"/>
    <w:rsid w:val="00D36126"/>
    <w:rsid w:val="00D37D93"/>
    <w:rsid w:val="00D4070A"/>
    <w:rsid w:val="00D40FA2"/>
    <w:rsid w:val="00D426F3"/>
    <w:rsid w:val="00D42962"/>
    <w:rsid w:val="00D4390A"/>
    <w:rsid w:val="00D44A35"/>
    <w:rsid w:val="00D44E82"/>
    <w:rsid w:val="00D45343"/>
    <w:rsid w:val="00D4534A"/>
    <w:rsid w:val="00D45CBE"/>
    <w:rsid w:val="00D4601C"/>
    <w:rsid w:val="00D46249"/>
    <w:rsid w:val="00D46686"/>
    <w:rsid w:val="00D466F1"/>
    <w:rsid w:val="00D46B7F"/>
    <w:rsid w:val="00D46CF5"/>
    <w:rsid w:val="00D47FD9"/>
    <w:rsid w:val="00D50425"/>
    <w:rsid w:val="00D50C53"/>
    <w:rsid w:val="00D5148A"/>
    <w:rsid w:val="00D52DF2"/>
    <w:rsid w:val="00D535CB"/>
    <w:rsid w:val="00D53700"/>
    <w:rsid w:val="00D537B4"/>
    <w:rsid w:val="00D53915"/>
    <w:rsid w:val="00D53CB9"/>
    <w:rsid w:val="00D53FEB"/>
    <w:rsid w:val="00D54CD6"/>
    <w:rsid w:val="00D55194"/>
    <w:rsid w:val="00D61A70"/>
    <w:rsid w:val="00D61D14"/>
    <w:rsid w:val="00D624B4"/>
    <w:rsid w:val="00D63185"/>
    <w:rsid w:val="00D63331"/>
    <w:rsid w:val="00D64BDB"/>
    <w:rsid w:val="00D64EFE"/>
    <w:rsid w:val="00D65477"/>
    <w:rsid w:val="00D65BF1"/>
    <w:rsid w:val="00D65E53"/>
    <w:rsid w:val="00D65F81"/>
    <w:rsid w:val="00D66C54"/>
    <w:rsid w:val="00D67813"/>
    <w:rsid w:val="00D721FF"/>
    <w:rsid w:val="00D72342"/>
    <w:rsid w:val="00D72811"/>
    <w:rsid w:val="00D73ABD"/>
    <w:rsid w:val="00D7540F"/>
    <w:rsid w:val="00D75DF8"/>
    <w:rsid w:val="00D7633B"/>
    <w:rsid w:val="00D77061"/>
    <w:rsid w:val="00D777E1"/>
    <w:rsid w:val="00D77B86"/>
    <w:rsid w:val="00D77E00"/>
    <w:rsid w:val="00D801EE"/>
    <w:rsid w:val="00D8020A"/>
    <w:rsid w:val="00D8092D"/>
    <w:rsid w:val="00D80CED"/>
    <w:rsid w:val="00D8136E"/>
    <w:rsid w:val="00D81470"/>
    <w:rsid w:val="00D81B6E"/>
    <w:rsid w:val="00D81E2E"/>
    <w:rsid w:val="00D828C6"/>
    <w:rsid w:val="00D83152"/>
    <w:rsid w:val="00D83A41"/>
    <w:rsid w:val="00D8535B"/>
    <w:rsid w:val="00D86093"/>
    <w:rsid w:val="00D86EE9"/>
    <w:rsid w:val="00D87B52"/>
    <w:rsid w:val="00D87C80"/>
    <w:rsid w:val="00D87F5D"/>
    <w:rsid w:val="00D900BD"/>
    <w:rsid w:val="00D907D6"/>
    <w:rsid w:val="00D90DA7"/>
    <w:rsid w:val="00D922DA"/>
    <w:rsid w:val="00D92BFB"/>
    <w:rsid w:val="00D93092"/>
    <w:rsid w:val="00D93856"/>
    <w:rsid w:val="00D94710"/>
    <w:rsid w:val="00D94D2F"/>
    <w:rsid w:val="00D95006"/>
    <w:rsid w:val="00D958B6"/>
    <w:rsid w:val="00D95A4C"/>
    <w:rsid w:val="00D96303"/>
    <w:rsid w:val="00D96A7E"/>
    <w:rsid w:val="00D96F68"/>
    <w:rsid w:val="00D9732B"/>
    <w:rsid w:val="00DA039C"/>
    <w:rsid w:val="00DA0852"/>
    <w:rsid w:val="00DA0D36"/>
    <w:rsid w:val="00DA0E4A"/>
    <w:rsid w:val="00DA11F8"/>
    <w:rsid w:val="00DA30BE"/>
    <w:rsid w:val="00DA39E2"/>
    <w:rsid w:val="00DA4826"/>
    <w:rsid w:val="00DA4F67"/>
    <w:rsid w:val="00DA4FFA"/>
    <w:rsid w:val="00DA55D4"/>
    <w:rsid w:val="00DA5CF4"/>
    <w:rsid w:val="00DA5F7D"/>
    <w:rsid w:val="00DA6053"/>
    <w:rsid w:val="00DA6C19"/>
    <w:rsid w:val="00DB08DB"/>
    <w:rsid w:val="00DB0A39"/>
    <w:rsid w:val="00DB1872"/>
    <w:rsid w:val="00DB2AA5"/>
    <w:rsid w:val="00DB2AAE"/>
    <w:rsid w:val="00DB2F09"/>
    <w:rsid w:val="00DB30AF"/>
    <w:rsid w:val="00DB3B11"/>
    <w:rsid w:val="00DB5150"/>
    <w:rsid w:val="00DB5D33"/>
    <w:rsid w:val="00DB6713"/>
    <w:rsid w:val="00DB730F"/>
    <w:rsid w:val="00DB74AD"/>
    <w:rsid w:val="00DC00C7"/>
    <w:rsid w:val="00DC06CE"/>
    <w:rsid w:val="00DC0E94"/>
    <w:rsid w:val="00DC14AF"/>
    <w:rsid w:val="00DC154A"/>
    <w:rsid w:val="00DC26E7"/>
    <w:rsid w:val="00DC2E74"/>
    <w:rsid w:val="00DC3864"/>
    <w:rsid w:val="00DC3883"/>
    <w:rsid w:val="00DC3CB0"/>
    <w:rsid w:val="00DC3ED5"/>
    <w:rsid w:val="00DC499B"/>
    <w:rsid w:val="00DC4D24"/>
    <w:rsid w:val="00DC52C9"/>
    <w:rsid w:val="00DC5379"/>
    <w:rsid w:val="00DC747E"/>
    <w:rsid w:val="00DC78F9"/>
    <w:rsid w:val="00DC7F0A"/>
    <w:rsid w:val="00DD09E2"/>
    <w:rsid w:val="00DD0EF1"/>
    <w:rsid w:val="00DD1193"/>
    <w:rsid w:val="00DD1276"/>
    <w:rsid w:val="00DD1606"/>
    <w:rsid w:val="00DD2058"/>
    <w:rsid w:val="00DD2775"/>
    <w:rsid w:val="00DD37BB"/>
    <w:rsid w:val="00DD3C83"/>
    <w:rsid w:val="00DD43C1"/>
    <w:rsid w:val="00DD4C00"/>
    <w:rsid w:val="00DD5374"/>
    <w:rsid w:val="00DD562F"/>
    <w:rsid w:val="00DD64AC"/>
    <w:rsid w:val="00DD732A"/>
    <w:rsid w:val="00DE0365"/>
    <w:rsid w:val="00DE086B"/>
    <w:rsid w:val="00DE0C2A"/>
    <w:rsid w:val="00DE1279"/>
    <w:rsid w:val="00DE182B"/>
    <w:rsid w:val="00DE39E4"/>
    <w:rsid w:val="00DE5AC3"/>
    <w:rsid w:val="00DE694A"/>
    <w:rsid w:val="00DE6F2B"/>
    <w:rsid w:val="00DE7705"/>
    <w:rsid w:val="00DF0647"/>
    <w:rsid w:val="00DF142A"/>
    <w:rsid w:val="00DF19A3"/>
    <w:rsid w:val="00DF2550"/>
    <w:rsid w:val="00DF33C4"/>
    <w:rsid w:val="00DF3432"/>
    <w:rsid w:val="00DF4103"/>
    <w:rsid w:val="00DF4115"/>
    <w:rsid w:val="00DF49BA"/>
    <w:rsid w:val="00DF514C"/>
    <w:rsid w:val="00DF5938"/>
    <w:rsid w:val="00DF5B47"/>
    <w:rsid w:val="00DF5E27"/>
    <w:rsid w:val="00DF64C1"/>
    <w:rsid w:val="00DF79DD"/>
    <w:rsid w:val="00E00617"/>
    <w:rsid w:val="00E00817"/>
    <w:rsid w:val="00E016AD"/>
    <w:rsid w:val="00E01E7C"/>
    <w:rsid w:val="00E02119"/>
    <w:rsid w:val="00E029B8"/>
    <w:rsid w:val="00E03169"/>
    <w:rsid w:val="00E03B7C"/>
    <w:rsid w:val="00E03D4E"/>
    <w:rsid w:val="00E05509"/>
    <w:rsid w:val="00E05C7A"/>
    <w:rsid w:val="00E060FF"/>
    <w:rsid w:val="00E0667E"/>
    <w:rsid w:val="00E066B6"/>
    <w:rsid w:val="00E10D4A"/>
    <w:rsid w:val="00E1111D"/>
    <w:rsid w:val="00E11C59"/>
    <w:rsid w:val="00E11DC5"/>
    <w:rsid w:val="00E11E1A"/>
    <w:rsid w:val="00E11F56"/>
    <w:rsid w:val="00E13F8C"/>
    <w:rsid w:val="00E1472C"/>
    <w:rsid w:val="00E15063"/>
    <w:rsid w:val="00E150E6"/>
    <w:rsid w:val="00E151D4"/>
    <w:rsid w:val="00E15806"/>
    <w:rsid w:val="00E17412"/>
    <w:rsid w:val="00E17BAA"/>
    <w:rsid w:val="00E20035"/>
    <w:rsid w:val="00E20113"/>
    <w:rsid w:val="00E206B0"/>
    <w:rsid w:val="00E20B47"/>
    <w:rsid w:val="00E20DB2"/>
    <w:rsid w:val="00E211A3"/>
    <w:rsid w:val="00E21431"/>
    <w:rsid w:val="00E21B51"/>
    <w:rsid w:val="00E23303"/>
    <w:rsid w:val="00E236E1"/>
    <w:rsid w:val="00E23762"/>
    <w:rsid w:val="00E23D04"/>
    <w:rsid w:val="00E240A0"/>
    <w:rsid w:val="00E24241"/>
    <w:rsid w:val="00E24DF7"/>
    <w:rsid w:val="00E253D8"/>
    <w:rsid w:val="00E25516"/>
    <w:rsid w:val="00E258DC"/>
    <w:rsid w:val="00E25C67"/>
    <w:rsid w:val="00E25ED2"/>
    <w:rsid w:val="00E27176"/>
    <w:rsid w:val="00E30166"/>
    <w:rsid w:val="00E301FC"/>
    <w:rsid w:val="00E30BBB"/>
    <w:rsid w:val="00E3224F"/>
    <w:rsid w:val="00E33C88"/>
    <w:rsid w:val="00E33DF4"/>
    <w:rsid w:val="00E34E17"/>
    <w:rsid w:val="00E367A5"/>
    <w:rsid w:val="00E36C0E"/>
    <w:rsid w:val="00E36DDB"/>
    <w:rsid w:val="00E374BD"/>
    <w:rsid w:val="00E37BDC"/>
    <w:rsid w:val="00E400AD"/>
    <w:rsid w:val="00E40D68"/>
    <w:rsid w:val="00E40FCD"/>
    <w:rsid w:val="00E4151D"/>
    <w:rsid w:val="00E41E5B"/>
    <w:rsid w:val="00E4304D"/>
    <w:rsid w:val="00E43154"/>
    <w:rsid w:val="00E43573"/>
    <w:rsid w:val="00E43594"/>
    <w:rsid w:val="00E43B1A"/>
    <w:rsid w:val="00E45662"/>
    <w:rsid w:val="00E45A8A"/>
    <w:rsid w:val="00E45B0E"/>
    <w:rsid w:val="00E462AA"/>
    <w:rsid w:val="00E501CA"/>
    <w:rsid w:val="00E50E8B"/>
    <w:rsid w:val="00E511F2"/>
    <w:rsid w:val="00E51259"/>
    <w:rsid w:val="00E5126D"/>
    <w:rsid w:val="00E51598"/>
    <w:rsid w:val="00E51C63"/>
    <w:rsid w:val="00E5230F"/>
    <w:rsid w:val="00E52541"/>
    <w:rsid w:val="00E52D20"/>
    <w:rsid w:val="00E537CC"/>
    <w:rsid w:val="00E54981"/>
    <w:rsid w:val="00E56F06"/>
    <w:rsid w:val="00E573EB"/>
    <w:rsid w:val="00E57579"/>
    <w:rsid w:val="00E60461"/>
    <w:rsid w:val="00E60545"/>
    <w:rsid w:val="00E625C3"/>
    <w:rsid w:val="00E62A9B"/>
    <w:rsid w:val="00E62AA3"/>
    <w:rsid w:val="00E6317F"/>
    <w:rsid w:val="00E63301"/>
    <w:rsid w:val="00E63374"/>
    <w:rsid w:val="00E63DF3"/>
    <w:rsid w:val="00E63F77"/>
    <w:rsid w:val="00E65992"/>
    <w:rsid w:val="00E65F6B"/>
    <w:rsid w:val="00E6633E"/>
    <w:rsid w:val="00E6682A"/>
    <w:rsid w:val="00E6776A"/>
    <w:rsid w:val="00E70B26"/>
    <w:rsid w:val="00E70DB0"/>
    <w:rsid w:val="00E70EB5"/>
    <w:rsid w:val="00E71059"/>
    <w:rsid w:val="00E71203"/>
    <w:rsid w:val="00E713E8"/>
    <w:rsid w:val="00E7180D"/>
    <w:rsid w:val="00E71965"/>
    <w:rsid w:val="00E73AE6"/>
    <w:rsid w:val="00E74762"/>
    <w:rsid w:val="00E74B03"/>
    <w:rsid w:val="00E74FFF"/>
    <w:rsid w:val="00E751F8"/>
    <w:rsid w:val="00E75548"/>
    <w:rsid w:val="00E75ECE"/>
    <w:rsid w:val="00E76971"/>
    <w:rsid w:val="00E7773B"/>
    <w:rsid w:val="00E80172"/>
    <w:rsid w:val="00E8019C"/>
    <w:rsid w:val="00E8070F"/>
    <w:rsid w:val="00E80E8D"/>
    <w:rsid w:val="00E80F6C"/>
    <w:rsid w:val="00E818F0"/>
    <w:rsid w:val="00E821B3"/>
    <w:rsid w:val="00E822F9"/>
    <w:rsid w:val="00E82FDE"/>
    <w:rsid w:val="00E84126"/>
    <w:rsid w:val="00E84270"/>
    <w:rsid w:val="00E8511D"/>
    <w:rsid w:val="00E858CD"/>
    <w:rsid w:val="00E86029"/>
    <w:rsid w:val="00E86322"/>
    <w:rsid w:val="00E865A3"/>
    <w:rsid w:val="00E86BEE"/>
    <w:rsid w:val="00E87191"/>
    <w:rsid w:val="00E90E25"/>
    <w:rsid w:val="00E922D2"/>
    <w:rsid w:val="00E932C4"/>
    <w:rsid w:val="00E95863"/>
    <w:rsid w:val="00E9660C"/>
    <w:rsid w:val="00E96F4C"/>
    <w:rsid w:val="00E9708E"/>
    <w:rsid w:val="00E979C0"/>
    <w:rsid w:val="00EA0739"/>
    <w:rsid w:val="00EA0E9E"/>
    <w:rsid w:val="00EA1F60"/>
    <w:rsid w:val="00EA2EB2"/>
    <w:rsid w:val="00EA3145"/>
    <w:rsid w:val="00EA3D9B"/>
    <w:rsid w:val="00EA3FBD"/>
    <w:rsid w:val="00EA4017"/>
    <w:rsid w:val="00EA4402"/>
    <w:rsid w:val="00EA491F"/>
    <w:rsid w:val="00EA4D52"/>
    <w:rsid w:val="00EA545F"/>
    <w:rsid w:val="00EA6360"/>
    <w:rsid w:val="00EA669D"/>
    <w:rsid w:val="00EA6D1B"/>
    <w:rsid w:val="00EA6FD2"/>
    <w:rsid w:val="00EA7F43"/>
    <w:rsid w:val="00EB0C67"/>
    <w:rsid w:val="00EB19DD"/>
    <w:rsid w:val="00EB1E5E"/>
    <w:rsid w:val="00EB1E97"/>
    <w:rsid w:val="00EB2C90"/>
    <w:rsid w:val="00EB3E68"/>
    <w:rsid w:val="00EB4A41"/>
    <w:rsid w:val="00EB4CBE"/>
    <w:rsid w:val="00EB5D11"/>
    <w:rsid w:val="00EB69A4"/>
    <w:rsid w:val="00EB6E5A"/>
    <w:rsid w:val="00EB72DF"/>
    <w:rsid w:val="00EB7C1A"/>
    <w:rsid w:val="00EC02B4"/>
    <w:rsid w:val="00EC05B3"/>
    <w:rsid w:val="00EC079F"/>
    <w:rsid w:val="00EC090B"/>
    <w:rsid w:val="00EC0949"/>
    <w:rsid w:val="00EC0C55"/>
    <w:rsid w:val="00EC21D3"/>
    <w:rsid w:val="00EC27E3"/>
    <w:rsid w:val="00EC2DB2"/>
    <w:rsid w:val="00EC38D3"/>
    <w:rsid w:val="00EC42CC"/>
    <w:rsid w:val="00EC4742"/>
    <w:rsid w:val="00EC49F1"/>
    <w:rsid w:val="00EC4EF4"/>
    <w:rsid w:val="00EC580E"/>
    <w:rsid w:val="00EC589F"/>
    <w:rsid w:val="00EC5A75"/>
    <w:rsid w:val="00EC5BCD"/>
    <w:rsid w:val="00EC60A0"/>
    <w:rsid w:val="00EC6246"/>
    <w:rsid w:val="00EC6716"/>
    <w:rsid w:val="00EC6A1B"/>
    <w:rsid w:val="00EC6C88"/>
    <w:rsid w:val="00EC737D"/>
    <w:rsid w:val="00ED0170"/>
    <w:rsid w:val="00ED254F"/>
    <w:rsid w:val="00ED28C0"/>
    <w:rsid w:val="00ED2B36"/>
    <w:rsid w:val="00ED2B3B"/>
    <w:rsid w:val="00ED45FE"/>
    <w:rsid w:val="00ED4707"/>
    <w:rsid w:val="00ED4A8C"/>
    <w:rsid w:val="00ED4AED"/>
    <w:rsid w:val="00ED5725"/>
    <w:rsid w:val="00EE1972"/>
    <w:rsid w:val="00EE2030"/>
    <w:rsid w:val="00EE3073"/>
    <w:rsid w:val="00EE3D96"/>
    <w:rsid w:val="00EE48A5"/>
    <w:rsid w:val="00EE4DD4"/>
    <w:rsid w:val="00EE54C7"/>
    <w:rsid w:val="00EE5566"/>
    <w:rsid w:val="00EE55F4"/>
    <w:rsid w:val="00EE583B"/>
    <w:rsid w:val="00EE599A"/>
    <w:rsid w:val="00EE5FD9"/>
    <w:rsid w:val="00EE6906"/>
    <w:rsid w:val="00EE6A16"/>
    <w:rsid w:val="00EE7944"/>
    <w:rsid w:val="00EE7CCF"/>
    <w:rsid w:val="00EE7F8C"/>
    <w:rsid w:val="00EF0146"/>
    <w:rsid w:val="00EF0825"/>
    <w:rsid w:val="00EF148F"/>
    <w:rsid w:val="00EF1793"/>
    <w:rsid w:val="00EF3836"/>
    <w:rsid w:val="00EF3C58"/>
    <w:rsid w:val="00EF4FCC"/>
    <w:rsid w:val="00EF5530"/>
    <w:rsid w:val="00EF57C2"/>
    <w:rsid w:val="00EF7EAF"/>
    <w:rsid w:val="00F014D0"/>
    <w:rsid w:val="00F01738"/>
    <w:rsid w:val="00F019EC"/>
    <w:rsid w:val="00F01C21"/>
    <w:rsid w:val="00F02365"/>
    <w:rsid w:val="00F030BC"/>
    <w:rsid w:val="00F03A87"/>
    <w:rsid w:val="00F03CD2"/>
    <w:rsid w:val="00F03FAE"/>
    <w:rsid w:val="00F040F6"/>
    <w:rsid w:val="00F0451B"/>
    <w:rsid w:val="00F048C4"/>
    <w:rsid w:val="00F04A75"/>
    <w:rsid w:val="00F04D22"/>
    <w:rsid w:val="00F051B9"/>
    <w:rsid w:val="00F05A38"/>
    <w:rsid w:val="00F0745A"/>
    <w:rsid w:val="00F07A63"/>
    <w:rsid w:val="00F1141A"/>
    <w:rsid w:val="00F12AC7"/>
    <w:rsid w:val="00F15968"/>
    <w:rsid w:val="00F15F9F"/>
    <w:rsid w:val="00F17EAF"/>
    <w:rsid w:val="00F209BF"/>
    <w:rsid w:val="00F21223"/>
    <w:rsid w:val="00F212CE"/>
    <w:rsid w:val="00F21E76"/>
    <w:rsid w:val="00F231FF"/>
    <w:rsid w:val="00F23367"/>
    <w:rsid w:val="00F234F0"/>
    <w:rsid w:val="00F23B76"/>
    <w:rsid w:val="00F23E93"/>
    <w:rsid w:val="00F24779"/>
    <w:rsid w:val="00F24DA5"/>
    <w:rsid w:val="00F251A0"/>
    <w:rsid w:val="00F25397"/>
    <w:rsid w:val="00F25B3E"/>
    <w:rsid w:val="00F26908"/>
    <w:rsid w:val="00F26A3E"/>
    <w:rsid w:val="00F270B9"/>
    <w:rsid w:val="00F270C0"/>
    <w:rsid w:val="00F30130"/>
    <w:rsid w:val="00F307F9"/>
    <w:rsid w:val="00F30C70"/>
    <w:rsid w:val="00F30DDC"/>
    <w:rsid w:val="00F30E55"/>
    <w:rsid w:val="00F310A6"/>
    <w:rsid w:val="00F317F3"/>
    <w:rsid w:val="00F31BE9"/>
    <w:rsid w:val="00F32B62"/>
    <w:rsid w:val="00F33B30"/>
    <w:rsid w:val="00F34870"/>
    <w:rsid w:val="00F35141"/>
    <w:rsid w:val="00F353A9"/>
    <w:rsid w:val="00F36043"/>
    <w:rsid w:val="00F36273"/>
    <w:rsid w:val="00F375A4"/>
    <w:rsid w:val="00F375A6"/>
    <w:rsid w:val="00F37C78"/>
    <w:rsid w:val="00F40356"/>
    <w:rsid w:val="00F40B32"/>
    <w:rsid w:val="00F40FFC"/>
    <w:rsid w:val="00F41A3C"/>
    <w:rsid w:val="00F42278"/>
    <w:rsid w:val="00F424B1"/>
    <w:rsid w:val="00F425C4"/>
    <w:rsid w:val="00F429C2"/>
    <w:rsid w:val="00F42D72"/>
    <w:rsid w:val="00F42F5B"/>
    <w:rsid w:val="00F438A0"/>
    <w:rsid w:val="00F43BBD"/>
    <w:rsid w:val="00F44AAE"/>
    <w:rsid w:val="00F4533E"/>
    <w:rsid w:val="00F45517"/>
    <w:rsid w:val="00F46939"/>
    <w:rsid w:val="00F47B57"/>
    <w:rsid w:val="00F47D0E"/>
    <w:rsid w:val="00F50CC1"/>
    <w:rsid w:val="00F51AA0"/>
    <w:rsid w:val="00F52BEF"/>
    <w:rsid w:val="00F52E6A"/>
    <w:rsid w:val="00F53C1E"/>
    <w:rsid w:val="00F55442"/>
    <w:rsid w:val="00F55BBB"/>
    <w:rsid w:val="00F55FF8"/>
    <w:rsid w:val="00F56547"/>
    <w:rsid w:val="00F56564"/>
    <w:rsid w:val="00F567D7"/>
    <w:rsid w:val="00F56F6E"/>
    <w:rsid w:val="00F607D5"/>
    <w:rsid w:val="00F60F8B"/>
    <w:rsid w:val="00F61187"/>
    <w:rsid w:val="00F61402"/>
    <w:rsid w:val="00F618B2"/>
    <w:rsid w:val="00F61CF3"/>
    <w:rsid w:val="00F6240C"/>
    <w:rsid w:val="00F626FF"/>
    <w:rsid w:val="00F62EFE"/>
    <w:rsid w:val="00F643DE"/>
    <w:rsid w:val="00F645FF"/>
    <w:rsid w:val="00F6612A"/>
    <w:rsid w:val="00F6685E"/>
    <w:rsid w:val="00F66A30"/>
    <w:rsid w:val="00F67426"/>
    <w:rsid w:val="00F67B0F"/>
    <w:rsid w:val="00F67ECD"/>
    <w:rsid w:val="00F7130C"/>
    <w:rsid w:val="00F72162"/>
    <w:rsid w:val="00F7216F"/>
    <w:rsid w:val="00F724B1"/>
    <w:rsid w:val="00F72CCC"/>
    <w:rsid w:val="00F73703"/>
    <w:rsid w:val="00F75089"/>
    <w:rsid w:val="00F750A1"/>
    <w:rsid w:val="00F75888"/>
    <w:rsid w:val="00F75F8B"/>
    <w:rsid w:val="00F7678B"/>
    <w:rsid w:val="00F76C08"/>
    <w:rsid w:val="00F77279"/>
    <w:rsid w:val="00F77FEC"/>
    <w:rsid w:val="00F80593"/>
    <w:rsid w:val="00F8146F"/>
    <w:rsid w:val="00F81B83"/>
    <w:rsid w:val="00F84995"/>
    <w:rsid w:val="00F855BF"/>
    <w:rsid w:val="00F86190"/>
    <w:rsid w:val="00F865E3"/>
    <w:rsid w:val="00F87807"/>
    <w:rsid w:val="00F878D9"/>
    <w:rsid w:val="00F87E5B"/>
    <w:rsid w:val="00F90507"/>
    <w:rsid w:val="00F90782"/>
    <w:rsid w:val="00F90E85"/>
    <w:rsid w:val="00F90E94"/>
    <w:rsid w:val="00F927F0"/>
    <w:rsid w:val="00F92D96"/>
    <w:rsid w:val="00F93BA7"/>
    <w:rsid w:val="00F93F6F"/>
    <w:rsid w:val="00F9469B"/>
    <w:rsid w:val="00F959FE"/>
    <w:rsid w:val="00F95FE9"/>
    <w:rsid w:val="00F9612B"/>
    <w:rsid w:val="00F9619E"/>
    <w:rsid w:val="00F9677B"/>
    <w:rsid w:val="00F96E8A"/>
    <w:rsid w:val="00F970FF"/>
    <w:rsid w:val="00F97380"/>
    <w:rsid w:val="00FA00AD"/>
    <w:rsid w:val="00FA0701"/>
    <w:rsid w:val="00FA0DD3"/>
    <w:rsid w:val="00FA1606"/>
    <w:rsid w:val="00FA1760"/>
    <w:rsid w:val="00FA2B1E"/>
    <w:rsid w:val="00FA364C"/>
    <w:rsid w:val="00FA36CD"/>
    <w:rsid w:val="00FA3802"/>
    <w:rsid w:val="00FA38F1"/>
    <w:rsid w:val="00FA52CD"/>
    <w:rsid w:val="00FA5C93"/>
    <w:rsid w:val="00FA7003"/>
    <w:rsid w:val="00FB08E5"/>
    <w:rsid w:val="00FB18E1"/>
    <w:rsid w:val="00FB26E7"/>
    <w:rsid w:val="00FB284C"/>
    <w:rsid w:val="00FB2891"/>
    <w:rsid w:val="00FB2A2E"/>
    <w:rsid w:val="00FB2CEE"/>
    <w:rsid w:val="00FB32F4"/>
    <w:rsid w:val="00FB473C"/>
    <w:rsid w:val="00FB5E1B"/>
    <w:rsid w:val="00FB613E"/>
    <w:rsid w:val="00FB6DB5"/>
    <w:rsid w:val="00FB728A"/>
    <w:rsid w:val="00FB7D69"/>
    <w:rsid w:val="00FC006C"/>
    <w:rsid w:val="00FC01E9"/>
    <w:rsid w:val="00FC082D"/>
    <w:rsid w:val="00FC0EB8"/>
    <w:rsid w:val="00FC0EE8"/>
    <w:rsid w:val="00FC138B"/>
    <w:rsid w:val="00FC23FF"/>
    <w:rsid w:val="00FC3F6C"/>
    <w:rsid w:val="00FC4BA5"/>
    <w:rsid w:val="00FC4DEA"/>
    <w:rsid w:val="00FC53FE"/>
    <w:rsid w:val="00FC6061"/>
    <w:rsid w:val="00FC63FD"/>
    <w:rsid w:val="00FC6816"/>
    <w:rsid w:val="00FD02BC"/>
    <w:rsid w:val="00FD1565"/>
    <w:rsid w:val="00FD1662"/>
    <w:rsid w:val="00FD16D6"/>
    <w:rsid w:val="00FD1863"/>
    <w:rsid w:val="00FD2998"/>
    <w:rsid w:val="00FD368E"/>
    <w:rsid w:val="00FD3708"/>
    <w:rsid w:val="00FD3A6C"/>
    <w:rsid w:val="00FD3FB5"/>
    <w:rsid w:val="00FD58A7"/>
    <w:rsid w:val="00FD5C23"/>
    <w:rsid w:val="00FD5EEF"/>
    <w:rsid w:val="00FD6B09"/>
    <w:rsid w:val="00FD779F"/>
    <w:rsid w:val="00FD7B6D"/>
    <w:rsid w:val="00FD7DEA"/>
    <w:rsid w:val="00FD7ED4"/>
    <w:rsid w:val="00FE09D2"/>
    <w:rsid w:val="00FE15CD"/>
    <w:rsid w:val="00FE24B4"/>
    <w:rsid w:val="00FE2540"/>
    <w:rsid w:val="00FE2552"/>
    <w:rsid w:val="00FE31E6"/>
    <w:rsid w:val="00FE3727"/>
    <w:rsid w:val="00FE3D6F"/>
    <w:rsid w:val="00FE438F"/>
    <w:rsid w:val="00FE46AD"/>
    <w:rsid w:val="00FE49F7"/>
    <w:rsid w:val="00FE4DDF"/>
    <w:rsid w:val="00FE65EE"/>
    <w:rsid w:val="00FE6BAD"/>
    <w:rsid w:val="00FE7210"/>
    <w:rsid w:val="00FE7678"/>
    <w:rsid w:val="00FE7783"/>
    <w:rsid w:val="00FF072E"/>
    <w:rsid w:val="00FF0DCC"/>
    <w:rsid w:val="00FF147D"/>
    <w:rsid w:val="00FF16D6"/>
    <w:rsid w:val="00FF3148"/>
    <w:rsid w:val="00FF344D"/>
    <w:rsid w:val="00FF48C6"/>
    <w:rsid w:val="00FF48E8"/>
    <w:rsid w:val="00FF50CA"/>
    <w:rsid w:val="00FF5401"/>
    <w:rsid w:val="00FF5A57"/>
    <w:rsid w:val="00FF6734"/>
    <w:rsid w:val="00FF77D0"/>
    <w:rsid w:val="00FF7E07"/>
    <w:rsid w:val="00FF7E5C"/>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0F3B8C7"/>
  <w15:docId w15:val="{2E14A28C-4841-40F4-9A1D-2B1AD0261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F50CC1"/>
    <w:pPr>
      <w:spacing w:after="200" w:line="276" w:lineRule="auto"/>
    </w:pPr>
    <w:rPr>
      <w:rFonts w:ascii="Arial Narrow" w:hAnsi="Arial Narrow"/>
      <w:sz w:val="22"/>
      <w:szCs w:val="22"/>
      <w:lang w:eastAsia="en-US"/>
    </w:rPr>
  </w:style>
  <w:style w:type="paragraph" w:styleId="Titolo1">
    <w:name w:val="heading 1"/>
    <w:basedOn w:val="Normale"/>
    <w:next w:val="Normale"/>
    <w:link w:val="Titolo1Carattere"/>
    <w:uiPriority w:val="9"/>
    <w:qFormat/>
    <w:rsid w:val="005D2FA2"/>
    <w:pPr>
      <w:keepNext/>
      <w:spacing w:before="240" w:after="60"/>
      <w:outlineLvl w:val="0"/>
    </w:pPr>
    <w:rPr>
      <w:rFonts w:eastAsia="Times New Roman"/>
      <w:b/>
      <w:bCs/>
      <w:kern w:val="32"/>
      <w:sz w:val="36"/>
      <w:szCs w:val="32"/>
    </w:rPr>
  </w:style>
  <w:style w:type="paragraph" w:styleId="Titolo2">
    <w:name w:val="heading 2"/>
    <w:basedOn w:val="Normale"/>
    <w:next w:val="Normale"/>
    <w:link w:val="Titolo2Carattere"/>
    <w:uiPriority w:val="9"/>
    <w:unhideWhenUsed/>
    <w:qFormat/>
    <w:rsid w:val="00F50CC1"/>
    <w:pPr>
      <w:keepNext/>
      <w:spacing w:before="240" w:after="60"/>
      <w:ind w:left="708"/>
      <w:outlineLvl w:val="1"/>
    </w:pPr>
    <w:rPr>
      <w:rFonts w:eastAsia="Times New Roman"/>
      <w:b/>
      <w:bCs/>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FB6DB5"/>
    <w:pPr>
      <w:autoSpaceDE w:val="0"/>
      <w:autoSpaceDN w:val="0"/>
      <w:adjustRightInd w:val="0"/>
    </w:pPr>
    <w:rPr>
      <w:rFonts w:cs="Calibri"/>
      <w:color w:val="000000"/>
      <w:sz w:val="24"/>
      <w:szCs w:val="24"/>
      <w:lang w:eastAsia="en-US"/>
    </w:rPr>
  </w:style>
  <w:style w:type="paragraph" w:styleId="Intestazione">
    <w:name w:val="header"/>
    <w:basedOn w:val="Normale"/>
    <w:link w:val="IntestazioneCarattere"/>
    <w:uiPriority w:val="99"/>
    <w:unhideWhenUsed/>
    <w:rsid w:val="00FB6DB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B6DB5"/>
  </w:style>
  <w:style w:type="paragraph" w:styleId="Pidipagina">
    <w:name w:val="footer"/>
    <w:basedOn w:val="Normale"/>
    <w:link w:val="PidipaginaCarattere"/>
    <w:uiPriority w:val="99"/>
    <w:unhideWhenUsed/>
    <w:rsid w:val="00FB6DB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B6DB5"/>
  </w:style>
  <w:style w:type="paragraph" w:styleId="Testofumetto">
    <w:name w:val="Balloon Text"/>
    <w:basedOn w:val="Normale"/>
    <w:link w:val="TestofumettoCarattere"/>
    <w:uiPriority w:val="99"/>
    <w:semiHidden/>
    <w:unhideWhenUsed/>
    <w:rsid w:val="00FB6DB5"/>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FB6DB5"/>
    <w:rPr>
      <w:rFonts w:ascii="Tahoma" w:hAnsi="Tahoma" w:cs="Tahoma"/>
      <w:sz w:val="16"/>
      <w:szCs w:val="16"/>
    </w:rPr>
  </w:style>
  <w:style w:type="table" w:styleId="Grigliatabella">
    <w:name w:val="Table Grid"/>
    <w:basedOn w:val="Tabellanormale"/>
    <w:uiPriority w:val="59"/>
    <w:rsid w:val="00272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1Carattere">
    <w:name w:val="Titolo 1 Carattere"/>
    <w:link w:val="Titolo1"/>
    <w:uiPriority w:val="9"/>
    <w:rsid w:val="005D2FA2"/>
    <w:rPr>
      <w:rFonts w:ascii="Arial Narrow" w:eastAsia="Times New Roman" w:hAnsi="Arial Narrow" w:cs="Times New Roman"/>
      <w:b/>
      <w:bCs/>
      <w:kern w:val="32"/>
      <w:sz w:val="36"/>
      <w:szCs w:val="32"/>
      <w:lang w:eastAsia="en-US"/>
    </w:rPr>
  </w:style>
  <w:style w:type="paragraph" w:styleId="Testonotadichiusura">
    <w:name w:val="endnote text"/>
    <w:basedOn w:val="Normale"/>
    <w:link w:val="TestonotadichiusuraCarattere"/>
    <w:uiPriority w:val="99"/>
    <w:semiHidden/>
    <w:unhideWhenUsed/>
    <w:rsid w:val="00F50CC1"/>
    <w:rPr>
      <w:sz w:val="20"/>
      <w:szCs w:val="20"/>
    </w:rPr>
  </w:style>
  <w:style w:type="character" w:customStyle="1" w:styleId="TestonotadichiusuraCarattere">
    <w:name w:val="Testo nota di chiusura Carattere"/>
    <w:link w:val="Testonotadichiusura"/>
    <w:uiPriority w:val="99"/>
    <w:semiHidden/>
    <w:rsid w:val="00F50CC1"/>
    <w:rPr>
      <w:rFonts w:ascii="Arial Narrow" w:hAnsi="Arial Narrow"/>
      <w:lang w:eastAsia="en-US"/>
    </w:rPr>
  </w:style>
  <w:style w:type="character" w:styleId="Rimandonotadichiusura">
    <w:name w:val="endnote reference"/>
    <w:uiPriority w:val="99"/>
    <w:semiHidden/>
    <w:unhideWhenUsed/>
    <w:rsid w:val="00F50CC1"/>
    <w:rPr>
      <w:vertAlign w:val="superscript"/>
    </w:rPr>
  </w:style>
  <w:style w:type="paragraph" w:styleId="Testonotaapidipagina">
    <w:name w:val="footnote text"/>
    <w:aliases w:val="Znak,Footnote Text Char1 Char Char,Footnote Text Char Char Char Char,Footnote Text Char Char Char Char Char Char Char Char,Footnote Text Char Char1,Schriftart: 9 pt,f,Testo nota a piè di pagina Carattere1 Carattere"/>
    <w:basedOn w:val="Normale"/>
    <w:link w:val="TestonotaapidipaginaCarattere"/>
    <w:unhideWhenUsed/>
    <w:rsid w:val="00F50CC1"/>
    <w:rPr>
      <w:sz w:val="20"/>
      <w:szCs w:val="20"/>
    </w:rPr>
  </w:style>
  <w:style w:type="character" w:customStyle="1" w:styleId="TestonotaapidipaginaCarattere">
    <w:name w:val="Testo nota a piè di pagina Carattere"/>
    <w:aliases w:val="Znak Carattere,Footnote Text Char1 Char Char Carattere,Footnote Text Char Char Char Char Carattere,Footnote Text Char Char Char Char Char Char Char Char Carattere,Footnote Text Char Char1 Carattere,f Carattere"/>
    <w:link w:val="Testonotaapidipagina"/>
    <w:rsid w:val="00F50CC1"/>
    <w:rPr>
      <w:rFonts w:ascii="Arial Narrow" w:hAnsi="Arial Narrow"/>
      <w:lang w:eastAsia="en-US"/>
    </w:rPr>
  </w:style>
  <w:style w:type="character" w:styleId="Rimandonotaapidipagina">
    <w:name w:val="footnote reference"/>
    <w:aliases w:val="Rimando nota a piè di pagina 2,Ref,de nota al pie,Footnote,Footnote number,Footnote symbol,Footnote Reference Number,Footnote reference number,Times 10 Point,Exposant 3 Point,Footnote Reference Superscript,note TESI,SUPERS"/>
    <w:unhideWhenUsed/>
    <w:qFormat/>
    <w:rsid w:val="001D2AC4"/>
    <w:rPr>
      <w:rFonts w:ascii="Segoe UI" w:hAnsi="Segoe UI"/>
      <w:b w:val="0"/>
      <w:i w:val="0"/>
      <w:sz w:val="20"/>
      <w:vertAlign w:val="superscript"/>
    </w:rPr>
  </w:style>
  <w:style w:type="character" w:customStyle="1" w:styleId="Titolo2Carattere">
    <w:name w:val="Titolo 2 Carattere"/>
    <w:link w:val="Titolo2"/>
    <w:uiPriority w:val="9"/>
    <w:rsid w:val="00F50CC1"/>
    <w:rPr>
      <w:rFonts w:ascii="Arial Narrow" w:eastAsia="Times New Roman" w:hAnsi="Arial Narrow" w:cs="Times New Roman"/>
      <w:b/>
      <w:bCs/>
      <w:iCs/>
      <w:sz w:val="28"/>
      <w:szCs w:val="28"/>
      <w:lang w:eastAsia="en-US"/>
    </w:rPr>
  </w:style>
  <w:style w:type="paragraph" w:styleId="Titolosommario">
    <w:name w:val="TOC Heading"/>
    <w:basedOn w:val="Titolo1"/>
    <w:next w:val="Normale"/>
    <w:uiPriority w:val="39"/>
    <w:unhideWhenUsed/>
    <w:qFormat/>
    <w:rsid w:val="00BB3209"/>
    <w:pPr>
      <w:keepLines/>
      <w:spacing w:after="0" w:line="259" w:lineRule="auto"/>
      <w:outlineLvl w:val="9"/>
    </w:pPr>
    <w:rPr>
      <w:rFonts w:ascii="Calibri Light" w:hAnsi="Calibri Light"/>
      <w:b w:val="0"/>
      <w:bCs w:val="0"/>
      <w:color w:val="2E74B5"/>
      <w:kern w:val="0"/>
      <w:sz w:val="32"/>
      <w:lang w:eastAsia="it-IT"/>
    </w:rPr>
  </w:style>
  <w:style w:type="paragraph" w:styleId="Sommario1">
    <w:name w:val="toc 1"/>
    <w:basedOn w:val="Normale"/>
    <w:next w:val="Normale"/>
    <w:autoRedefine/>
    <w:uiPriority w:val="39"/>
    <w:unhideWhenUsed/>
    <w:rsid w:val="006D58CC"/>
    <w:pPr>
      <w:tabs>
        <w:tab w:val="left" w:pos="284"/>
        <w:tab w:val="right" w:leader="dot" w:pos="9628"/>
      </w:tabs>
      <w:spacing w:before="100" w:after="40" w:line="240" w:lineRule="auto"/>
      <w:ind w:left="284" w:hanging="284"/>
    </w:pPr>
  </w:style>
  <w:style w:type="paragraph" w:styleId="Sommario2">
    <w:name w:val="toc 2"/>
    <w:basedOn w:val="Normale"/>
    <w:next w:val="Normale"/>
    <w:autoRedefine/>
    <w:uiPriority w:val="39"/>
    <w:unhideWhenUsed/>
    <w:rsid w:val="00E75ECE"/>
    <w:pPr>
      <w:tabs>
        <w:tab w:val="left" w:pos="709"/>
        <w:tab w:val="right" w:leader="dot" w:pos="9628"/>
      </w:tabs>
      <w:spacing w:after="0" w:line="240" w:lineRule="auto"/>
      <w:ind w:left="709" w:hanging="425"/>
    </w:pPr>
  </w:style>
  <w:style w:type="character" w:styleId="Collegamentoipertestuale">
    <w:name w:val="Hyperlink"/>
    <w:uiPriority w:val="99"/>
    <w:unhideWhenUsed/>
    <w:rsid w:val="00BB3209"/>
    <w:rPr>
      <w:color w:val="0563C1"/>
      <w:u w:val="single"/>
    </w:rPr>
  </w:style>
  <w:style w:type="paragraph" w:styleId="Nessunaspaziatura">
    <w:name w:val="No Spacing"/>
    <w:link w:val="NessunaspaziaturaCarattere"/>
    <w:uiPriority w:val="99"/>
    <w:qFormat/>
    <w:rsid w:val="00B476B8"/>
    <w:rPr>
      <w:rFonts w:eastAsia="Times New Roman"/>
      <w:sz w:val="22"/>
      <w:szCs w:val="22"/>
      <w:lang w:val="en-US" w:eastAsia="zh-CN"/>
    </w:rPr>
  </w:style>
  <w:style w:type="character" w:customStyle="1" w:styleId="NessunaspaziaturaCarattere">
    <w:name w:val="Nessuna spaziatura Carattere"/>
    <w:link w:val="Nessunaspaziatura"/>
    <w:uiPriority w:val="99"/>
    <w:rsid w:val="00B476B8"/>
    <w:rPr>
      <w:rFonts w:eastAsia="Times New Roman"/>
      <w:sz w:val="22"/>
      <w:szCs w:val="22"/>
      <w:lang w:val="en-US" w:eastAsia="zh-CN"/>
    </w:rPr>
  </w:style>
  <w:style w:type="paragraph" w:styleId="NormaleWeb">
    <w:name w:val="Normal (Web)"/>
    <w:basedOn w:val="Normale"/>
    <w:uiPriority w:val="99"/>
    <w:rsid w:val="000D5654"/>
    <w:pPr>
      <w:spacing w:before="100" w:beforeAutospacing="1" w:after="100" w:afterAutospacing="1" w:line="240" w:lineRule="auto"/>
    </w:pPr>
    <w:rPr>
      <w:rFonts w:ascii="Verdana" w:eastAsia="Times New Roman" w:hAnsi="Verdana"/>
      <w:sz w:val="20"/>
      <w:szCs w:val="20"/>
      <w:lang w:eastAsia="it-IT"/>
    </w:rPr>
  </w:style>
  <w:style w:type="paragraph" w:styleId="Paragrafoelenco">
    <w:name w:val="List Paragraph"/>
    <w:basedOn w:val="Normale"/>
    <w:uiPriority w:val="34"/>
    <w:qFormat/>
    <w:rsid w:val="000D5654"/>
    <w:pPr>
      <w:ind w:left="720"/>
      <w:contextualSpacing/>
    </w:pPr>
    <w:rPr>
      <w:rFonts w:ascii="Calibri" w:hAnsi="Calibri"/>
    </w:rPr>
  </w:style>
  <w:style w:type="character" w:styleId="Enfasiintensa">
    <w:name w:val="Intense Emphasis"/>
    <w:basedOn w:val="Carpredefinitoparagrafo"/>
    <w:uiPriority w:val="21"/>
    <w:qFormat/>
    <w:rsid w:val="00E84270"/>
    <w:rPr>
      <w:b/>
      <w:bCs/>
      <w:i/>
      <w:iCs/>
      <w:color w:val="5B9BD5" w:themeColor="accent1"/>
    </w:rPr>
  </w:style>
  <w:style w:type="paragraph" w:customStyle="1" w:styleId="Titolo211ptNonGrassettoMaiuscolettoGiustificato">
    <w:name w:val="Titolo 2 + 11 pt Non Grassetto Maiuscoletto Giustificato"/>
    <w:basedOn w:val="Titolo1"/>
    <w:rsid w:val="00E84270"/>
    <w:pPr>
      <w:spacing w:before="0" w:after="480" w:line="240" w:lineRule="auto"/>
      <w:contextualSpacing/>
      <w:jc w:val="both"/>
    </w:pPr>
    <w:rPr>
      <w:rFonts w:ascii="Times New Roman" w:hAnsi="Times New Roman"/>
      <w:b w:val="0"/>
      <w:bCs w:val="0"/>
      <w:smallCaps/>
      <w:kern w:val="0"/>
      <w:sz w:val="22"/>
      <w:szCs w:val="20"/>
      <w:lang w:val="en-US" w:eastAsia="it-IT"/>
    </w:rPr>
  </w:style>
  <w:style w:type="paragraph" w:customStyle="1" w:styleId="T1">
    <w:name w:val="§T1"/>
    <w:rsid w:val="00E84270"/>
    <w:pPr>
      <w:shd w:val="clear" w:color="auto" w:fill="D9D9D9"/>
      <w:spacing w:before="120" w:after="120" w:line="360" w:lineRule="auto"/>
    </w:pPr>
    <w:rPr>
      <w:rFonts w:ascii="Times New Roman" w:eastAsia="Times New Roman" w:hAnsi="Times New Roman"/>
      <w:lang w:val="en-US" w:eastAsia="en-US"/>
    </w:rPr>
  </w:style>
  <w:style w:type="paragraph" w:customStyle="1" w:styleId="TB">
    <w:name w:val="§TB"/>
    <w:basedOn w:val="Normale"/>
    <w:rsid w:val="00E84270"/>
    <w:pPr>
      <w:shd w:val="clear" w:color="auto" w:fill="F3F3F3"/>
      <w:spacing w:before="60" w:after="60" w:line="360" w:lineRule="auto"/>
    </w:pPr>
    <w:rPr>
      <w:rFonts w:ascii="Times New Roman" w:eastAsia="Times New Roman" w:hAnsi="Times New Roman"/>
      <w:sz w:val="20"/>
      <w:szCs w:val="20"/>
      <w:lang w:val="en-US"/>
    </w:rPr>
  </w:style>
  <w:style w:type="paragraph" w:customStyle="1" w:styleId="TT">
    <w:name w:val="§TT"/>
    <w:basedOn w:val="Normale"/>
    <w:rsid w:val="00E84270"/>
    <w:pPr>
      <w:spacing w:before="160" w:after="160" w:line="360" w:lineRule="auto"/>
      <w:ind w:left="113"/>
    </w:pPr>
    <w:rPr>
      <w:rFonts w:ascii="Times New Roman" w:eastAsia="Times New Roman" w:hAnsi="Times New Roman"/>
      <w:sz w:val="20"/>
      <w:szCs w:val="20"/>
      <w:lang w:val="en-GB" w:eastAsia="de-DE"/>
    </w:rPr>
  </w:style>
  <w:style w:type="character" w:styleId="Collegamentovisitato">
    <w:name w:val="FollowedHyperlink"/>
    <w:basedOn w:val="Carpredefinitoparagrafo"/>
    <w:uiPriority w:val="99"/>
    <w:semiHidden/>
    <w:unhideWhenUsed/>
    <w:rsid w:val="00E84270"/>
    <w:rPr>
      <w:color w:val="954F72" w:themeColor="followedHyperlink"/>
      <w:u w:val="single"/>
    </w:rPr>
  </w:style>
  <w:style w:type="paragraph" w:styleId="Sottotitolo">
    <w:name w:val="Subtitle"/>
    <w:basedOn w:val="Normale"/>
    <w:next w:val="Normale"/>
    <w:link w:val="SottotitoloCarattere"/>
    <w:uiPriority w:val="11"/>
    <w:qFormat/>
    <w:rsid w:val="00E84270"/>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ottotitoloCarattere">
    <w:name w:val="Sottotitolo Carattere"/>
    <w:basedOn w:val="Carpredefinitoparagrafo"/>
    <w:link w:val="Sottotitolo"/>
    <w:uiPriority w:val="11"/>
    <w:rsid w:val="00E84270"/>
    <w:rPr>
      <w:rFonts w:asciiTheme="majorHAnsi" w:eastAsiaTheme="majorEastAsia" w:hAnsiTheme="majorHAnsi" w:cstheme="majorBidi"/>
      <w:i/>
      <w:iCs/>
      <w:color w:val="5B9BD5" w:themeColor="accent1"/>
      <w:spacing w:val="15"/>
      <w:sz w:val="24"/>
      <w:szCs w:val="24"/>
      <w:lang w:eastAsia="en-US"/>
    </w:rPr>
  </w:style>
  <w:style w:type="paragraph" w:styleId="Corpodeltesto3">
    <w:name w:val="Body Text 3"/>
    <w:basedOn w:val="Normale"/>
    <w:link w:val="Corpodeltesto3Carattere"/>
    <w:rsid w:val="00E84270"/>
    <w:pPr>
      <w:spacing w:after="0" w:line="240" w:lineRule="auto"/>
      <w:jc w:val="both"/>
    </w:pPr>
    <w:rPr>
      <w:rFonts w:ascii="Times New Roman" w:eastAsia="Times New Roman" w:hAnsi="Times New Roman"/>
      <w:sz w:val="24"/>
      <w:szCs w:val="24"/>
      <w:lang w:eastAsia="it-IT"/>
    </w:rPr>
  </w:style>
  <w:style w:type="character" w:customStyle="1" w:styleId="Corpodeltesto3Carattere">
    <w:name w:val="Corpo del testo 3 Carattere"/>
    <w:basedOn w:val="Carpredefinitoparagrafo"/>
    <w:link w:val="Corpodeltesto3"/>
    <w:rsid w:val="00E84270"/>
    <w:rPr>
      <w:rFonts w:ascii="Times New Roman" w:eastAsia="Times New Roman" w:hAnsi="Times New Roman"/>
      <w:sz w:val="24"/>
      <w:szCs w:val="24"/>
    </w:rPr>
  </w:style>
  <w:style w:type="paragraph" w:styleId="Didascalia">
    <w:name w:val="caption"/>
    <w:basedOn w:val="Normale"/>
    <w:next w:val="Normale"/>
    <w:qFormat/>
    <w:rsid w:val="00E84270"/>
    <w:pPr>
      <w:spacing w:before="120" w:after="120" w:line="240" w:lineRule="auto"/>
      <w:ind w:firstLine="284"/>
      <w:jc w:val="both"/>
    </w:pPr>
    <w:rPr>
      <w:rFonts w:ascii="Times New Roman" w:eastAsia="Times New Roman" w:hAnsi="Times New Roman"/>
      <w:b/>
      <w:bCs/>
      <w:sz w:val="20"/>
      <w:szCs w:val="20"/>
      <w:lang w:eastAsia="it-IT"/>
    </w:rPr>
  </w:style>
  <w:style w:type="character" w:customStyle="1" w:styleId="A7">
    <w:name w:val="A7"/>
    <w:uiPriority w:val="99"/>
    <w:rsid w:val="00E84270"/>
    <w:rPr>
      <w:rFonts w:cs="Myriad Pro"/>
      <w:color w:val="000000"/>
    </w:rPr>
  </w:style>
  <w:style w:type="character" w:styleId="Enfasicorsivo">
    <w:name w:val="Emphasis"/>
    <w:basedOn w:val="Carpredefinitoparagrafo"/>
    <w:uiPriority w:val="20"/>
    <w:qFormat/>
    <w:rsid w:val="00132139"/>
    <w:rPr>
      <w:i/>
      <w:iCs/>
    </w:rPr>
  </w:style>
  <w:style w:type="character" w:customStyle="1" w:styleId="apple-converted-space">
    <w:name w:val="apple-converted-space"/>
    <w:basedOn w:val="Carpredefinitoparagrafo"/>
    <w:rsid w:val="00132139"/>
  </w:style>
  <w:style w:type="character" w:styleId="Enfasigrassetto">
    <w:name w:val="Strong"/>
    <w:basedOn w:val="Carpredefinitoparagrafo"/>
    <w:uiPriority w:val="22"/>
    <w:qFormat/>
    <w:rsid w:val="00132139"/>
    <w:rPr>
      <w:b/>
      <w:bCs/>
    </w:rPr>
  </w:style>
  <w:style w:type="character" w:customStyle="1" w:styleId="Rimandonotaapidipagina1">
    <w:name w:val="Rimando nota a piè di pagina1"/>
    <w:rsid w:val="007F5164"/>
    <w:rPr>
      <w:vertAlign w:val="superscript"/>
    </w:rPr>
  </w:style>
  <w:style w:type="character" w:customStyle="1" w:styleId="Caratteredellanota">
    <w:name w:val="Carattere della nota"/>
    <w:rsid w:val="007F5164"/>
  </w:style>
  <w:style w:type="paragraph" w:customStyle="1" w:styleId="Paragrafoelenco1">
    <w:name w:val="Paragrafo elenco1"/>
    <w:rsid w:val="007F5164"/>
    <w:pPr>
      <w:widowControl w:val="0"/>
      <w:suppressAutoHyphens/>
      <w:spacing w:after="200" w:line="276" w:lineRule="auto"/>
      <w:ind w:left="720"/>
    </w:pPr>
    <w:rPr>
      <w:rFonts w:eastAsia="Arial Unicode MS" w:cs="font242"/>
      <w:kern w:val="1"/>
      <w:sz w:val="22"/>
      <w:szCs w:val="22"/>
      <w:lang w:eastAsia="ar-SA"/>
    </w:rPr>
  </w:style>
  <w:style w:type="paragraph" w:customStyle="1" w:styleId="Testonotaapidipagina1">
    <w:name w:val="Testo nota a piè di pagina1"/>
    <w:rsid w:val="007F5164"/>
    <w:pPr>
      <w:widowControl w:val="0"/>
      <w:suppressAutoHyphens/>
      <w:spacing w:after="200" w:line="276" w:lineRule="auto"/>
    </w:pPr>
    <w:rPr>
      <w:rFonts w:eastAsia="Arial Unicode MS" w:cs="font242"/>
      <w:kern w:val="1"/>
      <w:lang w:eastAsia="ar-SA"/>
    </w:rPr>
  </w:style>
  <w:style w:type="paragraph" w:customStyle="1" w:styleId="Testonotaapidipagina10">
    <w:name w:val="Testo nota a piè di pagina1"/>
    <w:rsid w:val="007F5164"/>
    <w:pPr>
      <w:suppressAutoHyphens/>
      <w:spacing w:after="200" w:line="276" w:lineRule="auto"/>
    </w:pPr>
    <w:rPr>
      <w:rFonts w:eastAsia="Arial Unicode MS" w:cs="font161"/>
      <w:kern w:val="1"/>
      <w:lang w:eastAsia="ar-SA"/>
    </w:rPr>
  </w:style>
  <w:style w:type="paragraph" w:styleId="Sommario3">
    <w:name w:val="toc 3"/>
    <w:basedOn w:val="Normale"/>
    <w:next w:val="Normale"/>
    <w:autoRedefine/>
    <w:uiPriority w:val="39"/>
    <w:unhideWhenUsed/>
    <w:rsid w:val="00C45838"/>
    <w:pPr>
      <w:tabs>
        <w:tab w:val="left" w:pos="993"/>
        <w:tab w:val="right" w:leader="dot" w:pos="9628"/>
      </w:tabs>
      <w:spacing w:after="0" w:line="240" w:lineRule="auto"/>
      <w:ind w:left="851" w:hanging="284"/>
    </w:pPr>
  </w:style>
  <w:style w:type="table" w:customStyle="1" w:styleId="Elencotab21">
    <w:name w:val="Elenco tab. 21"/>
    <w:basedOn w:val="Tabellanormale"/>
    <w:uiPriority w:val="47"/>
    <w:rsid w:val="004F1967"/>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Sommario4">
    <w:name w:val="toc 4"/>
    <w:basedOn w:val="Normale"/>
    <w:next w:val="Normale"/>
    <w:autoRedefine/>
    <w:uiPriority w:val="39"/>
    <w:unhideWhenUsed/>
    <w:rsid w:val="006414F7"/>
    <w:pPr>
      <w:tabs>
        <w:tab w:val="left" w:pos="1843"/>
        <w:tab w:val="right" w:leader="dot" w:pos="9628"/>
      </w:tabs>
      <w:spacing w:before="20" w:after="20" w:line="240" w:lineRule="auto"/>
      <w:ind w:left="1276"/>
    </w:pPr>
  </w:style>
  <w:style w:type="table" w:customStyle="1" w:styleId="Tabellasemplice-21">
    <w:name w:val="Tabella semplice - 21"/>
    <w:basedOn w:val="Tabellanormale"/>
    <w:uiPriority w:val="42"/>
    <w:rsid w:val="00402BE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ellagriglia1chiara1">
    <w:name w:val="Tabella griglia 1 chiara1"/>
    <w:basedOn w:val="Tabellanormale"/>
    <w:uiPriority w:val="46"/>
    <w:rsid w:val="00402BE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Rientrocorpodeltesto">
    <w:name w:val="Body Text Indent"/>
    <w:basedOn w:val="Normale"/>
    <w:link w:val="RientrocorpodeltestoCarattere"/>
    <w:uiPriority w:val="99"/>
    <w:semiHidden/>
    <w:unhideWhenUsed/>
    <w:rsid w:val="00C877C1"/>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C877C1"/>
    <w:rPr>
      <w:rFonts w:ascii="Arial Narrow" w:hAnsi="Arial Narrow"/>
      <w:sz w:val="22"/>
      <w:szCs w:val="22"/>
      <w:lang w:eastAsia="en-US"/>
    </w:rPr>
  </w:style>
  <w:style w:type="paragraph" w:customStyle="1" w:styleId="Rientrocorpodeltesto21">
    <w:name w:val="Rientro corpo del testo 21"/>
    <w:basedOn w:val="Normale"/>
    <w:rsid w:val="00C877C1"/>
    <w:pPr>
      <w:suppressAutoHyphens/>
      <w:spacing w:after="120" w:line="480" w:lineRule="auto"/>
      <w:ind w:left="283"/>
    </w:pPr>
    <w:rPr>
      <w:rFonts w:ascii="Calibri" w:eastAsia="SimSun" w:hAnsi="Calibri" w:cs="Calibri"/>
      <w:kern w:val="1"/>
      <w:lang w:eastAsia="ar-SA"/>
    </w:rPr>
  </w:style>
  <w:style w:type="table" w:customStyle="1" w:styleId="Tabellagriglia1chiara-colore61">
    <w:name w:val="Tabella griglia 1 chiara - colore 61"/>
    <w:basedOn w:val="Tabellanormale"/>
    <w:uiPriority w:val="46"/>
    <w:rsid w:val="005D3F9D"/>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Tabellaelenco1chiara-colore61">
    <w:name w:val="Tabella elenco 1 chiara - colore 61"/>
    <w:basedOn w:val="Tabellanormale"/>
    <w:uiPriority w:val="46"/>
    <w:rsid w:val="001E64DF"/>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laelenco7acolori-colore61">
    <w:name w:val="Tabella elenco 7 a colori - colore 61"/>
    <w:basedOn w:val="Tabellanormale"/>
    <w:uiPriority w:val="52"/>
    <w:rsid w:val="001E64DF"/>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lagriglia2-colore61">
    <w:name w:val="Tabella griglia 2 - colore 61"/>
    <w:basedOn w:val="Tabellanormale"/>
    <w:uiPriority w:val="47"/>
    <w:rsid w:val="001E64DF"/>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customStyle="1" w:styleId="st1">
    <w:name w:val="st1"/>
    <w:basedOn w:val="Carpredefinitoparagrafo"/>
    <w:rsid w:val="00B97190"/>
  </w:style>
  <w:style w:type="table" w:customStyle="1" w:styleId="Tabellagriglia2-colore41">
    <w:name w:val="Tabella griglia 2 - colore 41"/>
    <w:basedOn w:val="Tabellanormale"/>
    <w:uiPriority w:val="47"/>
    <w:rsid w:val="002853D2"/>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lagriglia2-colore31">
    <w:name w:val="Tabella griglia 2 - colore 31"/>
    <w:basedOn w:val="Tabellanormale"/>
    <w:uiPriority w:val="47"/>
    <w:rsid w:val="00CD7E6E"/>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lagriglia2-colore11">
    <w:name w:val="Tabella griglia 2 - colore 11"/>
    <w:basedOn w:val="Tabellanormale"/>
    <w:uiPriority w:val="47"/>
    <w:rsid w:val="008E2CDF"/>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gliatab21">
    <w:name w:val="Griglia tab. 21"/>
    <w:basedOn w:val="Tabellanormale"/>
    <w:uiPriority w:val="47"/>
    <w:rsid w:val="00733B65"/>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laelenco7acolori1">
    <w:name w:val="Tabella elenco 7 a colori1"/>
    <w:basedOn w:val="Tabellanormale"/>
    <w:uiPriority w:val="52"/>
    <w:rsid w:val="00FE6BAD"/>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normal2">
    <w:name w:val="normal2"/>
    <w:basedOn w:val="Normale"/>
    <w:rsid w:val="0008690E"/>
    <w:pPr>
      <w:spacing w:before="120" w:after="0" w:line="312" w:lineRule="atLeast"/>
      <w:jc w:val="both"/>
    </w:pPr>
    <w:rPr>
      <w:rFonts w:ascii="Times New Roman" w:eastAsia="Times New Roman" w:hAnsi="Times New Roman"/>
      <w:sz w:val="24"/>
      <w:szCs w:val="24"/>
      <w:lang w:eastAsia="it-IT"/>
    </w:rPr>
  </w:style>
  <w:style w:type="paragraph" w:customStyle="1" w:styleId="CM1">
    <w:name w:val="CM1"/>
    <w:basedOn w:val="Default"/>
    <w:next w:val="Default"/>
    <w:uiPriority w:val="99"/>
    <w:rsid w:val="0019508E"/>
    <w:rPr>
      <w:rFonts w:ascii="EUAlbertina" w:hAnsi="EUAlbertina" w:cs="Times New Roman"/>
      <w:color w:val="auto"/>
      <w:lang w:eastAsia="it-IT"/>
    </w:rPr>
  </w:style>
  <w:style w:type="paragraph" w:customStyle="1" w:styleId="CM3">
    <w:name w:val="CM3"/>
    <w:basedOn w:val="Default"/>
    <w:next w:val="Default"/>
    <w:uiPriority w:val="99"/>
    <w:rsid w:val="0019508E"/>
    <w:rPr>
      <w:rFonts w:ascii="EUAlbertina" w:hAnsi="EUAlbertina" w:cs="Times New Roman"/>
      <w:color w:val="auto"/>
      <w:lang w:eastAsia="it-IT"/>
    </w:rPr>
  </w:style>
  <w:style w:type="paragraph" w:customStyle="1" w:styleId="CM4">
    <w:name w:val="CM4"/>
    <w:basedOn w:val="Default"/>
    <w:next w:val="Default"/>
    <w:uiPriority w:val="99"/>
    <w:rsid w:val="0019508E"/>
    <w:rPr>
      <w:rFonts w:ascii="EUAlbertina" w:hAnsi="EUAlbertina" w:cs="Times New Roman"/>
      <w:color w:val="auto"/>
      <w:lang w:eastAsia="it-IT"/>
    </w:rPr>
  </w:style>
  <w:style w:type="table" w:customStyle="1" w:styleId="Grigliatab31">
    <w:name w:val="Griglia tab. 31"/>
    <w:basedOn w:val="Tabellanormale"/>
    <w:uiPriority w:val="48"/>
    <w:rsid w:val="000E5269"/>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lagriglia1chiara-colore41">
    <w:name w:val="Tabella griglia 1 chiara - colore 41"/>
    <w:basedOn w:val="Tabellanormale"/>
    <w:uiPriority w:val="46"/>
    <w:rsid w:val="006860F8"/>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Tabellaelenco6acolori-colore31">
    <w:name w:val="Tabella elenco 6 a colori - colore 31"/>
    <w:basedOn w:val="Tabellanormale"/>
    <w:uiPriority w:val="51"/>
    <w:rsid w:val="00AD0475"/>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laelenco7acolori-colore31">
    <w:name w:val="Tabella elenco 7 a colori - colore 31"/>
    <w:basedOn w:val="Tabellanormale"/>
    <w:uiPriority w:val="52"/>
    <w:rsid w:val="00362CD7"/>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Elencotab22">
    <w:name w:val="Elenco tab. 22"/>
    <w:basedOn w:val="Tabellanormale"/>
    <w:uiPriority w:val="47"/>
    <w:rsid w:val="008C1DE1"/>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Normale1">
    <w:name w:val="Normale1"/>
    <w:rsid w:val="00C9707B"/>
    <w:pPr>
      <w:spacing w:after="200" w:line="276" w:lineRule="auto"/>
    </w:pPr>
    <w:rPr>
      <w:rFonts w:eastAsia="Times New Roman"/>
      <w:sz w:val="22"/>
      <w:szCs w:val="22"/>
      <w:lang w:eastAsia="en-US" w:bidi="it-IT"/>
    </w:rPr>
  </w:style>
  <w:style w:type="character" w:styleId="Rimandocommento">
    <w:name w:val="annotation reference"/>
    <w:basedOn w:val="Carpredefinitoparagrafo"/>
    <w:uiPriority w:val="99"/>
    <w:semiHidden/>
    <w:unhideWhenUsed/>
    <w:rsid w:val="0094365F"/>
    <w:rPr>
      <w:sz w:val="16"/>
      <w:szCs w:val="16"/>
    </w:rPr>
  </w:style>
  <w:style w:type="paragraph" w:styleId="Testocommento">
    <w:name w:val="annotation text"/>
    <w:basedOn w:val="Normale"/>
    <w:link w:val="TestocommentoCarattere"/>
    <w:uiPriority w:val="99"/>
    <w:semiHidden/>
    <w:unhideWhenUsed/>
    <w:rsid w:val="0094365F"/>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94365F"/>
    <w:rPr>
      <w:rFonts w:ascii="Arial Narrow" w:hAnsi="Arial Narrow"/>
      <w:lang w:eastAsia="en-US"/>
    </w:rPr>
  </w:style>
  <w:style w:type="paragraph" w:styleId="Soggettocommento">
    <w:name w:val="annotation subject"/>
    <w:basedOn w:val="Testocommento"/>
    <w:next w:val="Testocommento"/>
    <w:link w:val="SoggettocommentoCarattere"/>
    <w:uiPriority w:val="99"/>
    <w:semiHidden/>
    <w:unhideWhenUsed/>
    <w:rsid w:val="0094365F"/>
    <w:rPr>
      <w:b/>
      <w:bCs/>
    </w:rPr>
  </w:style>
  <w:style w:type="character" w:customStyle="1" w:styleId="SoggettocommentoCarattere">
    <w:name w:val="Soggetto commento Carattere"/>
    <w:basedOn w:val="TestocommentoCarattere"/>
    <w:link w:val="Soggettocommento"/>
    <w:uiPriority w:val="99"/>
    <w:semiHidden/>
    <w:rsid w:val="0094365F"/>
    <w:rPr>
      <w:rFonts w:ascii="Arial Narrow" w:hAnsi="Arial Narrow"/>
      <w:b/>
      <w:bCs/>
      <w:lang w:eastAsia="en-US"/>
    </w:rPr>
  </w:style>
  <w:style w:type="paragraph" w:customStyle="1" w:styleId="Pa7">
    <w:name w:val="Pa7"/>
    <w:basedOn w:val="Normale"/>
    <w:uiPriority w:val="99"/>
    <w:rsid w:val="0008424F"/>
    <w:pPr>
      <w:autoSpaceDE w:val="0"/>
      <w:autoSpaceDN w:val="0"/>
      <w:spacing w:after="0" w:line="201" w:lineRule="atLeast"/>
    </w:pPr>
    <w:rPr>
      <w:rFonts w:ascii="Gill Sans Nova Book" w:eastAsiaTheme="minorHAnsi" w:hAnsi="Gill Sans Nova Book"/>
      <w:sz w:val="24"/>
      <w:szCs w:val="24"/>
      <w:lang w:eastAsia="it-IT"/>
    </w:rPr>
  </w:style>
  <w:style w:type="character" w:customStyle="1" w:styleId="A9">
    <w:name w:val="A9"/>
    <w:basedOn w:val="Carpredefinitoparagrafo"/>
    <w:uiPriority w:val="99"/>
    <w:rsid w:val="0008424F"/>
    <w:rPr>
      <w:rFonts w:ascii="Gill Sans Nova Book" w:hAnsi="Gill Sans Nova Book" w:hint="default"/>
      <w:color w:val="000000"/>
      <w:u w:val="single"/>
    </w:rPr>
  </w:style>
  <w:style w:type="table" w:customStyle="1" w:styleId="Tabellagriglia3-colore31">
    <w:name w:val="Tabella griglia 3 - colore 31"/>
    <w:basedOn w:val="Tabellanormale"/>
    <w:uiPriority w:val="48"/>
    <w:rsid w:val="00A3284F"/>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Tabellagriglia2-colore32">
    <w:name w:val="Tabella griglia 2 - colore 32"/>
    <w:basedOn w:val="Tabellanormale"/>
    <w:uiPriority w:val="47"/>
    <w:rsid w:val="00A3284F"/>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hps">
    <w:name w:val="hps"/>
    <w:basedOn w:val="Carpredefinitoparagrafo"/>
    <w:rsid w:val="004105E8"/>
  </w:style>
  <w:style w:type="character" w:customStyle="1" w:styleId="st">
    <w:name w:val="st"/>
    <w:basedOn w:val="Carpredefinitoparagrafo"/>
    <w:rsid w:val="00A25DF8"/>
  </w:style>
  <w:style w:type="paragraph" w:customStyle="1" w:styleId="callout">
    <w:name w:val="callout"/>
    <w:basedOn w:val="Normale"/>
    <w:rsid w:val="00A25DF8"/>
    <w:pPr>
      <w:spacing w:before="100" w:beforeAutospacing="1" w:after="100" w:afterAutospacing="1" w:line="240" w:lineRule="auto"/>
    </w:pPr>
    <w:rPr>
      <w:rFonts w:ascii="Times New Roman" w:eastAsia="Times New Roman" w:hAnsi="Times New Roman"/>
      <w:sz w:val="24"/>
      <w:szCs w:val="24"/>
      <w:lang w:eastAsia="it-IT"/>
    </w:rPr>
  </w:style>
  <w:style w:type="character" w:customStyle="1" w:styleId="sc">
    <w:name w:val="sc"/>
    <w:basedOn w:val="Carpredefinitoparagrafo"/>
    <w:rsid w:val="00B25723"/>
  </w:style>
  <w:style w:type="table" w:styleId="Tabellaelenco7acolori-colore3">
    <w:name w:val="List Table 7 Colorful Accent 3"/>
    <w:basedOn w:val="Tabellanormale"/>
    <w:uiPriority w:val="52"/>
    <w:rsid w:val="00951E1A"/>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agriglia2-colore3">
    <w:name w:val="Grid Table 2 Accent 3"/>
    <w:basedOn w:val="Tabellanormale"/>
    <w:uiPriority w:val="47"/>
    <w:rsid w:val="00951E1A"/>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Menzionenonrisolta1">
    <w:name w:val="Menzione non risolta1"/>
    <w:basedOn w:val="Carpredefinitoparagrafo"/>
    <w:uiPriority w:val="99"/>
    <w:semiHidden/>
    <w:unhideWhenUsed/>
    <w:rsid w:val="00BF12B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533602">
      <w:bodyDiv w:val="1"/>
      <w:marLeft w:val="0"/>
      <w:marRight w:val="0"/>
      <w:marTop w:val="0"/>
      <w:marBottom w:val="0"/>
      <w:divBdr>
        <w:top w:val="none" w:sz="0" w:space="0" w:color="auto"/>
        <w:left w:val="none" w:sz="0" w:space="0" w:color="auto"/>
        <w:bottom w:val="none" w:sz="0" w:space="0" w:color="auto"/>
        <w:right w:val="none" w:sz="0" w:space="0" w:color="auto"/>
      </w:divBdr>
    </w:div>
    <w:div w:id="199902757">
      <w:bodyDiv w:val="1"/>
      <w:marLeft w:val="0"/>
      <w:marRight w:val="0"/>
      <w:marTop w:val="0"/>
      <w:marBottom w:val="0"/>
      <w:divBdr>
        <w:top w:val="none" w:sz="0" w:space="0" w:color="auto"/>
        <w:left w:val="none" w:sz="0" w:space="0" w:color="auto"/>
        <w:bottom w:val="none" w:sz="0" w:space="0" w:color="auto"/>
        <w:right w:val="none" w:sz="0" w:space="0" w:color="auto"/>
      </w:divBdr>
    </w:div>
    <w:div w:id="271132453">
      <w:bodyDiv w:val="1"/>
      <w:marLeft w:val="0"/>
      <w:marRight w:val="0"/>
      <w:marTop w:val="0"/>
      <w:marBottom w:val="0"/>
      <w:divBdr>
        <w:top w:val="none" w:sz="0" w:space="0" w:color="auto"/>
        <w:left w:val="none" w:sz="0" w:space="0" w:color="auto"/>
        <w:bottom w:val="none" w:sz="0" w:space="0" w:color="auto"/>
        <w:right w:val="none" w:sz="0" w:space="0" w:color="auto"/>
      </w:divBdr>
    </w:div>
    <w:div w:id="276527799">
      <w:bodyDiv w:val="1"/>
      <w:marLeft w:val="0"/>
      <w:marRight w:val="0"/>
      <w:marTop w:val="0"/>
      <w:marBottom w:val="0"/>
      <w:divBdr>
        <w:top w:val="none" w:sz="0" w:space="0" w:color="auto"/>
        <w:left w:val="none" w:sz="0" w:space="0" w:color="auto"/>
        <w:bottom w:val="none" w:sz="0" w:space="0" w:color="auto"/>
        <w:right w:val="none" w:sz="0" w:space="0" w:color="auto"/>
      </w:divBdr>
      <w:divsChild>
        <w:div w:id="726025688">
          <w:marLeft w:val="0"/>
          <w:marRight w:val="0"/>
          <w:marTop w:val="0"/>
          <w:marBottom w:val="0"/>
          <w:divBdr>
            <w:top w:val="none" w:sz="0" w:space="0" w:color="auto"/>
            <w:left w:val="none" w:sz="0" w:space="0" w:color="auto"/>
            <w:bottom w:val="none" w:sz="0" w:space="0" w:color="auto"/>
            <w:right w:val="none" w:sz="0" w:space="0" w:color="auto"/>
          </w:divBdr>
        </w:div>
      </w:divsChild>
    </w:div>
    <w:div w:id="336005678">
      <w:bodyDiv w:val="1"/>
      <w:marLeft w:val="0"/>
      <w:marRight w:val="0"/>
      <w:marTop w:val="0"/>
      <w:marBottom w:val="0"/>
      <w:divBdr>
        <w:top w:val="none" w:sz="0" w:space="0" w:color="auto"/>
        <w:left w:val="none" w:sz="0" w:space="0" w:color="auto"/>
        <w:bottom w:val="none" w:sz="0" w:space="0" w:color="auto"/>
        <w:right w:val="none" w:sz="0" w:space="0" w:color="auto"/>
      </w:divBdr>
    </w:div>
    <w:div w:id="356154409">
      <w:bodyDiv w:val="1"/>
      <w:marLeft w:val="0"/>
      <w:marRight w:val="0"/>
      <w:marTop w:val="0"/>
      <w:marBottom w:val="0"/>
      <w:divBdr>
        <w:top w:val="none" w:sz="0" w:space="0" w:color="auto"/>
        <w:left w:val="none" w:sz="0" w:space="0" w:color="auto"/>
        <w:bottom w:val="none" w:sz="0" w:space="0" w:color="auto"/>
        <w:right w:val="none" w:sz="0" w:space="0" w:color="auto"/>
      </w:divBdr>
    </w:div>
    <w:div w:id="549847180">
      <w:bodyDiv w:val="1"/>
      <w:marLeft w:val="0"/>
      <w:marRight w:val="0"/>
      <w:marTop w:val="0"/>
      <w:marBottom w:val="0"/>
      <w:divBdr>
        <w:top w:val="none" w:sz="0" w:space="0" w:color="auto"/>
        <w:left w:val="none" w:sz="0" w:space="0" w:color="auto"/>
        <w:bottom w:val="none" w:sz="0" w:space="0" w:color="auto"/>
        <w:right w:val="none" w:sz="0" w:space="0" w:color="auto"/>
      </w:divBdr>
      <w:divsChild>
        <w:div w:id="104469136">
          <w:marLeft w:val="0"/>
          <w:marRight w:val="0"/>
          <w:marTop w:val="0"/>
          <w:marBottom w:val="0"/>
          <w:divBdr>
            <w:top w:val="none" w:sz="0" w:space="0" w:color="auto"/>
            <w:left w:val="none" w:sz="0" w:space="0" w:color="auto"/>
            <w:bottom w:val="none" w:sz="0" w:space="0" w:color="auto"/>
            <w:right w:val="none" w:sz="0" w:space="0" w:color="auto"/>
          </w:divBdr>
          <w:divsChild>
            <w:div w:id="654996348">
              <w:marLeft w:val="0"/>
              <w:marRight w:val="0"/>
              <w:marTop w:val="0"/>
              <w:marBottom w:val="0"/>
              <w:divBdr>
                <w:top w:val="none" w:sz="0" w:space="0" w:color="auto"/>
                <w:left w:val="none" w:sz="0" w:space="0" w:color="auto"/>
                <w:bottom w:val="none" w:sz="0" w:space="0" w:color="auto"/>
                <w:right w:val="none" w:sz="0" w:space="0" w:color="auto"/>
              </w:divBdr>
              <w:divsChild>
                <w:div w:id="1002974285">
                  <w:marLeft w:val="0"/>
                  <w:marRight w:val="0"/>
                  <w:marTop w:val="0"/>
                  <w:marBottom w:val="0"/>
                  <w:divBdr>
                    <w:top w:val="none" w:sz="0" w:space="0" w:color="auto"/>
                    <w:left w:val="none" w:sz="0" w:space="0" w:color="auto"/>
                    <w:bottom w:val="none" w:sz="0" w:space="0" w:color="auto"/>
                    <w:right w:val="none" w:sz="0" w:space="0" w:color="auto"/>
                  </w:divBdr>
                  <w:divsChild>
                    <w:div w:id="1721705953">
                      <w:marLeft w:val="1"/>
                      <w:marRight w:val="1"/>
                      <w:marTop w:val="0"/>
                      <w:marBottom w:val="0"/>
                      <w:divBdr>
                        <w:top w:val="none" w:sz="0" w:space="0" w:color="auto"/>
                        <w:left w:val="none" w:sz="0" w:space="0" w:color="auto"/>
                        <w:bottom w:val="none" w:sz="0" w:space="0" w:color="auto"/>
                        <w:right w:val="none" w:sz="0" w:space="0" w:color="auto"/>
                      </w:divBdr>
                      <w:divsChild>
                        <w:div w:id="765227359">
                          <w:marLeft w:val="0"/>
                          <w:marRight w:val="0"/>
                          <w:marTop w:val="0"/>
                          <w:marBottom w:val="0"/>
                          <w:divBdr>
                            <w:top w:val="none" w:sz="0" w:space="0" w:color="auto"/>
                            <w:left w:val="none" w:sz="0" w:space="0" w:color="auto"/>
                            <w:bottom w:val="none" w:sz="0" w:space="0" w:color="auto"/>
                            <w:right w:val="none" w:sz="0" w:space="0" w:color="auto"/>
                          </w:divBdr>
                          <w:divsChild>
                            <w:div w:id="1736931524">
                              <w:marLeft w:val="0"/>
                              <w:marRight w:val="0"/>
                              <w:marTop w:val="0"/>
                              <w:marBottom w:val="360"/>
                              <w:divBdr>
                                <w:top w:val="none" w:sz="0" w:space="0" w:color="auto"/>
                                <w:left w:val="none" w:sz="0" w:space="0" w:color="auto"/>
                                <w:bottom w:val="none" w:sz="0" w:space="0" w:color="auto"/>
                                <w:right w:val="none" w:sz="0" w:space="0" w:color="auto"/>
                              </w:divBdr>
                              <w:divsChild>
                                <w:div w:id="1195121388">
                                  <w:marLeft w:val="0"/>
                                  <w:marRight w:val="0"/>
                                  <w:marTop w:val="0"/>
                                  <w:marBottom w:val="0"/>
                                  <w:divBdr>
                                    <w:top w:val="none" w:sz="0" w:space="0" w:color="auto"/>
                                    <w:left w:val="none" w:sz="0" w:space="0" w:color="auto"/>
                                    <w:bottom w:val="none" w:sz="0" w:space="0" w:color="auto"/>
                                    <w:right w:val="none" w:sz="0" w:space="0" w:color="auto"/>
                                  </w:divBdr>
                                  <w:divsChild>
                                    <w:div w:id="2121366148">
                                      <w:marLeft w:val="0"/>
                                      <w:marRight w:val="0"/>
                                      <w:marTop w:val="0"/>
                                      <w:marBottom w:val="0"/>
                                      <w:divBdr>
                                        <w:top w:val="none" w:sz="0" w:space="0" w:color="auto"/>
                                        <w:left w:val="none" w:sz="0" w:space="0" w:color="auto"/>
                                        <w:bottom w:val="none" w:sz="0" w:space="0" w:color="auto"/>
                                        <w:right w:val="none" w:sz="0" w:space="0" w:color="auto"/>
                                      </w:divBdr>
                                      <w:divsChild>
                                        <w:div w:id="1624537123">
                                          <w:marLeft w:val="0"/>
                                          <w:marRight w:val="0"/>
                                          <w:marTop w:val="0"/>
                                          <w:marBottom w:val="0"/>
                                          <w:divBdr>
                                            <w:top w:val="none" w:sz="0" w:space="0" w:color="auto"/>
                                            <w:left w:val="none" w:sz="0" w:space="0" w:color="auto"/>
                                            <w:bottom w:val="none" w:sz="0" w:space="0" w:color="auto"/>
                                            <w:right w:val="none" w:sz="0" w:space="0" w:color="auto"/>
                                          </w:divBdr>
                                          <w:divsChild>
                                            <w:div w:id="761344256">
                                              <w:marLeft w:val="0"/>
                                              <w:marRight w:val="0"/>
                                              <w:marTop w:val="0"/>
                                              <w:marBottom w:val="0"/>
                                              <w:divBdr>
                                                <w:top w:val="none" w:sz="0" w:space="0" w:color="auto"/>
                                                <w:left w:val="none" w:sz="0" w:space="0" w:color="auto"/>
                                                <w:bottom w:val="none" w:sz="0" w:space="0" w:color="auto"/>
                                                <w:right w:val="none" w:sz="0" w:space="0" w:color="auto"/>
                                              </w:divBdr>
                                              <w:divsChild>
                                                <w:div w:id="78211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6254777">
      <w:bodyDiv w:val="1"/>
      <w:marLeft w:val="0"/>
      <w:marRight w:val="0"/>
      <w:marTop w:val="0"/>
      <w:marBottom w:val="0"/>
      <w:divBdr>
        <w:top w:val="none" w:sz="0" w:space="0" w:color="auto"/>
        <w:left w:val="none" w:sz="0" w:space="0" w:color="auto"/>
        <w:bottom w:val="none" w:sz="0" w:space="0" w:color="auto"/>
        <w:right w:val="none" w:sz="0" w:space="0" w:color="auto"/>
      </w:divBdr>
    </w:div>
    <w:div w:id="598100893">
      <w:bodyDiv w:val="1"/>
      <w:marLeft w:val="0"/>
      <w:marRight w:val="0"/>
      <w:marTop w:val="0"/>
      <w:marBottom w:val="0"/>
      <w:divBdr>
        <w:top w:val="none" w:sz="0" w:space="0" w:color="auto"/>
        <w:left w:val="none" w:sz="0" w:space="0" w:color="auto"/>
        <w:bottom w:val="none" w:sz="0" w:space="0" w:color="auto"/>
        <w:right w:val="none" w:sz="0" w:space="0" w:color="auto"/>
      </w:divBdr>
      <w:divsChild>
        <w:div w:id="887647457">
          <w:marLeft w:val="432"/>
          <w:marRight w:val="0"/>
          <w:marTop w:val="120"/>
          <w:marBottom w:val="120"/>
          <w:divBdr>
            <w:top w:val="none" w:sz="0" w:space="0" w:color="auto"/>
            <w:left w:val="none" w:sz="0" w:space="0" w:color="auto"/>
            <w:bottom w:val="none" w:sz="0" w:space="0" w:color="auto"/>
            <w:right w:val="none" w:sz="0" w:space="0" w:color="auto"/>
          </w:divBdr>
        </w:div>
        <w:div w:id="433791592">
          <w:marLeft w:val="432"/>
          <w:marRight w:val="0"/>
          <w:marTop w:val="120"/>
          <w:marBottom w:val="120"/>
          <w:divBdr>
            <w:top w:val="none" w:sz="0" w:space="0" w:color="auto"/>
            <w:left w:val="none" w:sz="0" w:space="0" w:color="auto"/>
            <w:bottom w:val="none" w:sz="0" w:space="0" w:color="auto"/>
            <w:right w:val="none" w:sz="0" w:space="0" w:color="auto"/>
          </w:divBdr>
        </w:div>
        <w:div w:id="1077941960">
          <w:marLeft w:val="432"/>
          <w:marRight w:val="0"/>
          <w:marTop w:val="120"/>
          <w:marBottom w:val="120"/>
          <w:divBdr>
            <w:top w:val="none" w:sz="0" w:space="0" w:color="auto"/>
            <w:left w:val="none" w:sz="0" w:space="0" w:color="auto"/>
            <w:bottom w:val="none" w:sz="0" w:space="0" w:color="auto"/>
            <w:right w:val="none" w:sz="0" w:space="0" w:color="auto"/>
          </w:divBdr>
        </w:div>
        <w:div w:id="1189685307">
          <w:marLeft w:val="432"/>
          <w:marRight w:val="0"/>
          <w:marTop w:val="120"/>
          <w:marBottom w:val="120"/>
          <w:divBdr>
            <w:top w:val="none" w:sz="0" w:space="0" w:color="auto"/>
            <w:left w:val="none" w:sz="0" w:space="0" w:color="auto"/>
            <w:bottom w:val="none" w:sz="0" w:space="0" w:color="auto"/>
            <w:right w:val="none" w:sz="0" w:space="0" w:color="auto"/>
          </w:divBdr>
        </w:div>
        <w:div w:id="1295796467">
          <w:marLeft w:val="432"/>
          <w:marRight w:val="0"/>
          <w:marTop w:val="120"/>
          <w:marBottom w:val="120"/>
          <w:divBdr>
            <w:top w:val="none" w:sz="0" w:space="0" w:color="auto"/>
            <w:left w:val="none" w:sz="0" w:space="0" w:color="auto"/>
            <w:bottom w:val="none" w:sz="0" w:space="0" w:color="auto"/>
            <w:right w:val="none" w:sz="0" w:space="0" w:color="auto"/>
          </w:divBdr>
        </w:div>
      </w:divsChild>
    </w:div>
    <w:div w:id="650866019">
      <w:bodyDiv w:val="1"/>
      <w:marLeft w:val="0"/>
      <w:marRight w:val="0"/>
      <w:marTop w:val="0"/>
      <w:marBottom w:val="0"/>
      <w:divBdr>
        <w:top w:val="none" w:sz="0" w:space="0" w:color="auto"/>
        <w:left w:val="none" w:sz="0" w:space="0" w:color="auto"/>
        <w:bottom w:val="none" w:sz="0" w:space="0" w:color="auto"/>
        <w:right w:val="none" w:sz="0" w:space="0" w:color="auto"/>
      </w:divBdr>
    </w:div>
    <w:div w:id="727070057">
      <w:bodyDiv w:val="1"/>
      <w:marLeft w:val="0"/>
      <w:marRight w:val="0"/>
      <w:marTop w:val="0"/>
      <w:marBottom w:val="0"/>
      <w:divBdr>
        <w:top w:val="none" w:sz="0" w:space="0" w:color="auto"/>
        <w:left w:val="none" w:sz="0" w:space="0" w:color="auto"/>
        <w:bottom w:val="none" w:sz="0" w:space="0" w:color="auto"/>
        <w:right w:val="none" w:sz="0" w:space="0" w:color="auto"/>
      </w:divBdr>
    </w:div>
    <w:div w:id="756832778">
      <w:bodyDiv w:val="1"/>
      <w:marLeft w:val="0"/>
      <w:marRight w:val="0"/>
      <w:marTop w:val="0"/>
      <w:marBottom w:val="0"/>
      <w:divBdr>
        <w:top w:val="none" w:sz="0" w:space="0" w:color="auto"/>
        <w:left w:val="none" w:sz="0" w:space="0" w:color="auto"/>
        <w:bottom w:val="none" w:sz="0" w:space="0" w:color="auto"/>
        <w:right w:val="none" w:sz="0" w:space="0" w:color="auto"/>
      </w:divBdr>
    </w:div>
    <w:div w:id="873348246">
      <w:bodyDiv w:val="1"/>
      <w:marLeft w:val="0"/>
      <w:marRight w:val="0"/>
      <w:marTop w:val="0"/>
      <w:marBottom w:val="0"/>
      <w:divBdr>
        <w:top w:val="none" w:sz="0" w:space="0" w:color="auto"/>
        <w:left w:val="none" w:sz="0" w:space="0" w:color="auto"/>
        <w:bottom w:val="none" w:sz="0" w:space="0" w:color="auto"/>
        <w:right w:val="none" w:sz="0" w:space="0" w:color="auto"/>
      </w:divBdr>
    </w:div>
    <w:div w:id="920216473">
      <w:bodyDiv w:val="1"/>
      <w:marLeft w:val="0"/>
      <w:marRight w:val="0"/>
      <w:marTop w:val="0"/>
      <w:marBottom w:val="0"/>
      <w:divBdr>
        <w:top w:val="none" w:sz="0" w:space="0" w:color="auto"/>
        <w:left w:val="none" w:sz="0" w:space="0" w:color="auto"/>
        <w:bottom w:val="none" w:sz="0" w:space="0" w:color="auto"/>
        <w:right w:val="none" w:sz="0" w:space="0" w:color="auto"/>
      </w:divBdr>
    </w:div>
    <w:div w:id="938563864">
      <w:bodyDiv w:val="1"/>
      <w:marLeft w:val="0"/>
      <w:marRight w:val="0"/>
      <w:marTop w:val="0"/>
      <w:marBottom w:val="0"/>
      <w:divBdr>
        <w:top w:val="none" w:sz="0" w:space="0" w:color="auto"/>
        <w:left w:val="none" w:sz="0" w:space="0" w:color="auto"/>
        <w:bottom w:val="none" w:sz="0" w:space="0" w:color="auto"/>
        <w:right w:val="none" w:sz="0" w:space="0" w:color="auto"/>
      </w:divBdr>
    </w:div>
    <w:div w:id="965549466">
      <w:bodyDiv w:val="1"/>
      <w:marLeft w:val="0"/>
      <w:marRight w:val="0"/>
      <w:marTop w:val="0"/>
      <w:marBottom w:val="0"/>
      <w:divBdr>
        <w:top w:val="none" w:sz="0" w:space="0" w:color="auto"/>
        <w:left w:val="none" w:sz="0" w:space="0" w:color="auto"/>
        <w:bottom w:val="none" w:sz="0" w:space="0" w:color="auto"/>
        <w:right w:val="none" w:sz="0" w:space="0" w:color="auto"/>
      </w:divBdr>
    </w:div>
    <w:div w:id="1014694465">
      <w:bodyDiv w:val="1"/>
      <w:marLeft w:val="0"/>
      <w:marRight w:val="0"/>
      <w:marTop w:val="0"/>
      <w:marBottom w:val="0"/>
      <w:divBdr>
        <w:top w:val="none" w:sz="0" w:space="0" w:color="auto"/>
        <w:left w:val="none" w:sz="0" w:space="0" w:color="auto"/>
        <w:bottom w:val="none" w:sz="0" w:space="0" w:color="auto"/>
        <w:right w:val="none" w:sz="0" w:space="0" w:color="auto"/>
      </w:divBdr>
    </w:div>
    <w:div w:id="1087574416">
      <w:bodyDiv w:val="1"/>
      <w:marLeft w:val="0"/>
      <w:marRight w:val="0"/>
      <w:marTop w:val="0"/>
      <w:marBottom w:val="0"/>
      <w:divBdr>
        <w:top w:val="none" w:sz="0" w:space="0" w:color="auto"/>
        <w:left w:val="none" w:sz="0" w:space="0" w:color="auto"/>
        <w:bottom w:val="none" w:sz="0" w:space="0" w:color="auto"/>
        <w:right w:val="none" w:sz="0" w:space="0" w:color="auto"/>
      </w:divBdr>
    </w:div>
    <w:div w:id="1265306178">
      <w:bodyDiv w:val="1"/>
      <w:marLeft w:val="0"/>
      <w:marRight w:val="0"/>
      <w:marTop w:val="0"/>
      <w:marBottom w:val="0"/>
      <w:divBdr>
        <w:top w:val="none" w:sz="0" w:space="0" w:color="auto"/>
        <w:left w:val="none" w:sz="0" w:space="0" w:color="auto"/>
        <w:bottom w:val="none" w:sz="0" w:space="0" w:color="auto"/>
        <w:right w:val="none" w:sz="0" w:space="0" w:color="auto"/>
      </w:divBdr>
    </w:div>
    <w:div w:id="1394083717">
      <w:bodyDiv w:val="1"/>
      <w:marLeft w:val="0"/>
      <w:marRight w:val="0"/>
      <w:marTop w:val="0"/>
      <w:marBottom w:val="0"/>
      <w:divBdr>
        <w:top w:val="none" w:sz="0" w:space="0" w:color="auto"/>
        <w:left w:val="none" w:sz="0" w:space="0" w:color="auto"/>
        <w:bottom w:val="none" w:sz="0" w:space="0" w:color="auto"/>
        <w:right w:val="none" w:sz="0" w:space="0" w:color="auto"/>
      </w:divBdr>
    </w:div>
    <w:div w:id="1405058395">
      <w:bodyDiv w:val="1"/>
      <w:marLeft w:val="0"/>
      <w:marRight w:val="0"/>
      <w:marTop w:val="0"/>
      <w:marBottom w:val="0"/>
      <w:divBdr>
        <w:top w:val="none" w:sz="0" w:space="0" w:color="auto"/>
        <w:left w:val="none" w:sz="0" w:space="0" w:color="auto"/>
        <w:bottom w:val="none" w:sz="0" w:space="0" w:color="auto"/>
        <w:right w:val="none" w:sz="0" w:space="0" w:color="auto"/>
      </w:divBdr>
    </w:div>
    <w:div w:id="1422990881">
      <w:bodyDiv w:val="1"/>
      <w:marLeft w:val="0"/>
      <w:marRight w:val="0"/>
      <w:marTop w:val="0"/>
      <w:marBottom w:val="0"/>
      <w:divBdr>
        <w:top w:val="none" w:sz="0" w:space="0" w:color="auto"/>
        <w:left w:val="none" w:sz="0" w:space="0" w:color="auto"/>
        <w:bottom w:val="none" w:sz="0" w:space="0" w:color="auto"/>
        <w:right w:val="none" w:sz="0" w:space="0" w:color="auto"/>
      </w:divBdr>
    </w:div>
    <w:div w:id="1500458825">
      <w:bodyDiv w:val="1"/>
      <w:marLeft w:val="0"/>
      <w:marRight w:val="0"/>
      <w:marTop w:val="0"/>
      <w:marBottom w:val="0"/>
      <w:divBdr>
        <w:top w:val="none" w:sz="0" w:space="0" w:color="auto"/>
        <w:left w:val="none" w:sz="0" w:space="0" w:color="auto"/>
        <w:bottom w:val="none" w:sz="0" w:space="0" w:color="auto"/>
        <w:right w:val="none" w:sz="0" w:space="0" w:color="auto"/>
      </w:divBdr>
    </w:div>
    <w:div w:id="1557280600">
      <w:bodyDiv w:val="1"/>
      <w:marLeft w:val="0"/>
      <w:marRight w:val="0"/>
      <w:marTop w:val="0"/>
      <w:marBottom w:val="0"/>
      <w:divBdr>
        <w:top w:val="none" w:sz="0" w:space="0" w:color="auto"/>
        <w:left w:val="none" w:sz="0" w:space="0" w:color="auto"/>
        <w:bottom w:val="none" w:sz="0" w:space="0" w:color="auto"/>
        <w:right w:val="none" w:sz="0" w:space="0" w:color="auto"/>
      </w:divBdr>
    </w:div>
    <w:div w:id="1616058663">
      <w:bodyDiv w:val="1"/>
      <w:marLeft w:val="0"/>
      <w:marRight w:val="0"/>
      <w:marTop w:val="0"/>
      <w:marBottom w:val="0"/>
      <w:divBdr>
        <w:top w:val="none" w:sz="0" w:space="0" w:color="auto"/>
        <w:left w:val="none" w:sz="0" w:space="0" w:color="auto"/>
        <w:bottom w:val="none" w:sz="0" w:space="0" w:color="auto"/>
        <w:right w:val="none" w:sz="0" w:space="0" w:color="auto"/>
      </w:divBdr>
    </w:div>
    <w:div w:id="1651396262">
      <w:bodyDiv w:val="1"/>
      <w:marLeft w:val="0"/>
      <w:marRight w:val="0"/>
      <w:marTop w:val="0"/>
      <w:marBottom w:val="0"/>
      <w:divBdr>
        <w:top w:val="none" w:sz="0" w:space="0" w:color="auto"/>
        <w:left w:val="none" w:sz="0" w:space="0" w:color="auto"/>
        <w:bottom w:val="none" w:sz="0" w:space="0" w:color="auto"/>
        <w:right w:val="none" w:sz="0" w:space="0" w:color="auto"/>
      </w:divBdr>
    </w:div>
    <w:div w:id="1694305172">
      <w:bodyDiv w:val="1"/>
      <w:marLeft w:val="0"/>
      <w:marRight w:val="0"/>
      <w:marTop w:val="0"/>
      <w:marBottom w:val="0"/>
      <w:divBdr>
        <w:top w:val="none" w:sz="0" w:space="0" w:color="auto"/>
        <w:left w:val="none" w:sz="0" w:space="0" w:color="auto"/>
        <w:bottom w:val="none" w:sz="0" w:space="0" w:color="auto"/>
        <w:right w:val="none" w:sz="0" w:space="0" w:color="auto"/>
      </w:divBdr>
    </w:div>
    <w:div w:id="1832525233">
      <w:bodyDiv w:val="1"/>
      <w:marLeft w:val="0"/>
      <w:marRight w:val="0"/>
      <w:marTop w:val="0"/>
      <w:marBottom w:val="0"/>
      <w:divBdr>
        <w:top w:val="none" w:sz="0" w:space="0" w:color="auto"/>
        <w:left w:val="none" w:sz="0" w:space="0" w:color="auto"/>
        <w:bottom w:val="none" w:sz="0" w:space="0" w:color="auto"/>
        <w:right w:val="none" w:sz="0" w:space="0" w:color="auto"/>
      </w:divBdr>
    </w:div>
    <w:div w:id="1835875828">
      <w:bodyDiv w:val="1"/>
      <w:marLeft w:val="0"/>
      <w:marRight w:val="0"/>
      <w:marTop w:val="0"/>
      <w:marBottom w:val="0"/>
      <w:divBdr>
        <w:top w:val="none" w:sz="0" w:space="0" w:color="auto"/>
        <w:left w:val="none" w:sz="0" w:space="0" w:color="auto"/>
        <w:bottom w:val="none" w:sz="0" w:space="0" w:color="auto"/>
        <w:right w:val="none" w:sz="0" w:space="0" w:color="auto"/>
      </w:divBdr>
      <w:divsChild>
        <w:div w:id="2094086444">
          <w:marLeft w:val="0"/>
          <w:marRight w:val="0"/>
          <w:marTop w:val="0"/>
          <w:marBottom w:val="0"/>
          <w:divBdr>
            <w:top w:val="none" w:sz="0" w:space="0" w:color="auto"/>
            <w:left w:val="none" w:sz="0" w:space="0" w:color="auto"/>
            <w:bottom w:val="none" w:sz="0" w:space="0" w:color="auto"/>
            <w:right w:val="none" w:sz="0" w:space="0" w:color="auto"/>
          </w:divBdr>
          <w:divsChild>
            <w:div w:id="825777800">
              <w:marLeft w:val="0"/>
              <w:marRight w:val="0"/>
              <w:marTop w:val="0"/>
              <w:marBottom w:val="0"/>
              <w:divBdr>
                <w:top w:val="none" w:sz="0" w:space="0" w:color="auto"/>
                <w:left w:val="none" w:sz="0" w:space="0" w:color="auto"/>
                <w:bottom w:val="none" w:sz="0" w:space="0" w:color="auto"/>
                <w:right w:val="none" w:sz="0" w:space="0" w:color="auto"/>
              </w:divBdr>
            </w:div>
            <w:div w:id="466748295">
              <w:marLeft w:val="0"/>
              <w:marRight w:val="0"/>
              <w:marTop w:val="0"/>
              <w:marBottom w:val="0"/>
              <w:divBdr>
                <w:top w:val="none" w:sz="0" w:space="0" w:color="auto"/>
                <w:left w:val="none" w:sz="0" w:space="0" w:color="auto"/>
                <w:bottom w:val="none" w:sz="0" w:space="0" w:color="auto"/>
                <w:right w:val="none" w:sz="0" w:space="0" w:color="auto"/>
              </w:divBdr>
            </w:div>
            <w:div w:id="1805000621">
              <w:marLeft w:val="0"/>
              <w:marRight w:val="0"/>
              <w:marTop w:val="0"/>
              <w:marBottom w:val="0"/>
              <w:divBdr>
                <w:top w:val="none" w:sz="0" w:space="0" w:color="auto"/>
                <w:left w:val="none" w:sz="0" w:space="0" w:color="auto"/>
                <w:bottom w:val="none" w:sz="0" w:space="0" w:color="auto"/>
                <w:right w:val="none" w:sz="0" w:space="0" w:color="auto"/>
              </w:divBdr>
            </w:div>
            <w:div w:id="1276793087">
              <w:marLeft w:val="0"/>
              <w:marRight w:val="0"/>
              <w:marTop w:val="0"/>
              <w:marBottom w:val="0"/>
              <w:divBdr>
                <w:top w:val="none" w:sz="0" w:space="0" w:color="auto"/>
                <w:left w:val="none" w:sz="0" w:space="0" w:color="auto"/>
                <w:bottom w:val="none" w:sz="0" w:space="0" w:color="auto"/>
                <w:right w:val="none" w:sz="0" w:space="0" w:color="auto"/>
              </w:divBdr>
            </w:div>
            <w:div w:id="1892643825">
              <w:marLeft w:val="0"/>
              <w:marRight w:val="0"/>
              <w:marTop w:val="0"/>
              <w:marBottom w:val="0"/>
              <w:divBdr>
                <w:top w:val="none" w:sz="0" w:space="0" w:color="auto"/>
                <w:left w:val="none" w:sz="0" w:space="0" w:color="auto"/>
                <w:bottom w:val="none" w:sz="0" w:space="0" w:color="auto"/>
                <w:right w:val="none" w:sz="0" w:space="0" w:color="auto"/>
              </w:divBdr>
            </w:div>
            <w:div w:id="108597697">
              <w:marLeft w:val="0"/>
              <w:marRight w:val="0"/>
              <w:marTop w:val="0"/>
              <w:marBottom w:val="0"/>
              <w:divBdr>
                <w:top w:val="none" w:sz="0" w:space="0" w:color="auto"/>
                <w:left w:val="none" w:sz="0" w:space="0" w:color="auto"/>
                <w:bottom w:val="none" w:sz="0" w:space="0" w:color="auto"/>
                <w:right w:val="none" w:sz="0" w:space="0" w:color="auto"/>
              </w:divBdr>
            </w:div>
            <w:div w:id="774835066">
              <w:marLeft w:val="0"/>
              <w:marRight w:val="0"/>
              <w:marTop w:val="0"/>
              <w:marBottom w:val="0"/>
              <w:divBdr>
                <w:top w:val="none" w:sz="0" w:space="0" w:color="auto"/>
                <w:left w:val="none" w:sz="0" w:space="0" w:color="auto"/>
                <w:bottom w:val="none" w:sz="0" w:space="0" w:color="auto"/>
                <w:right w:val="none" w:sz="0" w:space="0" w:color="auto"/>
              </w:divBdr>
            </w:div>
            <w:div w:id="1075277707">
              <w:marLeft w:val="0"/>
              <w:marRight w:val="0"/>
              <w:marTop w:val="0"/>
              <w:marBottom w:val="0"/>
              <w:divBdr>
                <w:top w:val="none" w:sz="0" w:space="0" w:color="auto"/>
                <w:left w:val="none" w:sz="0" w:space="0" w:color="auto"/>
                <w:bottom w:val="none" w:sz="0" w:space="0" w:color="auto"/>
                <w:right w:val="none" w:sz="0" w:space="0" w:color="auto"/>
              </w:divBdr>
            </w:div>
            <w:div w:id="1301106177">
              <w:marLeft w:val="0"/>
              <w:marRight w:val="0"/>
              <w:marTop w:val="0"/>
              <w:marBottom w:val="0"/>
              <w:divBdr>
                <w:top w:val="none" w:sz="0" w:space="0" w:color="auto"/>
                <w:left w:val="none" w:sz="0" w:space="0" w:color="auto"/>
                <w:bottom w:val="none" w:sz="0" w:space="0" w:color="auto"/>
                <w:right w:val="none" w:sz="0" w:space="0" w:color="auto"/>
              </w:divBdr>
            </w:div>
            <w:div w:id="39088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27229">
      <w:bodyDiv w:val="1"/>
      <w:marLeft w:val="0"/>
      <w:marRight w:val="0"/>
      <w:marTop w:val="0"/>
      <w:marBottom w:val="0"/>
      <w:divBdr>
        <w:top w:val="none" w:sz="0" w:space="0" w:color="auto"/>
        <w:left w:val="none" w:sz="0" w:space="0" w:color="auto"/>
        <w:bottom w:val="none" w:sz="0" w:space="0" w:color="auto"/>
        <w:right w:val="none" w:sz="0" w:space="0" w:color="auto"/>
      </w:divBdr>
      <w:divsChild>
        <w:div w:id="1941135386">
          <w:marLeft w:val="432"/>
          <w:marRight w:val="0"/>
          <w:marTop w:val="120"/>
          <w:marBottom w:val="120"/>
          <w:divBdr>
            <w:top w:val="none" w:sz="0" w:space="0" w:color="auto"/>
            <w:left w:val="none" w:sz="0" w:space="0" w:color="auto"/>
            <w:bottom w:val="none" w:sz="0" w:space="0" w:color="auto"/>
            <w:right w:val="none" w:sz="0" w:space="0" w:color="auto"/>
          </w:divBdr>
        </w:div>
        <w:div w:id="684288796">
          <w:marLeft w:val="432"/>
          <w:marRight w:val="0"/>
          <w:marTop w:val="120"/>
          <w:marBottom w:val="120"/>
          <w:divBdr>
            <w:top w:val="none" w:sz="0" w:space="0" w:color="auto"/>
            <w:left w:val="none" w:sz="0" w:space="0" w:color="auto"/>
            <w:bottom w:val="none" w:sz="0" w:space="0" w:color="auto"/>
            <w:right w:val="none" w:sz="0" w:space="0" w:color="auto"/>
          </w:divBdr>
        </w:div>
        <w:div w:id="1560940314">
          <w:marLeft w:val="432"/>
          <w:marRight w:val="0"/>
          <w:marTop w:val="120"/>
          <w:marBottom w:val="120"/>
          <w:divBdr>
            <w:top w:val="none" w:sz="0" w:space="0" w:color="auto"/>
            <w:left w:val="none" w:sz="0" w:space="0" w:color="auto"/>
            <w:bottom w:val="none" w:sz="0" w:space="0" w:color="auto"/>
            <w:right w:val="none" w:sz="0" w:space="0" w:color="auto"/>
          </w:divBdr>
        </w:div>
      </w:divsChild>
    </w:div>
    <w:div w:id="2012951281">
      <w:bodyDiv w:val="1"/>
      <w:marLeft w:val="0"/>
      <w:marRight w:val="0"/>
      <w:marTop w:val="0"/>
      <w:marBottom w:val="0"/>
      <w:divBdr>
        <w:top w:val="none" w:sz="0" w:space="0" w:color="auto"/>
        <w:left w:val="none" w:sz="0" w:space="0" w:color="auto"/>
        <w:bottom w:val="none" w:sz="0" w:space="0" w:color="auto"/>
        <w:right w:val="none" w:sz="0" w:space="0" w:color="auto"/>
      </w:divBdr>
    </w:div>
    <w:div w:id="2091154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hart" Target="charts/chart2.xml"/><Relationship Id="rId26" Type="http://schemas.openxmlformats.org/officeDocument/2006/relationships/hyperlink" Target="http://ec.europa.eu/environment/emas/index_en.htm" TargetMode="External"/><Relationship Id="rId3" Type="http://schemas.openxmlformats.org/officeDocument/2006/relationships/styles" Target="styles.xml"/><Relationship Id="rId21" Type="http://schemas.openxmlformats.org/officeDocument/2006/relationships/hyperlink" Target="https://www.globalreporting.org/standards/gri-standards-download-center/"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hart" Target="charts/chart1.xml"/><Relationship Id="rId25" Type="http://schemas.openxmlformats.org/officeDocument/2006/relationships/hyperlink" Target="http://www.iso.org/iso/catalogue_detail?csnumber=42546" TargetMode="Externa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image" Target="media/image2.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oecd.org/daf/inv/mne/48004323.pdf"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ohchr.org/Documents/Publications/GuidingPrinciplesBusinessHR_EN.pdf" TargetMode="External"/><Relationship Id="rId28" Type="http://schemas.openxmlformats.org/officeDocument/2006/relationships/footer" Target="footer6.xml"/><Relationship Id="rId10" Type="http://schemas.openxmlformats.org/officeDocument/2006/relationships/header" Target="header2.xml"/><Relationship Id="rId19"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hyperlink" Target="http://www.unglobalcompact.org/AboutTheGC/TheTenPrinciples/index.html" TargetMode="External"/><Relationship Id="rId27" Type="http://schemas.openxmlformats.org/officeDocument/2006/relationships/hyperlink" Target="http://www.ilo.org/wcmsp5/groups/public/---ed_emp/---emp_ent/---multi/documents/publication/wcms_094386.pdf"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integratedreporting.org/wp-content/uploads/2013/03/IR-Background-Paper-Materiality.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charts/_rels/chart1.xml.rels><?xml version="1.0" encoding="UTF-8" standalone="yes"?>
<Relationships xmlns="http://schemas.openxmlformats.org/package/2006/relationships"><Relationship Id="rId3" Type="http://schemas.openxmlformats.org/officeDocument/2006/relationships/oleObject" Target="file:///C:\Users\Meia%20Lua\Desktop\Rilevanza\Grafici%20-%20130218.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Meia%20Lua\Desktop\Rilevanza\Grafici%20-%20130218.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Meia%20Lua\Desktop\Rilevanza\Grafici%20-%20130218.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cap="rnd">
              <a:noFill/>
              <a:round/>
            </a:ln>
            <a:effectLst/>
          </c:spPr>
          <c:marker>
            <c:symbol val="circle"/>
            <c:size val="5"/>
            <c:spPr>
              <a:solidFill>
                <a:schemeClr val="accent1"/>
              </a:solidFill>
              <a:ln w="63500">
                <a:solidFill>
                  <a:srgbClr val="FFC000"/>
                </a:solidFill>
              </a:ln>
              <a:effectLst/>
            </c:spPr>
          </c:marker>
          <c:dPt>
            <c:idx val="0"/>
            <c:marker>
              <c:symbol val="circle"/>
              <c:size val="5"/>
              <c:spPr>
                <a:solidFill>
                  <a:schemeClr val="accent1"/>
                </a:solidFill>
                <a:ln w="63500">
                  <a:solidFill>
                    <a:srgbClr val="FF0000"/>
                  </a:solidFill>
                </a:ln>
                <a:effectLst/>
              </c:spPr>
            </c:marker>
            <c:bubble3D val="0"/>
            <c:extLst>
              <c:ext xmlns:c16="http://schemas.microsoft.com/office/drawing/2014/chart" uri="{C3380CC4-5D6E-409C-BE32-E72D297353CC}">
                <c16:uniqueId val="{00000000-592F-40C2-9A75-B54E528D4859}"/>
              </c:ext>
            </c:extLst>
          </c:dPt>
          <c:dPt>
            <c:idx val="1"/>
            <c:marker>
              <c:symbol val="circle"/>
              <c:size val="5"/>
              <c:spPr>
                <a:solidFill>
                  <a:schemeClr val="accent1"/>
                </a:solidFill>
                <a:ln w="63500">
                  <a:solidFill>
                    <a:srgbClr val="FF0000"/>
                  </a:solidFill>
                </a:ln>
                <a:effectLst/>
              </c:spPr>
            </c:marker>
            <c:bubble3D val="0"/>
            <c:extLst>
              <c:ext xmlns:c16="http://schemas.microsoft.com/office/drawing/2014/chart" uri="{C3380CC4-5D6E-409C-BE32-E72D297353CC}">
                <c16:uniqueId val="{00000001-592F-40C2-9A75-B54E528D4859}"/>
              </c:ext>
            </c:extLst>
          </c:dPt>
          <c:dPt>
            <c:idx val="4"/>
            <c:marker>
              <c:symbol val="circle"/>
              <c:size val="5"/>
              <c:spPr>
                <a:solidFill>
                  <a:schemeClr val="accent1"/>
                </a:solidFill>
                <a:ln w="63500">
                  <a:solidFill>
                    <a:schemeClr val="accent6">
                      <a:lumMod val="60000"/>
                      <a:lumOff val="40000"/>
                    </a:schemeClr>
                  </a:solidFill>
                </a:ln>
                <a:effectLst/>
              </c:spPr>
            </c:marker>
            <c:bubble3D val="0"/>
            <c:extLst>
              <c:ext xmlns:c16="http://schemas.microsoft.com/office/drawing/2014/chart" uri="{C3380CC4-5D6E-409C-BE32-E72D297353CC}">
                <c16:uniqueId val="{00000002-592F-40C2-9A75-B54E528D4859}"/>
              </c:ext>
            </c:extLst>
          </c:dPt>
          <c:dPt>
            <c:idx val="5"/>
            <c:marker>
              <c:symbol val="circle"/>
              <c:size val="5"/>
              <c:spPr>
                <a:solidFill>
                  <a:schemeClr val="accent1"/>
                </a:solidFill>
                <a:ln w="63500">
                  <a:solidFill>
                    <a:schemeClr val="accent6">
                      <a:lumMod val="60000"/>
                      <a:lumOff val="40000"/>
                    </a:schemeClr>
                  </a:solidFill>
                </a:ln>
                <a:effectLst/>
              </c:spPr>
            </c:marker>
            <c:bubble3D val="0"/>
            <c:extLst>
              <c:ext xmlns:c16="http://schemas.microsoft.com/office/drawing/2014/chart" uri="{C3380CC4-5D6E-409C-BE32-E72D297353CC}">
                <c16:uniqueId val="{00000003-592F-40C2-9A75-B54E528D4859}"/>
              </c:ext>
            </c:extLst>
          </c:dPt>
          <c:dPt>
            <c:idx val="8"/>
            <c:marker>
              <c:symbol val="circle"/>
              <c:size val="5"/>
              <c:spPr>
                <a:solidFill>
                  <a:schemeClr val="accent1"/>
                </a:solidFill>
                <a:ln w="63500">
                  <a:solidFill>
                    <a:schemeClr val="accent6">
                      <a:lumMod val="60000"/>
                      <a:lumOff val="40000"/>
                    </a:schemeClr>
                  </a:solidFill>
                </a:ln>
                <a:effectLst/>
              </c:spPr>
            </c:marker>
            <c:bubble3D val="0"/>
            <c:extLst>
              <c:ext xmlns:c16="http://schemas.microsoft.com/office/drawing/2014/chart" uri="{C3380CC4-5D6E-409C-BE32-E72D297353CC}">
                <c16:uniqueId val="{00000004-592F-40C2-9A75-B54E528D4859}"/>
              </c:ext>
            </c:extLst>
          </c:dPt>
          <c:dPt>
            <c:idx val="9"/>
            <c:marker>
              <c:symbol val="circle"/>
              <c:size val="5"/>
              <c:spPr>
                <a:solidFill>
                  <a:schemeClr val="accent1"/>
                </a:solidFill>
                <a:ln w="63500">
                  <a:solidFill>
                    <a:schemeClr val="accent6">
                      <a:lumMod val="60000"/>
                      <a:lumOff val="40000"/>
                    </a:schemeClr>
                  </a:solidFill>
                </a:ln>
                <a:effectLst/>
              </c:spPr>
            </c:marker>
            <c:bubble3D val="0"/>
            <c:extLst>
              <c:ext xmlns:c16="http://schemas.microsoft.com/office/drawing/2014/chart" uri="{C3380CC4-5D6E-409C-BE32-E72D297353CC}">
                <c16:uniqueId val="{00000005-592F-40C2-9A75-B54E528D4859}"/>
              </c:ext>
            </c:extLst>
          </c:dPt>
          <c:dPt>
            <c:idx val="13"/>
            <c:marker>
              <c:symbol val="circle"/>
              <c:size val="5"/>
              <c:spPr>
                <a:solidFill>
                  <a:schemeClr val="accent1"/>
                </a:solidFill>
                <a:ln w="63500">
                  <a:solidFill>
                    <a:srgbClr val="FF0000"/>
                  </a:solidFill>
                </a:ln>
                <a:effectLst/>
              </c:spPr>
            </c:marker>
            <c:bubble3D val="0"/>
            <c:extLst>
              <c:ext xmlns:c16="http://schemas.microsoft.com/office/drawing/2014/chart" uri="{C3380CC4-5D6E-409C-BE32-E72D297353CC}">
                <c16:uniqueId val="{00000006-592F-40C2-9A75-B54E528D4859}"/>
              </c:ext>
            </c:extLst>
          </c:dPt>
          <c:dPt>
            <c:idx val="14"/>
            <c:marker>
              <c:symbol val="circle"/>
              <c:size val="5"/>
              <c:spPr>
                <a:solidFill>
                  <a:schemeClr val="accent1"/>
                </a:solidFill>
                <a:ln w="63500">
                  <a:solidFill>
                    <a:srgbClr val="FF0000"/>
                  </a:solidFill>
                </a:ln>
                <a:effectLst/>
              </c:spPr>
            </c:marker>
            <c:bubble3D val="0"/>
            <c:extLst>
              <c:ext xmlns:c16="http://schemas.microsoft.com/office/drawing/2014/chart" uri="{C3380CC4-5D6E-409C-BE32-E72D297353CC}">
                <c16:uniqueId val="{00000007-592F-40C2-9A75-B54E528D4859}"/>
              </c:ext>
            </c:extLst>
          </c:dPt>
          <c:xVal>
            <c:numRef>
              <c:f>Foglio1!$B$3:$B$17</c:f>
              <c:numCache>
                <c:formatCode>General</c:formatCode>
                <c:ptCount val="15"/>
                <c:pt idx="0">
                  <c:v>4</c:v>
                </c:pt>
                <c:pt idx="1">
                  <c:v>2</c:v>
                </c:pt>
                <c:pt idx="2">
                  <c:v>3</c:v>
                </c:pt>
                <c:pt idx="3">
                  <c:v>8</c:v>
                </c:pt>
                <c:pt idx="4">
                  <c:v>14</c:v>
                </c:pt>
                <c:pt idx="5">
                  <c:v>12</c:v>
                </c:pt>
                <c:pt idx="6">
                  <c:v>12</c:v>
                </c:pt>
                <c:pt idx="7">
                  <c:v>17</c:v>
                </c:pt>
                <c:pt idx="8">
                  <c:v>18</c:v>
                </c:pt>
                <c:pt idx="9">
                  <c:v>16</c:v>
                </c:pt>
                <c:pt idx="10">
                  <c:v>7</c:v>
                </c:pt>
                <c:pt idx="11">
                  <c:v>12</c:v>
                </c:pt>
                <c:pt idx="12">
                  <c:v>14</c:v>
                </c:pt>
                <c:pt idx="13">
                  <c:v>7</c:v>
                </c:pt>
                <c:pt idx="14">
                  <c:v>5</c:v>
                </c:pt>
              </c:numCache>
            </c:numRef>
          </c:xVal>
          <c:yVal>
            <c:numRef>
              <c:f>Foglio1!$C$3:$C$17</c:f>
              <c:numCache>
                <c:formatCode>General</c:formatCode>
                <c:ptCount val="15"/>
                <c:pt idx="0">
                  <c:v>7</c:v>
                </c:pt>
                <c:pt idx="1">
                  <c:v>5</c:v>
                </c:pt>
                <c:pt idx="2">
                  <c:v>18</c:v>
                </c:pt>
                <c:pt idx="3">
                  <c:v>8</c:v>
                </c:pt>
                <c:pt idx="4">
                  <c:v>17</c:v>
                </c:pt>
                <c:pt idx="5">
                  <c:v>15</c:v>
                </c:pt>
                <c:pt idx="6">
                  <c:v>1</c:v>
                </c:pt>
                <c:pt idx="7">
                  <c:v>3</c:v>
                </c:pt>
                <c:pt idx="8">
                  <c:v>18</c:v>
                </c:pt>
                <c:pt idx="9">
                  <c:v>13</c:v>
                </c:pt>
                <c:pt idx="10">
                  <c:v>13</c:v>
                </c:pt>
                <c:pt idx="11">
                  <c:v>11</c:v>
                </c:pt>
                <c:pt idx="12">
                  <c:v>7</c:v>
                </c:pt>
                <c:pt idx="13">
                  <c:v>2</c:v>
                </c:pt>
                <c:pt idx="14">
                  <c:v>3</c:v>
                </c:pt>
              </c:numCache>
            </c:numRef>
          </c:yVal>
          <c:smooth val="0"/>
          <c:extLst>
            <c:ext xmlns:c16="http://schemas.microsoft.com/office/drawing/2014/chart" uri="{C3380CC4-5D6E-409C-BE32-E72D297353CC}">
              <c16:uniqueId val="{00000008-592F-40C2-9A75-B54E528D4859}"/>
            </c:ext>
          </c:extLst>
        </c:ser>
        <c:dLbls>
          <c:showLegendKey val="0"/>
          <c:showVal val="0"/>
          <c:showCatName val="0"/>
          <c:showSerName val="0"/>
          <c:showPercent val="0"/>
          <c:showBubbleSize val="0"/>
        </c:dLbls>
        <c:axId val="152426344"/>
        <c:axId val="152428304"/>
      </c:scatterChart>
      <c:valAx>
        <c:axId val="152426344"/>
        <c:scaling>
          <c:orientation val="minMax"/>
          <c:max val="20"/>
          <c:min val="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r>
                  <a:rPr lang="it-IT" sz="800"/>
                  <a:t>Portata degli impatti economici, ambientali e sociali</a:t>
                </a:r>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it-IT"/>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it-IT"/>
          </a:p>
        </c:txPr>
        <c:crossAx val="152428304"/>
        <c:crosses val="autoZero"/>
        <c:crossBetween val="midCat"/>
      </c:valAx>
      <c:valAx>
        <c:axId val="152428304"/>
        <c:scaling>
          <c:orientation val="minMax"/>
          <c:max val="20"/>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r>
                  <a:rPr lang="it-IT" sz="800"/>
                  <a:t>Influenza su valutazioni e decisioni degli stakeholder</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it-IT"/>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it-IT"/>
          </a:p>
        </c:txPr>
        <c:crossAx val="152426344"/>
        <c:crosses val="autoZero"/>
        <c:crossBetween val="midCat"/>
        <c:majorUnit val="5"/>
      </c:valAx>
      <c:spPr>
        <a:solidFill>
          <a:schemeClr val="bg1">
            <a:lumMod val="95000"/>
          </a:schemeClr>
        </a:solid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900">
          <a:latin typeface="Segoe UI" panose="020B0502040204020203" pitchFamily="34" charset="0"/>
          <a:cs typeface="Segoe UI" panose="020B0502040204020203" pitchFamily="34" charset="0"/>
        </a:defRPr>
      </a:pPr>
      <a:endParaRPr lang="it-IT"/>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cap="rnd">
              <a:noFill/>
              <a:round/>
            </a:ln>
            <a:effectLst/>
          </c:spPr>
          <c:marker>
            <c:symbol val="circle"/>
            <c:size val="5"/>
            <c:spPr>
              <a:solidFill>
                <a:schemeClr val="accent1"/>
              </a:solidFill>
              <a:ln w="63500">
                <a:solidFill>
                  <a:schemeClr val="accent6">
                    <a:lumMod val="60000"/>
                    <a:lumOff val="40000"/>
                  </a:schemeClr>
                </a:solidFill>
              </a:ln>
              <a:effectLst/>
            </c:spPr>
          </c:marker>
          <c:dPt>
            <c:idx val="0"/>
            <c:marker>
              <c:symbol val="circle"/>
              <c:size val="5"/>
              <c:spPr>
                <a:solidFill>
                  <a:schemeClr val="accent1"/>
                </a:solidFill>
                <a:ln w="63500">
                  <a:solidFill>
                    <a:schemeClr val="accent1">
                      <a:lumMod val="60000"/>
                      <a:lumOff val="40000"/>
                    </a:schemeClr>
                  </a:solidFill>
                </a:ln>
                <a:effectLst/>
              </c:spPr>
            </c:marker>
            <c:bubble3D val="0"/>
            <c:extLst>
              <c:ext xmlns:c16="http://schemas.microsoft.com/office/drawing/2014/chart" uri="{C3380CC4-5D6E-409C-BE32-E72D297353CC}">
                <c16:uniqueId val="{00000000-9DA1-494A-94A9-B4D7A0CFAA99}"/>
              </c:ext>
            </c:extLst>
          </c:dPt>
          <c:dPt>
            <c:idx val="1"/>
            <c:marker>
              <c:symbol val="circle"/>
              <c:size val="5"/>
              <c:spPr>
                <a:solidFill>
                  <a:schemeClr val="accent1"/>
                </a:solidFill>
                <a:ln w="63500">
                  <a:solidFill>
                    <a:schemeClr val="accent1">
                      <a:lumMod val="75000"/>
                    </a:schemeClr>
                  </a:solidFill>
                </a:ln>
                <a:effectLst/>
              </c:spPr>
            </c:marker>
            <c:bubble3D val="0"/>
            <c:extLst>
              <c:ext xmlns:c16="http://schemas.microsoft.com/office/drawing/2014/chart" uri="{C3380CC4-5D6E-409C-BE32-E72D297353CC}">
                <c16:uniqueId val="{00000001-9DA1-494A-94A9-B4D7A0CFAA99}"/>
              </c:ext>
            </c:extLst>
          </c:dPt>
          <c:dPt>
            <c:idx val="2"/>
            <c:marker>
              <c:symbol val="circle"/>
              <c:size val="5"/>
              <c:spPr>
                <a:solidFill>
                  <a:schemeClr val="accent1"/>
                </a:solidFill>
                <a:ln w="63500">
                  <a:solidFill>
                    <a:schemeClr val="accent6">
                      <a:lumMod val="40000"/>
                      <a:lumOff val="60000"/>
                    </a:schemeClr>
                  </a:solidFill>
                </a:ln>
                <a:effectLst/>
              </c:spPr>
            </c:marker>
            <c:bubble3D val="0"/>
            <c:extLst>
              <c:ext xmlns:c16="http://schemas.microsoft.com/office/drawing/2014/chart" uri="{C3380CC4-5D6E-409C-BE32-E72D297353CC}">
                <c16:uniqueId val="{00000002-9DA1-494A-94A9-B4D7A0CFAA99}"/>
              </c:ext>
            </c:extLst>
          </c:dPt>
          <c:dPt>
            <c:idx val="5"/>
            <c:marker>
              <c:symbol val="circle"/>
              <c:size val="5"/>
              <c:spPr>
                <a:solidFill>
                  <a:schemeClr val="accent1"/>
                </a:solidFill>
                <a:ln w="63500">
                  <a:solidFill>
                    <a:schemeClr val="accent4">
                      <a:lumMod val="75000"/>
                    </a:schemeClr>
                  </a:solidFill>
                </a:ln>
                <a:effectLst/>
              </c:spPr>
            </c:marker>
            <c:bubble3D val="0"/>
            <c:extLst>
              <c:ext xmlns:c16="http://schemas.microsoft.com/office/drawing/2014/chart" uri="{C3380CC4-5D6E-409C-BE32-E72D297353CC}">
                <c16:uniqueId val="{00000003-9DA1-494A-94A9-B4D7A0CFAA99}"/>
              </c:ext>
            </c:extLst>
          </c:dPt>
          <c:dPt>
            <c:idx val="7"/>
            <c:marker>
              <c:symbol val="circle"/>
              <c:size val="5"/>
              <c:spPr>
                <a:solidFill>
                  <a:schemeClr val="accent1"/>
                </a:solidFill>
                <a:ln w="63500">
                  <a:solidFill>
                    <a:schemeClr val="accent1"/>
                  </a:solidFill>
                </a:ln>
                <a:effectLst/>
              </c:spPr>
            </c:marker>
            <c:bubble3D val="0"/>
            <c:extLst>
              <c:ext xmlns:c16="http://schemas.microsoft.com/office/drawing/2014/chart" uri="{C3380CC4-5D6E-409C-BE32-E72D297353CC}">
                <c16:uniqueId val="{00000004-9DA1-494A-94A9-B4D7A0CFAA99}"/>
              </c:ext>
            </c:extLst>
          </c:dPt>
          <c:dPt>
            <c:idx val="9"/>
            <c:marker>
              <c:symbol val="circle"/>
              <c:size val="5"/>
              <c:spPr>
                <a:solidFill>
                  <a:schemeClr val="accent1"/>
                </a:solidFill>
                <a:ln w="63500">
                  <a:solidFill>
                    <a:schemeClr val="accent4">
                      <a:lumMod val="60000"/>
                      <a:lumOff val="40000"/>
                    </a:schemeClr>
                  </a:solidFill>
                </a:ln>
                <a:effectLst/>
              </c:spPr>
            </c:marker>
            <c:bubble3D val="0"/>
            <c:extLst>
              <c:ext xmlns:c16="http://schemas.microsoft.com/office/drawing/2014/chart" uri="{C3380CC4-5D6E-409C-BE32-E72D297353CC}">
                <c16:uniqueId val="{00000005-9DA1-494A-94A9-B4D7A0CFAA99}"/>
              </c:ext>
            </c:extLst>
          </c:dPt>
          <c:xVal>
            <c:numRef>
              <c:f>Foglio1!$B$23:$B$32</c:f>
              <c:numCache>
                <c:formatCode>General</c:formatCode>
                <c:ptCount val="10"/>
                <c:pt idx="0">
                  <c:v>4</c:v>
                </c:pt>
                <c:pt idx="1">
                  <c:v>2</c:v>
                </c:pt>
                <c:pt idx="2">
                  <c:v>8</c:v>
                </c:pt>
                <c:pt idx="3">
                  <c:v>14</c:v>
                </c:pt>
                <c:pt idx="4">
                  <c:v>12</c:v>
                </c:pt>
                <c:pt idx="5">
                  <c:v>18</c:v>
                </c:pt>
                <c:pt idx="6">
                  <c:v>18</c:v>
                </c:pt>
                <c:pt idx="7">
                  <c:v>7</c:v>
                </c:pt>
                <c:pt idx="8">
                  <c:v>15</c:v>
                </c:pt>
                <c:pt idx="9">
                  <c:v>5</c:v>
                </c:pt>
              </c:numCache>
            </c:numRef>
          </c:xVal>
          <c:yVal>
            <c:numRef>
              <c:f>Foglio1!$C$23:$C$32</c:f>
              <c:numCache>
                <c:formatCode>General</c:formatCode>
                <c:ptCount val="10"/>
                <c:pt idx="0">
                  <c:v>6</c:v>
                </c:pt>
                <c:pt idx="1">
                  <c:v>18</c:v>
                </c:pt>
                <c:pt idx="2">
                  <c:v>8</c:v>
                </c:pt>
                <c:pt idx="3">
                  <c:v>17</c:v>
                </c:pt>
                <c:pt idx="4">
                  <c:v>12</c:v>
                </c:pt>
                <c:pt idx="5">
                  <c:v>2</c:v>
                </c:pt>
                <c:pt idx="6">
                  <c:v>18</c:v>
                </c:pt>
                <c:pt idx="7">
                  <c:v>16</c:v>
                </c:pt>
                <c:pt idx="8">
                  <c:v>9</c:v>
                </c:pt>
                <c:pt idx="9">
                  <c:v>3</c:v>
                </c:pt>
              </c:numCache>
            </c:numRef>
          </c:yVal>
          <c:smooth val="0"/>
          <c:extLst>
            <c:ext xmlns:c16="http://schemas.microsoft.com/office/drawing/2014/chart" uri="{C3380CC4-5D6E-409C-BE32-E72D297353CC}">
              <c16:uniqueId val="{00000006-9DA1-494A-94A9-B4D7A0CFAA99}"/>
            </c:ext>
          </c:extLst>
        </c:ser>
        <c:dLbls>
          <c:showLegendKey val="0"/>
          <c:showVal val="0"/>
          <c:showCatName val="0"/>
          <c:showSerName val="0"/>
          <c:showPercent val="0"/>
          <c:showBubbleSize val="0"/>
        </c:dLbls>
        <c:axId val="551136144"/>
        <c:axId val="551136536"/>
      </c:scatterChart>
      <c:valAx>
        <c:axId val="551136144"/>
        <c:scaling>
          <c:orientation val="minMax"/>
          <c:max val="20"/>
          <c:min val="0"/>
        </c:scaling>
        <c:delete val="1"/>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r>
                  <a:rPr lang="it-IT"/>
                  <a:t>Portata dell'impatto</a:t>
                </a:r>
              </a:p>
            </c:rich>
          </c:tx>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it-IT"/>
            </a:p>
          </c:txPr>
        </c:title>
        <c:numFmt formatCode="General" sourceLinked="1"/>
        <c:majorTickMark val="none"/>
        <c:minorTickMark val="none"/>
        <c:tickLblPos val="nextTo"/>
        <c:crossAx val="551136536"/>
        <c:crosses val="autoZero"/>
        <c:crossBetween val="midCat"/>
      </c:valAx>
      <c:valAx>
        <c:axId val="551136536"/>
        <c:scaling>
          <c:orientation val="minMax"/>
          <c:max val="20"/>
          <c:min val="0"/>
        </c:scaling>
        <c:delete val="1"/>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r>
                  <a:rPr lang="it-IT"/>
                  <a:t>Probabilità dell'impatto</a:t>
                </a:r>
              </a:p>
            </c:rich>
          </c:tx>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it-IT"/>
            </a:p>
          </c:txPr>
        </c:title>
        <c:numFmt formatCode="General" sourceLinked="1"/>
        <c:majorTickMark val="none"/>
        <c:minorTickMark val="none"/>
        <c:tickLblPos val="nextTo"/>
        <c:crossAx val="551136144"/>
        <c:crosses val="autoZero"/>
        <c:crossBetween val="midCat"/>
        <c:majorUnit val="5"/>
      </c:valAx>
      <c:spPr>
        <a:solidFill>
          <a:schemeClr val="bg1">
            <a:lumMod val="95000"/>
          </a:schemeClr>
        </a:solid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900">
          <a:latin typeface="Segoe UI" panose="020B0502040204020203" pitchFamily="34" charset="0"/>
          <a:cs typeface="Segoe UI" panose="020B0502040204020203" pitchFamily="34" charset="0"/>
        </a:defRPr>
      </a:pPr>
      <a:endParaRPr lang="it-IT"/>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cap="rnd">
              <a:noFill/>
              <a:round/>
            </a:ln>
            <a:effectLst/>
          </c:spPr>
          <c:marker>
            <c:symbol val="circle"/>
            <c:size val="5"/>
            <c:spPr>
              <a:solidFill>
                <a:schemeClr val="accent1"/>
              </a:solidFill>
              <a:ln w="63500">
                <a:solidFill>
                  <a:schemeClr val="accent1"/>
                </a:solidFill>
              </a:ln>
              <a:effectLst/>
            </c:spPr>
          </c:marker>
          <c:dPt>
            <c:idx val="1"/>
            <c:marker>
              <c:symbol val="circle"/>
              <c:size val="5"/>
              <c:spPr>
                <a:solidFill>
                  <a:schemeClr val="accent1"/>
                </a:solidFill>
                <a:ln w="63500">
                  <a:solidFill>
                    <a:srgbClr val="FF0000"/>
                  </a:solidFill>
                </a:ln>
                <a:effectLst/>
              </c:spPr>
            </c:marker>
            <c:bubble3D val="0"/>
            <c:extLst>
              <c:ext xmlns:c16="http://schemas.microsoft.com/office/drawing/2014/chart" uri="{C3380CC4-5D6E-409C-BE32-E72D297353CC}">
                <c16:uniqueId val="{00000000-45FE-4FB6-8CF2-B835C9DA005E}"/>
              </c:ext>
            </c:extLst>
          </c:dPt>
          <c:dPt>
            <c:idx val="2"/>
            <c:marker>
              <c:symbol val="circle"/>
              <c:size val="5"/>
              <c:spPr>
                <a:solidFill>
                  <a:schemeClr val="accent1"/>
                </a:solidFill>
                <a:ln w="63500">
                  <a:solidFill>
                    <a:schemeClr val="accent2">
                      <a:lumMod val="75000"/>
                    </a:schemeClr>
                  </a:solidFill>
                </a:ln>
                <a:effectLst/>
              </c:spPr>
            </c:marker>
            <c:bubble3D val="0"/>
            <c:extLst>
              <c:ext xmlns:c16="http://schemas.microsoft.com/office/drawing/2014/chart" uri="{C3380CC4-5D6E-409C-BE32-E72D297353CC}">
                <c16:uniqueId val="{00000001-45FE-4FB6-8CF2-B835C9DA005E}"/>
              </c:ext>
            </c:extLst>
          </c:dPt>
          <c:dPt>
            <c:idx val="3"/>
            <c:marker>
              <c:symbol val="circle"/>
              <c:size val="5"/>
              <c:spPr>
                <a:solidFill>
                  <a:schemeClr val="accent1"/>
                </a:solidFill>
                <a:ln w="63500">
                  <a:solidFill>
                    <a:schemeClr val="accent6">
                      <a:lumMod val="60000"/>
                      <a:lumOff val="40000"/>
                    </a:schemeClr>
                  </a:solidFill>
                </a:ln>
                <a:effectLst/>
              </c:spPr>
            </c:marker>
            <c:bubble3D val="0"/>
            <c:extLst>
              <c:ext xmlns:c16="http://schemas.microsoft.com/office/drawing/2014/chart" uri="{C3380CC4-5D6E-409C-BE32-E72D297353CC}">
                <c16:uniqueId val="{00000002-45FE-4FB6-8CF2-B835C9DA005E}"/>
              </c:ext>
            </c:extLst>
          </c:dPt>
          <c:dPt>
            <c:idx val="4"/>
            <c:marker>
              <c:symbol val="circle"/>
              <c:size val="5"/>
              <c:spPr>
                <a:solidFill>
                  <a:schemeClr val="accent1"/>
                </a:solidFill>
                <a:ln w="63500">
                  <a:solidFill>
                    <a:srgbClr val="FFC000"/>
                  </a:solidFill>
                </a:ln>
                <a:effectLst/>
              </c:spPr>
            </c:marker>
            <c:bubble3D val="0"/>
            <c:extLst>
              <c:ext xmlns:c16="http://schemas.microsoft.com/office/drawing/2014/chart" uri="{C3380CC4-5D6E-409C-BE32-E72D297353CC}">
                <c16:uniqueId val="{00000003-45FE-4FB6-8CF2-B835C9DA005E}"/>
              </c:ext>
            </c:extLst>
          </c:dPt>
          <c:dPt>
            <c:idx val="5"/>
            <c:marker>
              <c:symbol val="circle"/>
              <c:size val="5"/>
              <c:spPr>
                <a:solidFill>
                  <a:schemeClr val="accent1"/>
                </a:solidFill>
                <a:ln w="63500">
                  <a:solidFill>
                    <a:schemeClr val="accent6">
                      <a:lumMod val="60000"/>
                      <a:lumOff val="40000"/>
                    </a:schemeClr>
                  </a:solidFill>
                </a:ln>
                <a:effectLst/>
              </c:spPr>
            </c:marker>
            <c:bubble3D val="0"/>
            <c:extLst>
              <c:ext xmlns:c16="http://schemas.microsoft.com/office/drawing/2014/chart" uri="{C3380CC4-5D6E-409C-BE32-E72D297353CC}">
                <c16:uniqueId val="{00000004-45FE-4FB6-8CF2-B835C9DA005E}"/>
              </c:ext>
            </c:extLst>
          </c:dPt>
          <c:dPt>
            <c:idx val="6"/>
            <c:marker>
              <c:symbol val="circle"/>
              <c:size val="5"/>
              <c:spPr>
                <a:solidFill>
                  <a:schemeClr val="accent1"/>
                </a:solidFill>
                <a:ln w="63500">
                  <a:solidFill>
                    <a:srgbClr val="FF0000"/>
                  </a:solidFill>
                </a:ln>
                <a:effectLst/>
              </c:spPr>
            </c:marker>
            <c:bubble3D val="0"/>
            <c:extLst>
              <c:ext xmlns:c16="http://schemas.microsoft.com/office/drawing/2014/chart" uri="{C3380CC4-5D6E-409C-BE32-E72D297353CC}">
                <c16:uniqueId val="{00000005-45FE-4FB6-8CF2-B835C9DA005E}"/>
              </c:ext>
            </c:extLst>
          </c:dPt>
          <c:dPt>
            <c:idx val="7"/>
            <c:marker>
              <c:symbol val="circle"/>
              <c:size val="5"/>
              <c:spPr>
                <a:solidFill>
                  <a:schemeClr val="accent1"/>
                </a:solidFill>
                <a:ln w="63500">
                  <a:solidFill>
                    <a:schemeClr val="accent6">
                      <a:lumMod val="60000"/>
                      <a:lumOff val="40000"/>
                    </a:schemeClr>
                  </a:solidFill>
                </a:ln>
                <a:effectLst/>
              </c:spPr>
            </c:marker>
            <c:bubble3D val="0"/>
            <c:extLst>
              <c:ext xmlns:c16="http://schemas.microsoft.com/office/drawing/2014/chart" uri="{C3380CC4-5D6E-409C-BE32-E72D297353CC}">
                <c16:uniqueId val="{00000006-45FE-4FB6-8CF2-B835C9DA005E}"/>
              </c:ext>
            </c:extLst>
          </c:dPt>
          <c:dPt>
            <c:idx val="8"/>
            <c:marker>
              <c:symbol val="circle"/>
              <c:size val="5"/>
              <c:spPr>
                <a:solidFill>
                  <a:schemeClr val="accent1"/>
                </a:solidFill>
                <a:ln w="63500">
                  <a:solidFill>
                    <a:srgbClr val="FFC000"/>
                  </a:solidFill>
                </a:ln>
                <a:effectLst/>
              </c:spPr>
            </c:marker>
            <c:bubble3D val="0"/>
            <c:extLst>
              <c:ext xmlns:c16="http://schemas.microsoft.com/office/drawing/2014/chart" uri="{C3380CC4-5D6E-409C-BE32-E72D297353CC}">
                <c16:uniqueId val="{00000007-45FE-4FB6-8CF2-B835C9DA005E}"/>
              </c:ext>
            </c:extLst>
          </c:dPt>
          <c:dPt>
            <c:idx val="9"/>
            <c:marker>
              <c:symbol val="circle"/>
              <c:size val="5"/>
              <c:spPr>
                <a:solidFill>
                  <a:schemeClr val="accent1"/>
                </a:solidFill>
                <a:ln w="63500">
                  <a:solidFill>
                    <a:schemeClr val="accent6">
                      <a:lumMod val="60000"/>
                      <a:lumOff val="40000"/>
                    </a:schemeClr>
                  </a:solidFill>
                </a:ln>
                <a:effectLst/>
              </c:spPr>
            </c:marker>
            <c:bubble3D val="0"/>
            <c:extLst>
              <c:ext xmlns:c16="http://schemas.microsoft.com/office/drawing/2014/chart" uri="{C3380CC4-5D6E-409C-BE32-E72D297353CC}">
                <c16:uniqueId val="{00000008-45FE-4FB6-8CF2-B835C9DA005E}"/>
              </c:ext>
            </c:extLst>
          </c:dPt>
          <c:dPt>
            <c:idx val="10"/>
            <c:marker>
              <c:symbol val="circle"/>
              <c:size val="5"/>
              <c:spPr>
                <a:solidFill>
                  <a:schemeClr val="accent1"/>
                </a:solidFill>
                <a:ln w="63500">
                  <a:solidFill>
                    <a:schemeClr val="accent6">
                      <a:lumMod val="60000"/>
                      <a:lumOff val="40000"/>
                    </a:schemeClr>
                  </a:solidFill>
                </a:ln>
                <a:effectLst/>
              </c:spPr>
            </c:marker>
            <c:bubble3D val="0"/>
            <c:extLst>
              <c:ext xmlns:c16="http://schemas.microsoft.com/office/drawing/2014/chart" uri="{C3380CC4-5D6E-409C-BE32-E72D297353CC}">
                <c16:uniqueId val="{00000009-45FE-4FB6-8CF2-B835C9DA005E}"/>
              </c:ext>
            </c:extLst>
          </c:dPt>
          <c:dPt>
            <c:idx val="11"/>
            <c:marker>
              <c:symbol val="circle"/>
              <c:size val="5"/>
              <c:spPr>
                <a:solidFill>
                  <a:schemeClr val="accent1"/>
                </a:solidFill>
                <a:ln w="63500">
                  <a:solidFill>
                    <a:schemeClr val="accent4">
                      <a:lumMod val="60000"/>
                      <a:lumOff val="40000"/>
                    </a:schemeClr>
                  </a:solidFill>
                </a:ln>
                <a:effectLst/>
              </c:spPr>
            </c:marker>
            <c:bubble3D val="0"/>
            <c:extLst>
              <c:ext xmlns:c16="http://schemas.microsoft.com/office/drawing/2014/chart" uri="{C3380CC4-5D6E-409C-BE32-E72D297353CC}">
                <c16:uniqueId val="{0000000A-45FE-4FB6-8CF2-B835C9DA005E}"/>
              </c:ext>
            </c:extLst>
          </c:dPt>
          <c:dPt>
            <c:idx val="12"/>
            <c:marker>
              <c:symbol val="circle"/>
              <c:size val="5"/>
              <c:spPr>
                <a:solidFill>
                  <a:schemeClr val="accent1"/>
                </a:solidFill>
                <a:ln w="63500">
                  <a:solidFill>
                    <a:srgbClr val="00B050"/>
                  </a:solidFill>
                </a:ln>
                <a:effectLst/>
              </c:spPr>
            </c:marker>
            <c:bubble3D val="0"/>
            <c:extLst>
              <c:ext xmlns:c16="http://schemas.microsoft.com/office/drawing/2014/chart" uri="{C3380CC4-5D6E-409C-BE32-E72D297353CC}">
                <c16:uniqueId val="{0000000B-45FE-4FB6-8CF2-B835C9DA005E}"/>
              </c:ext>
            </c:extLst>
          </c:dPt>
          <c:dPt>
            <c:idx val="13"/>
            <c:marker>
              <c:symbol val="circle"/>
              <c:size val="5"/>
              <c:spPr>
                <a:solidFill>
                  <a:schemeClr val="accent1"/>
                </a:solidFill>
                <a:ln w="63500">
                  <a:solidFill>
                    <a:schemeClr val="accent6">
                      <a:lumMod val="40000"/>
                      <a:lumOff val="60000"/>
                    </a:schemeClr>
                  </a:solidFill>
                </a:ln>
                <a:effectLst/>
              </c:spPr>
            </c:marker>
            <c:bubble3D val="0"/>
            <c:extLst>
              <c:ext xmlns:c16="http://schemas.microsoft.com/office/drawing/2014/chart" uri="{C3380CC4-5D6E-409C-BE32-E72D297353CC}">
                <c16:uniqueId val="{0000000C-45FE-4FB6-8CF2-B835C9DA005E}"/>
              </c:ext>
            </c:extLst>
          </c:dPt>
          <c:dPt>
            <c:idx val="14"/>
            <c:marker>
              <c:symbol val="circle"/>
              <c:size val="5"/>
              <c:spPr>
                <a:solidFill>
                  <a:schemeClr val="accent1"/>
                </a:solidFill>
                <a:ln w="63500">
                  <a:solidFill>
                    <a:srgbClr val="FFC000"/>
                  </a:solidFill>
                </a:ln>
                <a:effectLst/>
              </c:spPr>
            </c:marker>
            <c:bubble3D val="0"/>
            <c:extLst>
              <c:ext xmlns:c16="http://schemas.microsoft.com/office/drawing/2014/chart" uri="{C3380CC4-5D6E-409C-BE32-E72D297353CC}">
                <c16:uniqueId val="{0000000D-45FE-4FB6-8CF2-B835C9DA005E}"/>
              </c:ext>
            </c:extLst>
          </c:dPt>
          <c:dPt>
            <c:idx val="15"/>
            <c:marker>
              <c:symbol val="circle"/>
              <c:size val="5"/>
              <c:spPr>
                <a:solidFill>
                  <a:schemeClr val="accent1"/>
                </a:solidFill>
                <a:ln w="63500">
                  <a:solidFill>
                    <a:schemeClr val="accent6">
                      <a:lumMod val="60000"/>
                      <a:lumOff val="40000"/>
                    </a:schemeClr>
                  </a:solidFill>
                </a:ln>
                <a:effectLst/>
              </c:spPr>
            </c:marker>
            <c:bubble3D val="0"/>
            <c:extLst>
              <c:ext xmlns:c16="http://schemas.microsoft.com/office/drawing/2014/chart" uri="{C3380CC4-5D6E-409C-BE32-E72D297353CC}">
                <c16:uniqueId val="{0000000E-45FE-4FB6-8CF2-B835C9DA005E}"/>
              </c:ext>
            </c:extLst>
          </c:dPt>
          <c:dPt>
            <c:idx val="16"/>
            <c:marker>
              <c:symbol val="circle"/>
              <c:size val="5"/>
              <c:spPr>
                <a:solidFill>
                  <a:schemeClr val="accent1"/>
                </a:solidFill>
                <a:ln w="63500">
                  <a:solidFill>
                    <a:srgbClr val="FFC000"/>
                  </a:solidFill>
                </a:ln>
                <a:effectLst/>
              </c:spPr>
            </c:marker>
            <c:bubble3D val="0"/>
            <c:extLst>
              <c:ext xmlns:c16="http://schemas.microsoft.com/office/drawing/2014/chart" uri="{C3380CC4-5D6E-409C-BE32-E72D297353CC}">
                <c16:uniqueId val="{0000000F-45FE-4FB6-8CF2-B835C9DA005E}"/>
              </c:ext>
            </c:extLst>
          </c:dPt>
          <c:dPt>
            <c:idx val="17"/>
            <c:marker>
              <c:symbol val="circle"/>
              <c:size val="5"/>
              <c:spPr>
                <a:solidFill>
                  <a:schemeClr val="accent1"/>
                </a:solidFill>
                <a:ln w="63500">
                  <a:solidFill>
                    <a:schemeClr val="accent1">
                      <a:lumMod val="60000"/>
                      <a:lumOff val="40000"/>
                    </a:schemeClr>
                  </a:solidFill>
                </a:ln>
                <a:effectLst/>
              </c:spPr>
            </c:marker>
            <c:bubble3D val="0"/>
            <c:extLst>
              <c:ext xmlns:c16="http://schemas.microsoft.com/office/drawing/2014/chart" uri="{C3380CC4-5D6E-409C-BE32-E72D297353CC}">
                <c16:uniqueId val="{00000010-45FE-4FB6-8CF2-B835C9DA005E}"/>
              </c:ext>
            </c:extLst>
          </c:dPt>
          <c:dPt>
            <c:idx val="18"/>
            <c:marker>
              <c:symbol val="circle"/>
              <c:size val="5"/>
              <c:spPr>
                <a:solidFill>
                  <a:schemeClr val="accent1"/>
                </a:solidFill>
                <a:ln w="63500">
                  <a:solidFill>
                    <a:srgbClr val="FFC000"/>
                  </a:solidFill>
                </a:ln>
                <a:effectLst/>
              </c:spPr>
            </c:marker>
            <c:bubble3D val="0"/>
            <c:extLst>
              <c:ext xmlns:c16="http://schemas.microsoft.com/office/drawing/2014/chart" uri="{C3380CC4-5D6E-409C-BE32-E72D297353CC}">
                <c16:uniqueId val="{00000011-45FE-4FB6-8CF2-B835C9DA005E}"/>
              </c:ext>
            </c:extLst>
          </c:dPt>
          <c:dPt>
            <c:idx val="19"/>
            <c:marker>
              <c:symbol val="circle"/>
              <c:size val="5"/>
              <c:spPr>
                <a:solidFill>
                  <a:schemeClr val="accent1"/>
                </a:solidFill>
                <a:ln w="63500">
                  <a:solidFill>
                    <a:schemeClr val="accent1"/>
                  </a:solidFill>
                </a:ln>
                <a:effectLst/>
              </c:spPr>
            </c:marker>
            <c:bubble3D val="0"/>
            <c:extLst>
              <c:ext xmlns:c16="http://schemas.microsoft.com/office/drawing/2014/chart" uri="{C3380CC4-5D6E-409C-BE32-E72D297353CC}">
                <c16:uniqueId val="{00000012-45FE-4FB6-8CF2-B835C9DA005E}"/>
              </c:ext>
            </c:extLst>
          </c:dPt>
          <c:dPt>
            <c:idx val="20"/>
            <c:marker>
              <c:symbol val="circle"/>
              <c:size val="5"/>
              <c:spPr>
                <a:solidFill>
                  <a:schemeClr val="accent1"/>
                </a:solidFill>
                <a:ln w="63500">
                  <a:solidFill>
                    <a:srgbClr val="FF0000"/>
                  </a:solidFill>
                </a:ln>
                <a:effectLst/>
              </c:spPr>
            </c:marker>
            <c:bubble3D val="0"/>
            <c:extLst>
              <c:ext xmlns:c16="http://schemas.microsoft.com/office/drawing/2014/chart" uri="{C3380CC4-5D6E-409C-BE32-E72D297353CC}">
                <c16:uniqueId val="{00000013-45FE-4FB6-8CF2-B835C9DA005E}"/>
              </c:ext>
            </c:extLst>
          </c:dPt>
          <c:dPt>
            <c:idx val="21"/>
            <c:marker>
              <c:symbol val="circle"/>
              <c:size val="5"/>
              <c:spPr>
                <a:solidFill>
                  <a:schemeClr val="accent1"/>
                </a:solidFill>
                <a:ln w="63500">
                  <a:solidFill>
                    <a:srgbClr val="FF0000"/>
                  </a:solidFill>
                </a:ln>
                <a:effectLst/>
              </c:spPr>
            </c:marker>
            <c:bubble3D val="0"/>
            <c:extLst>
              <c:ext xmlns:c16="http://schemas.microsoft.com/office/drawing/2014/chart" uri="{C3380CC4-5D6E-409C-BE32-E72D297353CC}">
                <c16:uniqueId val="{00000014-45FE-4FB6-8CF2-B835C9DA005E}"/>
              </c:ext>
            </c:extLst>
          </c:dPt>
          <c:dPt>
            <c:idx val="22"/>
            <c:marker>
              <c:symbol val="circle"/>
              <c:size val="5"/>
              <c:spPr>
                <a:solidFill>
                  <a:schemeClr val="accent1"/>
                </a:solidFill>
                <a:ln w="63500">
                  <a:solidFill>
                    <a:schemeClr val="accent1">
                      <a:lumMod val="75000"/>
                    </a:schemeClr>
                  </a:solidFill>
                </a:ln>
                <a:effectLst/>
              </c:spPr>
            </c:marker>
            <c:bubble3D val="0"/>
            <c:extLst>
              <c:ext xmlns:c16="http://schemas.microsoft.com/office/drawing/2014/chart" uri="{C3380CC4-5D6E-409C-BE32-E72D297353CC}">
                <c16:uniqueId val="{00000015-45FE-4FB6-8CF2-B835C9DA005E}"/>
              </c:ext>
            </c:extLst>
          </c:dPt>
          <c:xVal>
            <c:numRef>
              <c:f>Foglio1!$B$44:$B$66</c:f>
              <c:numCache>
                <c:formatCode>General</c:formatCode>
                <c:ptCount val="23"/>
                <c:pt idx="1">
                  <c:v>18</c:v>
                </c:pt>
                <c:pt idx="2">
                  <c:v>18</c:v>
                </c:pt>
                <c:pt idx="3">
                  <c:v>9</c:v>
                </c:pt>
                <c:pt idx="4">
                  <c:v>16</c:v>
                </c:pt>
                <c:pt idx="5">
                  <c:v>10</c:v>
                </c:pt>
                <c:pt idx="6">
                  <c:v>14</c:v>
                </c:pt>
                <c:pt idx="7">
                  <c:v>13</c:v>
                </c:pt>
                <c:pt idx="8">
                  <c:v>12</c:v>
                </c:pt>
                <c:pt idx="9">
                  <c:v>10</c:v>
                </c:pt>
                <c:pt idx="10">
                  <c:v>12</c:v>
                </c:pt>
                <c:pt idx="11">
                  <c:v>12</c:v>
                </c:pt>
                <c:pt idx="12">
                  <c:v>9</c:v>
                </c:pt>
                <c:pt idx="13">
                  <c:v>6</c:v>
                </c:pt>
                <c:pt idx="14">
                  <c:v>7</c:v>
                </c:pt>
                <c:pt idx="15">
                  <c:v>7</c:v>
                </c:pt>
                <c:pt idx="16">
                  <c:v>6</c:v>
                </c:pt>
                <c:pt idx="17">
                  <c:v>5</c:v>
                </c:pt>
                <c:pt idx="18">
                  <c:v>4</c:v>
                </c:pt>
                <c:pt idx="19">
                  <c:v>5</c:v>
                </c:pt>
                <c:pt idx="20">
                  <c:v>3</c:v>
                </c:pt>
                <c:pt idx="21">
                  <c:v>2</c:v>
                </c:pt>
                <c:pt idx="22">
                  <c:v>2</c:v>
                </c:pt>
              </c:numCache>
            </c:numRef>
          </c:xVal>
          <c:yVal>
            <c:numRef>
              <c:f>Foglio1!$C$44:$C$66</c:f>
              <c:numCache>
                <c:formatCode>General</c:formatCode>
                <c:ptCount val="23"/>
                <c:pt idx="1">
                  <c:v>18</c:v>
                </c:pt>
                <c:pt idx="2">
                  <c:v>2</c:v>
                </c:pt>
                <c:pt idx="3">
                  <c:v>4</c:v>
                </c:pt>
                <c:pt idx="4">
                  <c:v>10</c:v>
                </c:pt>
                <c:pt idx="5">
                  <c:v>3</c:v>
                </c:pt>
                <c:pt idx="6">
                  <c:v>17</c:v>
                </c:pt>
                <c:pt idx="7">
                  <c:v>4</c:v>
                </c:pt>
                <c:pt idx="8">
                  <c:v>15</c:v>
                </c:pt>
                <c:pt idx="9">
                  <c:v>10</c:v>
                </c:pt>
                <c:pt idx="10">
                  <c:v>11</c:v>
                </c:pt>
                <c:pt idx="11">
                  <c:v>1</c:v>
                </c:pt>
                <c:pt idx="12">
                  <c:v>6</c:v>
                </c:pt>
                <c:pt idx="13">
                  <c:v>7</c:v>
                </c:pt>
                <c:pt idx="14">
                  <c:v>16</c:v>
                </c:pt>
                <c:pt idx="15">
                  <c:v>11</c:v>
                </c:pt>
                <c:pt idx="16">
                  <c:v>14</c:v>
                </c:pt>
                <c:pt idx="17">
                  <c:v>3</c:v>
                </c:pt>
                <c:pt idx="18">
                  <c:v>8</c:v>
                </c:pt>
                <c:pt idx="19">
                  <c:v>11</c:v>
                </c:pt>
                <c:pt idx="20">
                  <c:v>18</c:v>
                </c:pt>
                <c:pt idx="21">
                  <c:v>18</c:v>
                </c:pt>
                <c:pt idx="22">
                  <c:v>5</c:v>
                </c:pt>
              </c:numCache>
            </c:numRef>
          </c:yVal>
          <c:smooth val="0"/>
          <c:extLst>
            <c:ext xmlns:c16="http://schemas.microsoft.com/office/drawing/2014/chart" uri="{C3380CC4-5D6E-409C-BE32-E72D297353CC}">
              <c16:uniqueId val="{00000016-45FE-4FB6-8CF2-B835C9DA005E}"/>
            </c:ext>
          </c:extLst>
        </c:ser>
        <c:dLbls>
          <c:showLegendKey val="0"/>
          <c:showVal val="0"/>
          <c:showCatName val="0"/>
          <c:showSerName val="0"/>
          <c:showPercent val="0"/>
          <c:showBubbleSize val="0"/>
        </c:dLbls>
        <c:axId val="152426344"/>
        <c:axId val="152428304"/>
      </c:scatterChart>
      <c:valAx>
        <c:axId val="152426344"/>
        <c:scaling>
          <c:orientation val="minMax"/>
          <c:max val="20"/>
          <c:min val="0"/>
        </c:scaling>
        <c:delete val="1"/>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152428304"/>
        <c:crosses val="autoZero"/>
        <c:crossBetween val="midCat"/>
      </c:valAx>
      <c:valAx>
        <c:axId val="152428304"/>
        <c:scaling>
          <c:orientation val="minMax"/>
          <c:max val="20"/>
          <c:min val="0"/>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152426344"/>
        <c:crosses val="autoZero"/>
        <c:crossBetween val="midCat"/>
        <c:majorUnit val="5"/>
      </c:valAx>
      <c:spPr>
        <a:solidFill>
          <a:schemeClr val="bg1">
            <a:lumMod val="95000"/>
          </a:schemeClr>
        </a:solid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900">
          <a:latin typeface="Segoe UI" panose="020B0502040204020203" pitchFamily="34" charset="0"/>
          <a:cs typeface="Segoe UI" panose="020B0502040204020203" pitchFamily="34" charset="0"/>
        </a:defRPr>
      </a:pPr>
      <a:endParaRPr lang="it-I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9">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alpha val="75000"/>
        </a:schemeClr>
      </a:solidFill>
    </cs:spPr>
  </cs:dataPoint>
  <cs:dataPoint3D>
    <cs:lnRef idx="0"/>
    <cs:fillRef idx="1">
      <cs:styleClr val="auto"/>
    </cs:fillRef>
    <cs:effectRef idx="0"/>
    <cs:fontRef idx="minor">
      <a:schemeClr val="tx1"/>
    </cs:fontRef>
    <cs:spPr>
      <a:solidFill>
        <a:schemeClr val="phClr">
          <a:alpha val="75000"/>
        </a:schemeClr>
      </a:solidFill>
    </cs:spPr>
  </cs:dataPoint3D>
  <cs:dataPointLine>
    <cs:lnRef idx="0">
      <cs:styleClr val="auto"/>
    </cs:lnRef>
    <cs:fillRef idx="1"/>
    <cs:effectRef idx="0"/>
    <cs:fontRef idx="minor">
      <a:schemeClr val="tx1"/>
    </cs:fontRef>
    <cs:spPr>
      <a:ln w="19050" cap="rnd">
        <a:solidFill>
          <a:schemeClr val="phClr">
            <a:alpha val="50000"/>
          </a:scheme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9">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alpha val="75000"/>
        </a:schemeClr>
      </a:solidFill>
    </cs:spPr>
  </cs:dataPoint>
  <cs:dataPoint3D>
    <cs:lnRef idx="0"/>
    <cs:fillRef idx="1">
      <cs:styleClr val="auto"/>
    </cs:fillRef>
    <cs:effectRef idx="0"/>
    <cs:fontRef idx="minor">
      <a:schemeClr val="tx1"/>
    </cs:fontRef>
    <cs:spPr>
      <a:solidFill>
        <a:schemeClr val="phClr">
          <a:alpha val="75000"/>
        </a:schemeClr>
      </a:solidFill>
    </cs:spPr>
  </cs:dataPoint3D>
  <cs:dataPointLine>
    <cs:lnRef idx="0">
      <cs:styleClr val="auto"/>
    </cs:lnRef>
    <cs:fillRef idx="1"/>
    <cs:effectRef idx="0"/>
    <cs:fontRef idx="minor">
      <a:schemeClr val="tx1"/>
    </cs:fontRef>
    <cs:spPr>
      <a:ln w="19050" cap="rnd">
        <a:solidFill>
          <a:schemeClr val="phClr">
            <a:alpha val="50000"/>
          </a:scheme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69">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alpha val="75000"/>
        </a:schemeClr>
      </a:solidFill>
    </cs:spPr>
  </cs:dataPoint>
  <cs:dataPoint3D>
    <cs:lnRef idx="0"/>
    <cs:fillRef idx="1">
      <cs:styleClr val="auto"/>
    </cs:fillRef>
    <cs:effectRef idx="0"/>
    <cs:fontRef idx="minor">
      <a:schemeClr val="tx1"/>
    </cs:fontRef>
    <cs:spPr>
      <a:solidFill>
        <a:schemeClr val="phClr">
          <a:alpha val="75000"/>
        </a:schemeClr>
      </a:solidFill>
    </cs:spPr>
  </cs:dataPoint3D>
  <cs:dataPointLine>
    <cs:lnRef idx="0">
      <cs:styleClr val="auto"/>
    </cs:lnRef>
    <cs:fillRef idx="1"/>
    <cs:effectRef idx="0"/>
    <cs:fontRef idx="minor">
      <a:schemeClr val="tx1"/>
    </cs:fontRef>
    <cs:spPr>
      <a:ln w="19050" cap="rnd">
        <a:solidFill>
          <a:schemeClr val="phClr">
            <a:alpha val="50000"/>
          </a:scheme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DC2877-1C55-44D0-BE01-068E9372F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36463</Words>
  <Characters>207841</Characters>
  <Application>Microsoft Office Word</Application>
  <DocSecurity>0</DocSecurity>
  <Lines>1732</Lines>
  <Paragraphs>487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243817</CharactersWithSpaces>
  <SharedDoc>false</SharedDoc>
  <HLinks>
    <vt:vector size="42" baseType="variant">
      <vt:variant>
        <vt:i4>1179710</vt:i4>
      </vt:variant>
      <vt:variant>
        <vt:i4>38</vt:i4>
      </vt:variant>
      <vt:variant>
        <vt:i4>0</vt:i4>
      </vt:variant>
      <vt:variant>
        <vt:i4>5</vt:i4>
      </vt:variant>
      <vt:variant>
        <vt:lpwstr/>
      </vt:variant>
      <vt:variant>
        <vt:lpwstr>_Toc424887686</vt:lpwstr>
      </vt:variant>
      <vt:variant>
        <vt:i4>1179710</vt:i4>
      </vt:variant>
      <vt:variant>
        <vt:i4>32</vt:i4>
      </vt:variant>
      <vt:variant>
        <vt:i4>0</vt:i4>
      </vt:variant>
      <vt:variant>
        <vt:i4>5</vt:i4>
      </vt:variant>
      <vt:variant>
        <vt:lpwstr/>
      </vt:variant>
      <vt:variant>
        <vt:lpwstr>_Toc424887685</vt:lpwstr>
      </vt:variant>
      <vt:variant>
        <vt:i4>1179710</vt:i4>
      </vt:variant>
      <vt:variant>
        <vt:i4>26</vt:i4>
      </vt:variant>
      <vt:variant>
        <vt:i4>0</vt:i4>
      </vt:variant>
      <vt:variant>
        <vt:i4>5</vt:i4>
      </vt:variant>
      <vt:variant>
        <vt:lpwstr/>
      </vt:variant>
      <vt:variant>
        <vt:lpwstr>_Toc424887684</vt:lpwstr>
      </vt:variant>
      <vt:variant>
        <vt:i4>1179710</vt:i4>
      </vt:variant>
      <vt:variant>
        <vt:i4>20</vt:i4>
      </vt:variant>
      <vt:variant>
        <vt:i4>0</vt:i4>
      </vt:variant>
      <vt:variant>
        <vt:i4>5</vt:i4>
      </vt:variant>
      <vt:variant>
        <vt:lpwstr/>
      </vt:variant>
      <vt:variant>
        <vt:lpwstr>_Toc424887683</vt:lpwstr>
      </vt:variant>
      <vt:variant>
        <vt:i4>1179710</vt:i4>
      </vt:variant>
      <vt:variant>
        <vt:i4>14</vt:i4>
      </vt:variant>
      <vt:variant>
        <vt:i4>0</vt:i4>
      </vt:variant>
      <vt:variant>
        <vt:i4>5</vt:i4>
      </vt:variant>
      <vt:variant>
        <vt:lpwstr/>
      </vt:variant>
      <vt:variant>
        <vt:lpwstr>_Toc424887682</vt:lpwstr>
      </vt:variant>
      <vt:variant>
        <vt:i4>1179710</vt:i4>
      </vt:variant>
      <vt:variant>
        <vt:i4>8</vt:i4>
      </vt:variant>
      <vt:variant>
        <vt:i4>0</vt:i4>
      </vt:variant>
      <vt:variant>
        <vt:i4>5</vt:i4>
      </vt:variant>
      <vt:variant>
        <vt:lpwstr/>
      </vt:variant>
      <vt:variant>
        <vt:lpwstr>_Toc424887681</vt:lpwstr>
      </vt:variant>
      <vt:variant>
        <vt:i4>1179710</vt:i4>
      </vt:variant>
      <vt:variant>
        <vt:i4>2</vt:i4>
      </vt:variant>
      <vt:variant>
        <vt:i4>0</vt:i4>
      </vt:variant>
      <vt:variant>
        <vt:i4>5</vt:i4>
      </vt:variant>
      <vt:variant>
        <vt:lpwstr/>
      </vt:variant>
      <vt:variant>
        <vt:lpwstr>_Toc424887680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Magrassi</dc:creator>
  <cp:keywords/>
  <dc:description/>
  <cp:lastModifiedBy>Parracino Mauro</cp:lastModifiedBy>
  <cp:revision>2</cp:revision>
  <cp:lastPrinted>2018-03-06T21:50:00Z</cp:lastPrinted>
  <dcterms:created xsi:type="dcterms:W3CDTF">2018-03-08T10:15:00Z</dcterms:created>
  <dcterms:modified xsi:type="dcterms:W3CDTF">2018-03-08T10:15:00Z</dcterms:modified>
</cp:coreProperties>
</file>