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7CF65" w14:textId="77777777" w:rsidR="000E3DD2" w:rsidRDefault="000E3DD2" w:rsidP="000E3DD2">
      <w:pPr>
        <w:spacing w:beforeAutospacing="1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  <w14:ligatures w14:val="none"/>
        </w:rPr>
        <w:t>Fac-simile di istanza per decisione “semplificata” ex art. 47-ter, D. Lgs. 546/1992</w:t>
      </w:r>
    </w:p>
    <w:p w14:paraId="73BC58D0" w14:textId="77777777" w:rsidR="000E3DD2" w:rsidRDefault="000E3DD2" w:rsidP="000E3DD2">
      <w:pPr>
        <w:spacing w:beforeAutospacing="1" w:afterAutospacing="1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(da depositare in sede cautelare unitamente all’istanza ex art. 47 e/o al ricorso introduttivo)</w:t>
      </w:r>
    </w:p>
    <w:p w14:paraId="1BA81EF9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Alla Corte di giustizia tributaria di [Primo/Secondo] grado di [___]</w:t>
      </w:r>
    </w:p>
    <w:p w14:paraId="1BB8F03B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R.G. n. [</w:t>
      </w: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se la causa è già stata iscritta a ruolo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]</w:t>
      </w: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 xml:space="preserve"> – 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Ricorrente/</w:t>
      </w:r>
      <w:proofErr w:type="spellStart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Apellante</w:t>
      </w:r>
      <w:proofErr w:type="spellEnd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: [___] – Resistente: [Agenzia delle Entrate/Agente riscossione/altro]</w:t>
      </w:r>
    </w:p>
    <w:p w14:paraId="20E4BCA3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Udienza cautelare fissata per il [___]</w:t>
      </w:r>
    </w:p>
    <w:p w14:paraId="02256B59" w14:textId="77777777" w:rsidR="000E3DD2" w:rsidRDefault="000E3DD2" w:rsidP="000E3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§   §   §</w:t>
      </w:r>
    </w:p>
    <w:p w14:paraId="7093D64C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Istanza per la definizione del giudizio con sentenza in forma semplificata (art. 47-ter D. Lgs. 546/1992)</w:t>
      </w:r>
    </w:p>
    <w:p w14:paraId="72911ED0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Il/La sottoscritto/a [Nome Cognome], C.F. [___], in qualità di difensore di [contribuente], domiciliato/a ai fini del giudizio presso [PEC/dom. digitale],</w:t>
      </w:r>
    </w:p>
    <w:p w14:paraId="44581669" w14:textId="77777777" w:rsidR="000E3DD2" w:rsidRDefault="000E3DD2" w:rsidP="000E3DD2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premesso che:</w:t>
      </w:r>
    </w:p>
    <w:p w14:paraId="026095F0" w14:textId="77777777" w:rsidR="000E3DD2" w:rsidRDefault="000E3DD2" w:rsidP="000E3DD2">
      <w:pPr>
        <w:numPr>
          <w:ilvl w:val="0"/>
          <w:numId w:val="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 ricorso è stato notificato in data [__/__/____] alle parti necessarie e l’ultima notificazione risulta perfezionata in data [__/__/____]; alla data odierna sono decorsi più di 20 giorni;</w:t>
      </w:r>
    </w:p>
    <w:p w14:paraId="4E64B8DB" w14:textId="77777777" w:rsidR="000E3DD2" w:rsidRDefault="000E3DD2" w:rsidP="000E3DD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 contraddittorio è completo: risultano regolarmente evocati [</w:t>
      </w: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elencare eventuali litisconsorti necessari/parti chiamate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] e non residuano integrazioni;</w:t>
      </w:r>
    </w:p>
    <w:p w14:paraId="09148AE5" w14:textId="77777777" w:rsidR="000E3DD2" w:rsidRDefault="000E3DD2" w:rsidP="000E3DD2">
      <w:pPr>
        <w:numPr>
          <w:ilvl w:val="0"/>
          <w:numId w:val="1"/>
        </w:numPr>
        <w:spacing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all’odierna fase cautelare le questioni sono mature per la decisione, non occorrendo ulteriori attività istruttorie: il </w:t>
      </w:r>
      <w:proofErr w:type="spellStart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thema</w:t>
      </w:r>
      <w:proofErr w:type="spellEnd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decidendum</w:t>
      </w:r>
      <w:proofErr w:type="spellEnd"/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si esaurisce nel seguente punto decisivo che assorbe ogni altra deduzione.</w:t>
      </w:r>
    </w:p>
    <w:p w14:paraId="74213BCB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ciò premesso, si espone quanto segue.</w:t>
      </w:r>
    </w:p>
    <w:p w14:paraId="39FFDB53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Punto decisivo (diritto/rito):</w:t>
      </w:r>
    </w:p>
    <w:p w14:paraId="278DCD4E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[Es.: “</w:t>
      </w: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Nullità/inesistenza della notifica dell’avviso di accertamento per consegna a soggetto non abilitato e in luogo non corrispondente al domicilio fiscale ai sensi degli artt. 60 DPR 600/1973 e 156 c.p.c.; la prova è documentale e risulta dagli allegati n. 2–4. La nullità è assorbente: l’atto è inidoneo a produrre effetti e va annullato senza ulteriori accertamenti.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”]</w:t>
      </w:r>
    </w:p>
    <w:p w14:paraId="0609EE20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Sovrapponibilità del precedente conforme (se del caso):</w:t>
      </w:r>
    </w:p>
    <w:p w14:paraId="4600EB5C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[Es.: “</w:t>
      </w:r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 xml:space="preserve">La fattispecie è identica a quella decisa da Cass./CGT [indicare], per norma applicabile, snodo procedimentale e fatto storico (confronto sinottico in all. n. 5). Il richiamo per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relationem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 xml:space="preserve"> consente motivazione concisa ai sensi dell’art. 47-ter.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”]</w:t>
      </w:r>
    </w:p>
    <w:p w14:paraId="2C5208EE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Per tali ragioni, il ricorrente</w:t>
      </w:r>
    </w:p>
    <w:p w14:paraId="622D6A80" w14:textId="77777777" w:rsidR="000E3DD2" w:rsidRDefault="000E3DD2" w:rsidP="000E3DD2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Chiede</w:t>
      </w:r>
    </w:p>
    <w:p w14:paraId="035B9AC1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che il Collegio, all’esito della discussione cautelare, definisca il giudizio con sentenza in forma semplificata ai sensi dell’art. 47-ter, dichiarando il ricorso manifestamente fondato per il punto decisivo sopra indicato, con motivazione concisa anche mediante sintetico riferimento al precedente conforme richiamato.</w:t>
      </w:r>
    </w:p>
    <w:p w14:paraId="6C4C80F4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Per quanto esposto, si chiede:</w:t>
      </w:r>
    </w:p>
    <w:p w14:paraId="4DFBFC3D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a) di accogliere l’istanza e definire il giudizio con sentenza semplificata ex art. 47-ter, nei termini indicati;</w:t>
      </w:r>
    </w:p>
    <w:p w14:paraId="570883B4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b) in via subordinata, qualora non ritenute sussistenti le condizioni di “manifesta” evidenza, di proseguire al merito fissando il calendario degli adempimenti.</w:t>
      </w:r>
    </w:p>
    <w:p w14:paraId="7CB17E88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[Luogo], [data]</w:t>
      </w:r>
    </w:p>
    <w:p w14:paraId="4050280F" w14:textId="77777777" w:rsidR="000E3DD2" w:rsidRDefault="000E3DD2" w:rsidP="000E3DD2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Firma del difensore</w:t>
      </w:r>
    </w:p>
    <w:p w14:paraId="5E1D9CA4" w14:textId="77777777" w:rsidR="000E3DD2" w:rsidRDefault="000E3DD2" w:rsidP="000E3D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1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it-IT"/>
          <w14:ligatures w14:val="none"/>
        </w:rPr>
        <w:t xml:space="preserve">Note operative </w:t>
      </w:r>
    </w:p>
    <w:p w14:paraId="310F2D93" w14:textId="77777777" w:rsidR="000E3DD2" w:rsidRDefault="000E3DD2" w:rsidP="000E3D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  <w:t>– Curare la prova del decorso dei 20 giorni dall’ultima notifica e la completezza del contraddittorio; allegare un prospetto cronologico.</w:t>
      </w:r>
    </w:p>
    <w:p w14:paraId="2E542CC1" w14:textId="77777777" w:rsidR="000E3DD2" w:rsidRDefault="000E3DD2" w:rsidP="000E3D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  <w:t>– Il punto decisivo deve essere assorbente e autosufficiente sul piano documentale; evitare censure plurime non gerarchizzate.</w:t>
      </w:r>
    </w:p>
    <w:p w14:paraId="6E45C579" w14:textId="77777777" w:rsidR="000E3DD2" w:rsidRDefault="000E3DD2" w:rsidP="000E3D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  <w:t>– Se si richiama un precedente conforme, dimostrarne l’identità non apparente (norma, fatto, sequenza).</w:t>
      </w:r>
    </w:p>
    <w:p w14:paraId="05B5993D" w14:textId="77777777" w:rsidR="000E3DD2" w:rsidRDefault="000E3DD2" w:rsidP="000E3D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it-IT"/>
          <w14:ligatures w14:val="none"/>
        </w:rPr>
        <w:t>– In udienza, insistere perché il verbale riporti l’intenzione del Collegio di procedere ex 47-ter e le dichiarazioni sulle esigenze istruttorie; in difetto, chiedere il rinvio.</w:t>
      </w:r>
    </w:p>
    <w:p w14:paraId="54EC14BD" w14:textId="77777777" w:rsidR="007B41D4" w:rsidRDefault="007B41D4"/>
    <w:sectPr w:rsidR="007B41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C009B"/>
    <w:multiLevelType w:val="multilevel"/>
    <w:tmpl w:val="C39A8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revisionView w:insDel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9EC"/>
    <w:rsid w:val="000E3DD2"/>
    <w:rsid w:val="007B41D4"/>
    <w:rsid w:val="00E3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70D69B-FD13-4CAB-A01D-E8AE8E0B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3DD2"/>
    <w:pPr>
      <w:suppressAutoHyphens/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2025-11-05T14:48:00Z</dcterms:created>
  <dcterms:modified xsi:type="dcterms:W3CDTF">2025-11-05T14:48:00Z</dcterms:modified>
</cp:coreProperties>
</file>