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E3E" w:rsidRPr="00D80990" w:rsidRDefault="007F766F">
      <w:pPr>
        <w:pStyle w:val="cpv"/>
        <w:widowControl/>
        <w:spacing w:before="220"/>
        <w:jc w:val="center"/>
        <w:rPr>
          <w:rFonts w:ascii="Arial" w:hAnsi="Arial" w:cs="Arial"/>
          <w:smallCaps/>
          <w:noProof/>
          <w:sz w:val="36"/>
        </w:rPr>
      </w:pPr>
      <w:r w:rsidRPr="00D80990">
        <w:rPr>
          <w:rFonts w:ascii="Arial" w:hAnsi="Arial" w:cs="Arial"/>
          <w:noProof/>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196000" cy="744128"/>
            <wp:effectExtent l="0" t="0" r="0" b="0"/>
            <wp:wrapNone/>
            <wp:docPr id="42" name="Immagin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magine 42"/>
                    <pic:cNvPicPr>
                      <a:picLocks noChangeAspect="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96000" cy="744128"/>
                    </a:xfrm>
                    <a:prstGeom prst="rect">
                      <a:avLst/>
                    </a:prstGeom>
                  </pic:spPr>
                </pic:pic>
              </a:graphicData>
            </a:graphic>
          </wp:anchor>
        </w:drawing>
      </w:r>
      <w:r w:rsidRPr="00D80990">
        <w:rPr>
          <w:rFonts w:ascii="Arial" w:hAnsi="Arial" w:cs="Arial"/>
          <w:b/>
          <w:i/>
          <w:color w:val="0070C0"/>
          <w:sz w:val="32"/>
        </w:rPr>
        <w:tab/>
      </w:r>
      <w:r w:rsidR="00213664" w:rsidRPr="00213664">
        <w:rPr>
          <w:rFonts w:ascii="Arial" w:hAnsi="Arial" w:cs="Arial"/>
          <w:noProof/>
        </w:rPr>
      </w:r>
      <w:r w:rsidR="00213664" w:rsidRPr="00213664">
        <w:rPr>
          <w:rFonts w:ascii="Arial" w:hAnsi="Arial" w:cs="Arial"/>
          <w:noProof/>
        </w:rPr>
        <w:pict>
          <v:rect id="Rettangolo 2" o:spid="_x0000_s1069" alt="http://www.clubdeirevisori.it/Skin/Ancrel/Images/ImmagineHomeAncrel.png"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0n86wIAAAgGAAAOAAAAZHJzL2Uyb0RvYy54bWysVNtymzAQfe9M/0Gjdww4+AITnHGMaTuT&#10;tpmm/QAZBGgiJCrJxmmn/96VsB076VNbHkDaFWf37B7t9c2+5WhHlWZSpDgcBRhRUciSiTrF377m&#10;3hwjbYgoCZeCpviJanyzePvmuu8SOpaN5CVVCECETvouxY0xXeL7umhoS/RIdlSAs5KqJQa2qvZL&#10;RXpAb7k/DoKp30tVdkoWVGuwZoMTLxx+VdHCfK4qTQ3iKYbcjHsr997Yt7+4JkmtSNew4pAG+Yss&#10;WsIEBD1BZcQQtFXsFVTLCiW1rMyokK0vq4oV1HEANmHwgs1DQzrquEBxdHcqk/5/sMWn3b1CrEzx&#10;GCNBWmjRF2qgYbXkEoGtpLqAeh360vf9qODbTUmZojumpWIjZvyHRyb8pSgU5f6HltRUwwe+TND3&#10;sqWDZ9SJ2ta773QCYR+6e2Urprs7WTxqJOSqgbB0qTvoGmgJ8jmalJJ9Q0kJxEML4V9g2I0GNLTp&#10;P8oSGJCtka4b+0q1NgbUGe1d059OTad7gwowXgXRPABpFOA6rG0Ekhx/7pQ276hskV2kWEF2Dpzs&#10;7rQZjh6P2FhC5oxzsJOEiwsDYA4WCA2/Wp9NwsnkZxzE6/l6HnnReLr2oiDLvGW+irxpHs4m2VW2&#10;WmXhLxs3jJKGlSUVNsxRsmF0atHx6vxRaYfLM4jtJFotOSstnE1Jq3qz4grtCFyZ3D2u5OB5PuZf&#10;puHqBVxeUArHUXA7jr18Op95UR5NvHgWzL0gjG/jaRDFUZZfUroDwfw7JdSnOJ6MJ65LZ0m/4Ba4&#10;5zU3krTMwFDirE0xSAMee4gkVoFrUbq1IYwP67NS2PSfSwHtPjba6dVKdFD/RpZPIFclQU6gPBif&#10;sGik+oFRD6Moxfr7liiKEf8gQPJxGEV2drlNNJmNYaPOPZtzDxEFQKXYYDQsV2aYd9tOsbqBSKEr&#10;jJBLuCYV3N7DfRqyOmxg3Dgmh9Fo59n53p16HuCL3wA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DWf0n86wIAAAgGAAAOAAAAAAAA&#10;AAAAAAAAAC4CAABkcnMvZTJvRG9jLnhtbFBLAQItABQABgAIAAAAIQBMoOks2AAAAAMBAAAPAAAA&#10;AAAAAAAAAAAAAEUFAABkcnMvZG93bnJldi54bWxQSwUGAAAAAAQABADzAAAASgYAAAAA&#10;" filled="f" stroked="f">
            <o:lock v:ext="edit" aspectratio="t"/>
            <w10:wrap type="none"/>
            <w10:anchorlock/>
          </v:rect>
        </w:pict>
      </w:r>
      <w:r w:rsidRPr="00D80990">
        <w:rPr>
          <w:rFonts w:ascii="Arial" w:hAnsi="Arial" w:cs="Arial"/>
          <w:smallCaps/>
          <w:sz w:val="36"/>
        </w:rPr>
        <w:tab/>
      </w:r>
      <w:r w:rsidRPr="00D80990">
        <w:rPr>
          <w:rFonts w:ascii="Arial" w:hAnsi="Arial" w:cs="Arial"/>
          <w:smallCaps/>
          <w:sz w:val="36"/>
        </w:rPr>
        <w:tab/>
      </w:r>
      <w:r w:rsidRPr="00D80990">
        <w:rPr>
          <w:rFonts w:ascii="Arial" w:hAnsi="Arial" w:cs="Arial"/>
          <w:smallCaps/>
          <w:sz w:val="36"/>
        </w:rPr>
        <w:tab/>
      </w:r>
      <w:r w:rsidRPr="00D80990">
        <w:rPr>
          <w:rFonts w:ascii="Arial" w:hAnsi="Arial" w:cs="Arial"/>
          <w:smallCaps/>
          <w:sz w:val="36"/>
        </w:rPr>
        <w:tab/>
      </w:r>
      <w:r w:rsidRPr="00D80990">
        <w:rPr>
          <w:rFonts w:ascii="Arial" w:hAnsi="Arial" w:cs="Arial"/>
          <w:smallCaps/>
          <w:sz w:val="36"/>
        </w:rPr>
        <w:tab/>
      </w:r>
      <w:r w:rsidRPr="00D80990">
        <w:rPr>
          <w:rFonts w:ascii="Arial" w:hAnsi="Arial" w:cs="Arial"/>
          <w:smallCaps/>
          <w:noProof/>
          <w:sz w:val="36"/>
        </w:rPr>
        <w:drawing>
          <wp:inline distT="0" distB="0" distL="0" distR="0">
            <wp:extent cx="1494155" cy="314325"/>
            <wp:effectExtent l="0" t="0" r="0" b="952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5687" cy="327269"/>
                    </a:xfrm>
                    <a:prstGeom prst="rect">
                      <a:avLst/>
                    </a:prstGeom>
                    <a:noFill/>
                    <a:ln>
                      <a:noFill/>
                    </a:ln>
                  </pic:spPr>
                </pic:pic>
              </a:graphicData>
            </a:graphic>
          </wp:inline>
        </w:drawing>
      </w:r>
    </w:p>
    <w:p w:rsidR="009F6E3E" w:rsidRPr="00D80990" w:rsidRDefault="00213664">
      <w:pPr>
        <w:pStyle w:val="cpv"/>
        <w:widowControl/>
        <w:spacing w:before="220"/>
        <w:jc w:val="center"/>
        <w:rPr>
          <w:rFonts w:ascii="Arial" w:hAnsi="Arial" w:cs="Arial"/>
          <w:smallCaps/>
          <w:sz w:val="36"/>
        </w:rPr>
      </w:pPr>
      <w:r w:rsidRPr="00213664">
        <w:rPr>
          <w:rFonts w:ascii="Arial" w:hAnsi="Arial" w:cs="Arial"/>
          <w:smallCaps/>
          <w:noProof/>
          <w:color w:val="C00000"/>
          <w:sz w:val="36"/>
        </w:rPr>
        <w:pict>
          <v:line id="Connettore diritto 1" o:spid="_x0000_s1026" style="position:absolute;left:0;text-align:left;flip:y;z-index:251667456;visibility:visible;mso-position-horizontal-relative:margin;mso-width-relative:margin;mso-height-relative:margin" from="6.3pt,26.15pt" to="462.3pt,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A/89AEAADcEAAAOAAAAZHJzL2Uyb0RvYy54bWysU01v2zAMvQ/YfxB0X+wEyNoacXpIkV2K&#10;LVi33RWZSoRJoiBpsfPvR8mJ230dNswHwTLfe+Qj6dX9YA07QYgaXcvns5ozcBI77Q4t//xp++aW&#10;s5iE64RBBy0/Q+T369evVr1vYIFHNB0ERiIuNr1v+TEl31RVlEewIs7Qg6OgwmBFoms4VF0QPalb&#10;Uy3q+m3VY+h8QAkx0teHMcjXRV8pkOmDUhESMy2n2lI5Qzn3+azWK9EcgvBHLS9liH+owgrtKOkk&#10;9SCSYN+C/kXKahkwokozibZCpbSE4oHczOuf3DwdhYfihZoT/dSm+P9k5fvTLjDd0ew4c8LSiDbo&#10;HKSEAVing6Y3Ns996n1sCL5xu5CdysE9+UeUXyPFqh+C+RL9CBtUsEwZ7b/kFJlIptlQJnCeJgBD&#10;YpI+Lm/u5jRWziTF7paLZU5ciSarZK4PMb0DtCy/tNxol/sjGnF6jGmEXiH5s3Gsb/nidnmzLLCI&#10;RndbbUwOxnDYb0xgJ0G7sd3W9FyyvYBRbuMu/kZLxVw6GxgTfARF7aPSR3NlcWGSFVKCS6V9RYnQ&#10;maaohIlYj6Xljf8T8YLPVChL/TfkiVEyo0sT2WqH4XfZ03AtWY34awdG37kFe+zOu3AdPW1nmdPl&#10;T8rr//Je6M//+/o7AAAA//8DAFBLAwQUAAYACAAAACEA0eFv4N8AAAAIAQAADwAAAGRycy9kb3du&#10;cmV2LnhtbEyPTUvDQBCG70L/wzIFb3ZjatMYsyki9aNUKFYFj9vsmIRmZ0N220Z/veNJj+8H7zyT&#10;LwbbiiP2vnGk4HISgUAqnWmoUvD2en+RgvBBk9GtI1TwhR4Wxegs15lxJ3rB4zZUgkfIZ1pBHUKX&#10;SenLGq32E9chcfbpeqsDy76SptcnHretjKMokVY3xBdq3eFdjeV+e7AKlk/v6+Xjd2XcPnne2NnD&#10;R7qaO6XOx8PtDYiAQ/grwy8+o0PBTDt3IONFyzpOuKlgFk9BcH4dX7GxY2Oagixy+f+B4gcAAP//&#10;AwBQSwECLQAUAAYACAAAACEAtoM4kv4AAADhAQAAEwAAAAAAAAAAAAAAAAAAAAAAW0NvbnRlbnRf&#10;VHlwZXNdLnhtbFBLAQItABQABgAIAAAAIQA4/SH/1gAAAJQBAAALAAAAAAAAAAAAAAAAAC8BAABf&#10;cmVscy8ucmVsc1BLAQItABQABgAIAAAAIQCf8A/89AEAADcEAAAOAAAAAAAAAAAAAAAAAC4CAABk&#10;cnMvZTJvRG9jLnhtbFBLAQItABQABgAIAAAAIQDR4W/g3wAAAAgBAAAPAAAAAAAAAAAAAAAAAE4E&#10;AABkcnMvZG93bnJldi54bWxQSwUGAAAAAAQABADzAAAAWgUAAAAA&#10;" strokecolor="red" strokeweight="2.25pt">
            <o:lock v:ext="edit" shapetype="f"/>
            <w10:wrap type="square" anchorx="margin"/>
          </v:line>
        </w:pict>
      </w:r>
      <w:r w:rsidR="007F766F" w:rsidRPr="00D80990">
        <w:rPr>
          <w:rFonts w:ascii="Arial" w:hAnsi="Arial" w:cs="Arial"/>
          <w:smallCaps/>
          <w:sz w:val="36"/>
        </w:rPr>
        <w:tab/>
      </w:r>
      <w:r w:rsidR="007F766F" w:rsidRPr="00D80990">
        <w:rPr>
          <w:rFonts w:ascii="Arial" w:hAnsi="Arial" w:cs="Arial"/>
          <w:smallCaps/>
          <w:sz w:val="36"/>
        </w:rPr>
        <w:tab/>
      </w:r>
      <w:r w:rsidR="00F63AA2">
        <w:rPr>
          <w:rFonts w:ascii="Arial" w:hAnsi="Arial" w:cs="Arial"/>
          <w:smallCaps/>
          <w:sz w:val="36"/>
        </w:rPr>
        <w:tab/>
      </w:r>
      <w:r w:rsidR="00F63AA2">
        <w:rPr>
          <w:rFonts w:ascii="Arial" w:hAnsi="Arial" w:cs="Arial"/>
          <w:smallCaps/>
          <w:sz w:val="36"/>
        </w:rPr>
        <w:tab/>
      </w:r>
      <w:r w:rsidR="00F63AA2">
        <w:rPr>
          <w:rFonts w:ascii="Arial" w:hAnsi="Arial" w:cs="Arial"/>
          <w:smallCaps/>
          <w:sz w:val="36"/>
        </w:rPr>
        <w:tab/>
      </w:r>
      <w:r w:rsidR="00F63AA2">
        <w:rPr>
          <w:rFonts w:ascii="Arial" w:hAnsi="Arial" w:cs="Arial"/>
          <w:smallCaps/>
          <w:sz w:val="36"/>
        </w:rPr>
        <w:tab/>
      </w:r>
      <w:r w:rsidR="00F63AA2">
        <w:rPr>
          <w:rFonts w:ascii="Arial" w:hAnsi="Arial" w:cs="Arial"/>
          <w:smallCaps/>
          <w:sz w:val="36"/>
        </w:rPr>
        <w:tab/>
        <w:t>D</w:t>
      </w:r>
      <w:r w:rsidR="007F766F" w:rsidRPr="00D80990">
        <w:rPr>
          <w:rFonts w:ascii="Arial" w:hAnsi="Arial" w:cs="Arial"/>
          <w:smallCaps/>
          <w:sz w:val="36"/>
        </w:rPr>
        <w:t>ocumento</w:t>
      </w:r>
      <w:r w:rsidR="007F766F" w:rsidRPr="00D80990">
        <w:rPr>
          <w:rFonts w:ascii="Arial" w:hAnsi="Arial" w:cs="Arial"/>
          <w:smallCaps/>
          <w:sz w:val="36"/>
        </w:rPr>
        <w:tab/>
      </w:r>
    </w:p>
    <w:p w:rsidR="009F6E3E" w:rsidRPr="00D80990" w:rsidRDefault="009F6E3E">
      <w:pPr>
        <w:pStyle w:val="cpv"/>
        <w:widowControl/>
        <w:spacing w:before="220"/>
        <w:jc w:val="center"/>
        <w:rPr>
          <w:rFonts w:ascii="Arial" w:hAnsi="Arial" w:cs="Arial"/>
          <w:b/>
          <w:i/>
          <w:color w:val="0070C0"/>
          <w:sz w:val="32"/>
        </w:rPr>
      </w:pPr>
    </w:p>
    <w:p w:rsidR="009F6E3E" w:rsidRPr="00D80990" w:rsidRDefault="007F766F">
      <w:pPr>
        <w:pStyle w:val="Titolo"/>
        <w:rPr>
          <w:b w:val="0"/>
          <w:i w:val="0"/>
          <w:smallCaps/>
          <w:szCs w:val="20"/>
        </w:rPr>
      </w:pPr>
      <w:r w:rsidRPr="00D80990">
        <w:rPr>
          <w:b w:val="0"/>
          <w:i w:val="0"/>
          <w:smallCaps/>
          <w:szCs w:val="20"/>
        </w:rPr>
        <w:t xml:space="preserve">Parere dell’organo di revisione sulla proposta di </w:t>
      </w:r>
    </w:p>
    <w:p w:rsidR="009F6E3E" w:rsidRPr="00D80990" w:rsidRDefault="007F766F">
      <w:pPr>
        <w:pStyle w:val="Titolo"/>
        <w:rPr>
          <w:b w:val="0"/>
          <w:i w:val="0"/>
          <w:smallCaps/>
          <w:szCs w:val="20"/>
        </w:rPr>
      </w:pPr>
      <w:r w:rsidRPr="00D80990">
        <w:rPr>
          <w:b w:val="0"/>
          <w:i w:val="0"/>
          <w:smallCaps/>
          <w:szCs w:val="20"/>
        </w:rPr>
        <w:t>BILANCIO DI PREVISIONE 201</w:t>
      </w:r>
      <w:r w:rsidR="008C6354" w:rsidRPr="00D80990">
        <w:rPr>
          <w:b w:val="0"/>
          <w:i w:val="0"/>
          <w:smallCaps/>
          <w:szCs w:val="20"/>
        </w:rPr>
        <w:t>9 – 2021</w:t>
      </w:r>
    </w:p>
    <w:p w:rsidR="009F6E3E" w:rsidRPr="00D80990" w:rsidRDefault="007F766F">
      <w:pPr>
        <w:pStyle w:val="cpv"/>
        <w:widowControl/>
        <w:spacing w:before="220"/>
        <w:jc w:val="center"/>
        <w:rPr>
          <w:rFonts w:ascii="Arial" w:hAnsi="Arial" w:cs="Arial"/>
          <w:smallCaps/>
          <w:sz w:val="36"/>
        </w:rPr>
      </w:pPr>
      <w:r w:rsidRPr="00D80990">
        <w:rPr>
          <w:rFonts w:ascii="Arial" w:hAnsi="Arial" w:cs="Arial"/>
          <w:smallCaps/>
          <w:sz w:val="36"/>
        </w:rPr>
        <w:t>e documenti allegati</w:t>
      </w:r>
    </w:p>
    <w:p w:rsidR="009F6E3E" w:rsidRPr="00D80990" w:rsidRDefault="009F6E3E">
      <w:pPr>
        <w:pStyle w:val="cpv"/>
        <w:widowControl/>
        <w:spacing w:before="220"/>
        <w:rPr>
          <w:rFonts w:ascii="Arial" w:hAnsi="Arial" w:cs="Arial"/>
          <w:smallCaps/>
          <w:sz w:val="36"/>
        </w:rPr>
      </w:pPr>
    </w:p>
    <w:tbl>
      <w:tblPr>
        <w:tblW w:w="0" w:type="auto"/>
        <w:tblInd w:w="-108" w:type="dxa"/>
        <w:tblBorders>
          <w:top w:val="nil"/>
          <w:left w:val="nil"/>
          <w:bottom w:val="nil"/>
          <w:right w:val="nil"/>
        </w:tblBorders>
        <w:tblLayout w:type="fixed"/>
        <w:tblLook w:val="0000"/>
      </w:tblPr>
      <w:tblGrid>
        <w:gridCol w:w="5403"/>
        <w:gridCol w:w="3485"/>
      </w:tblGrid>
      <w:tr w:rsidR="009F6E3E" w:rsidRPr="00D80990" w:rsidTr="00291B59">
        <w:trPr>
          <w:trHeight w:val="1812"/>
        </w:trPr>
        <w:tc>
          <w:tcPr>
            <w:tcW w:w="5403" w:type="dxa"/>
          </w:tcPr>
          <w:p w:rsidR="009F6E3E" w:rsidRPr="00985C1A" w:rsidRDefault="009F6E3E">
            <w:pPr>
              <w:autoSpaceDE w:val="0"/>
              <w:autoSpaceDN w:val="0"/>
              <w:adjustRightInd w:val="0"/>
              <w:rPr>
                <w:rFonts w:ascii="Arial" w:hAnsi="Arial" w:cs="Arial"/>
                <w:color w:val="000000"/>
                <w:sz w:val="20"/>
                <w:szCs w:val="20"/>
              </w:rPr>
            </w:pPr>
          </w:p>
          <w:p w:rsidR="009F6E3E" w:rsidRPr="00985C1A" w:rsidRDefault="007F766F">
            <w:pPr>
              <w:autoSpaceDE w:val="0"/>
              <w:autoSpaceDN w:val="0"/>
              <w:adjustRightInd w:val="0"/>
              <w:rPr>
                <w:rFonts w:ascii="Arial" w:hAnsi="Arial" w:cs="Arial"/>
                <w:color w:val="000000"/>
                <w:sz w:val="20"/>
                <w:szCs w:val="20"/>
              </w:rPr>
            </w:pPr>
            <w:r w:rsidRPr="00985C1A">
              <w:rPr>
                <w:rFonts w:ascii="Arial" w:hAnsi="Arial" w:cs="Arial"/>
                <w:color w:val="000000"/>
                <w:sz w:val="20"/>
                <w:szCs w:val="20"/>
              </w:rPr>
              <w:t xml:space="preserve">Area “Economia degli Enti locali” </w:t>
            </w:r>
          </w:p>
        </w:tc>
        <w:tc>
          <w:tcPr>
            <w:tcW w:w="3485" w:type="dxa"/>
          </w:tcPr>
          <w:p w:rsidR="009F6E3E" w:rsidRPr="005D790B" w:rsidRDefault="009F6E3E">
            <w:pPr>
              <w:autoSpaceDE w:val="0"/>
              <w:autoSpaceDN w:val="0"/>
              <w:adjustRightInd w:val="0"/>
              <w:rPr>
                <w:rFonts w:ascii="Arial" w:hAnsi="Arial" w:cs="Arial"/>
                <w:color w:val="000000"/>
                <w:sz w:val="20"/>
                <w:szCs w:val="20"/>
              </w:rPr>
            </w:pPr>
          </w:p>
          <w:p w:rsidR="009F6E3E" w:rsidRPr="005D790B" w:rsidRDefault="007F766F">
            <w:pPr>
              <w:autoSpaceDE w:val="0"/>
              <w:autoSpaceDN w:val="0"/>
              <w:adjustRightInd w:val="0"/>
              <w:rPr>
                <w:rFonts w:ascii="Arial" w:hAnsi="Arial" w:cs="Arial"/>
                <w:color w:val="000000"/>
                <w:sz w:val="20"/>
                <w:szCs w:val="20"/>
              </w:rPr>
            </w:pPr>
            <w:r w:rsidRPr="005D790B">
              <w:rPr>
                <w:rFonts w:ascii="Arial" w:hAnsi="Arial" w:cs="Arial"/>
                <w:color w:val="000000"/>
                <w:sz w:val="20"/>
                <w:szCs w:val="20"/>
              </w:rPr>
              <w:t xml:space="preserve">CONSIGLIERI DELEGATI </w:t>
            </w:r>
            <w:r w:rsidR="00985C1A" w:rsidRPr="005D790B">
              <w:rPr>
                <w:rFonts w:ascii="Arial" w:hAnsi="Arial" w:cs="Arial"/>
                <w:color w:val="000000"/>
                <w:sz w:val="20"/>
                <w:szCs w:val="20"/>
              </w:rPr>
              <w:t>CNDCEC</w:t>
            </w:r>
          </w:p>
          <w:p w:rsidR="009F6E3E" w:rsidRPr="005D790B" w:rsidRDefault="007F766F">
            <w:pPr>
              <w:autoSpaceDE w:val="0"/>
              <w:autoSpaceDN w:val="0"/>
              <w:adjustRightInd w:val="0"/>
              <w:rPr>
                <w:rFonts w:ascii="Arial" w:hAnsi="Arial" w:cs="Arial"/>
                <w:color w:val="000000"/>
                <w:sz w:val="20"/>
                <w:szCs w:val="20"/>
              </w:rPr>
            </w:pPr>
            <w:r w:rsidRPr="005D790B">
              <w:rPr>
                <w:rFonts w:ascii="Arial" w:hAnsi="Arial" w:cs="Arial"/>
                <w:color w:val="000000"/>
                <w:sz w:val="20"/>
                <w:szCs w:val="20"/>
              </w:rPr>
              <w:t>Davide Di Russo – Vice Presidente</w:t>
            </w:r>
          </w:p>
          <w:p w:rsidR="009F6E3E" w:rsidRPr="005D790B" w:rsidRDefault="007F766F">
            <w:pPr>
              <w:autoSpaceDE w:val="0"/>
              <w:autoSpaceDN w:val="0"/>
              <w:adjustRightInd w:val="0"/>
              <w:rPr>
                <w:rFonts w:ascii="Arial" w:hAnsi="Arial" w:cs="Arial"/>
                <w:color w:val="000000"/>
                <w:sz w:val="20"/>
                <w:szCs w:val="20"/>
              </w:rPr>
            </w:pPr>
            <w:r w:rsidRPr="005D790B">
              <w:rPr>
                <w:rFonts w:ascii="Arial" w:hAnsi="Arial" w:cs="Arial"/>
                <w:color w:val="000000"/>
                <w:sz w:val="20"/>
                <w:szCs w:val="20"/>
              </w:rPr>
              <w:t>Remigio E.M. Sequi - Consigliere</w:t>
            </w:r>
          </w:p>
          <w:p w:rsidR="00985C1A" w:rsidRPr="005D790B" w:rsidRDefault="00985C1A" w:rsidP="00291B59">
            <w:pPr>
              <w:autoSpaceDE w:val="0"/>
              <w:autoSpaceDN w:val="0"/>
              <w:adjustRightInd w:val="0"/>
              <w:rPr>
                <w:rFonts w:ascii="Arial" w:hAnsi="Arial" w:cs="Arial"/>
                <w:color w:val="000000"/>
                <w:sz w:val="20"/>
                <w:szCs w:val="20"/>
              </w:rPr>
            </w:pPr>
          </w:p>
          <w:p w:rsidR="00985C1A" w:rsidRPr="005D790B" w:rsidRDefault="00985C1A" w:rsidP="00291B59">
            <w:pPr>
              <w:autoSpaceDE w:val="0"/>
              <w:autoSpaceDN w:val="0"/>
              <w:adjustRightInd w:val="0"/>
              <w:rPr>
                <w:rFonts w:ascii="Arial" w:hAnsi="Arial" w:cs="Arial"/>
                <w:color w:val="000000"/>
                <w:sz w:val="20"/>
                <w:szCs w:val="20"/>
              </w:rPr>
            </w:pPr>
            <w:r w:rsidRPr="005D790B">
              <w:rPr>
                <w:rFonts w:ascii="Arial" w:hAnsi="Arial" w:cs="Arial"/>
                <w:color w:val="000000"/>
                <w:sz w:val="20"/>
                <w:szCs w:val="20"/>
              </w:rPr>
              <w:t>PRESIDENTE ANCREL</w:t>
            </w:r>
          </w:p>
          <w:p w:rsidR="00291B59" w:rsidRPr="005D790B" w:rsidRDefault="00291B59" w:rsidP="00291B59">
            <w:pPr>
              <w:autoSpaceDE w:val="0"/>
              <w:autoSpaceDN w:val="0"/>
              <w:adjustRightInd w:val="0"/>
              <w:rPr>
                <w:rFonts w:ascii="Arial" w:hAnsi="Arial" w:cs="Arial"/>
                <w:color w:val="000000"/>
                <w:sz w:val="20"/>
                <w:szCs w:val="20"/>
              </w:rPr>
            </w:pPr>
            <w:r w:rsidRPr="005D790B">
              <w:rPr>
                <w:rFonts w:ascii="Arial" w:hAnsi="Arial" w:cs="Arial"/>
                <w:color w:val="000000"/>
                <w:sz w:val="20"/>
                <w:szCs w:val="20"/>
              </w:rPr>
              <w:t>Marco Castellani</w:t>
            </w:r>
          </w:p>
          <w:p w:rsidR="009F6E3E" w:rsidRPr="005D790B" w:rsidRDefault="009F6E3E">
            <w:pPr>
              <w:autoSpaceDE w:val="0"/>
              <w:autoSpaceDN w:val="0"/>
              <w:adjustRightInd w:val="0"/>
              <w:rPr>
                <w:rFonts w:ascii="Arial" w:hAnsi="Arial" w:cs="Arial"/>
                <w:color w:val="000000"/>
                <w:sz w:val="20"/>
                <w:szCs w:val="20"/>
              </w:rPr>
            </w:pPr>
          </w:p>
          <w:p w:rsidR="009F6E3E" w:rsidRPr="005D790B" w:rsidRDefault="009F6E3E">
            <w:pPr>
              <w:autoSpaceDE w:val="0"/>
              <w:autoSpaceDN w:val="0"/>
              <w:adjustRightInd w:val="0"/>
              <w:rPr>
                <w:rFonts w:ascii="Arial" w:hAnsi="Arial" w:cs="Arial"/>
                <w:color w:val="000000"/>
                <w:sz w:val="20"/>
                <w:szCs w:val="20"/>
              </w:rPr>
            </w:pPr>
          </w:p>
          <w:p w:rsidR="009F6E3E" w:rsidRPr="005D790B" w:rsidRDefault="007F766F">
            <w:pPr>
              <w:autoSpaceDE w:val="0"/>
              <w:autoSpaceDN w:val="0"/>
              <w:adjustRightInd w:val="0"/>
              <w:rPr>
                <w:rFonts w:ascii="Arial" w:hAnsi="Arial" w:cs="Arial"/>
                <w:color w:val="000000"/>
                <w:sz w:val="20"/>
                <w:szCs w:val="20"/>
              </w:rPr>
            </w:pPr>
            <w:r w:rsidRPr="005D790B">
              <w:rPr>
                <w:rFonts w:ascii="Arial" w:hAnsi="Arial" w:cs="Arial"/>
                <w:color w:val="000000"/>
                <w:sz w:val="20"/>
                <w:szCs w:val="20"/>
              </w:rPr>
              <w:t xml:space="preserve">COMPONENTI </w:t>
            </w:r>
          </w:p>
          <w:p w:rsidR="00291B59" w:rsidRPr="005D790B" w:rsidRDefault="00291B59">
            <w:pPr>
              <w:autoSpaceDE w:val="0"/>
              <w:autoSpaceDN w:val="0"/>
              <w:adjustRightInd w:val="0"/>
              <w:rPr>
                <w:rFonts w:ascii="Arial" w:hAnsi="Arial" w:cs="Arial"/>
                <w:color w:val="000000"/>
                <w:sz w:val="20"/>
                <w:szCs w:val="20"/>
              </w:rPr>
            </w:pPr>
            <w:r w:rsidRPr="005D790B">
              <w:rPr>
                <w:rFonts w:ascii="Arial" w:hAnsi="Arial" w:cs="Arial"/>
                <w:color w:val="000000"/>
                <w:sz w:val="20"/>
                <w:szCs w:val="20"/>
              </w:rPr>
              <w:t>Patrizio Battisti</w:t>
            </w:r>
          </w:p>
          <w:p w:rsidR="009F6E3E" w:rsidRPr="005D790B" w:rsidRDefault="007F766F">
            <w:pPr>
              <w:autoSpaceDE w:val="0"/>
              <w:autoSpaceDN w:val="0"/>
              <w:adjustRightInd w:val="0"/>
              <w:rPr>
                <w:rFonts w:ascii="Arial" w:hAnsi="Arial" w:cs="Arial"/>
                <w:color w:val="000000"/>
                <w:sz w:val="20"/>
                <w:szCs w:val="20"/>
              </w:rPr>
            </w:pPr>
            <w:r w:rsidRPr="005D790B">
              <w:rPr>
                <w:rFonts w:ascii="Arial" w:hAnsi="Arial" w:cs="Arial"/>
                <w:color w:val="000000"/>
                <w:sz w:val="20"/>
                <w:szCs w:val="20"/>
              </w:rPr>
              <w:t>Elena Brunetto</w:t>
            </w:r>
          </w:p>
          <w:p w:rsidR="00291B59" w:rsidRPr="005D790B" w:rsidRDefault="00291B59">
            <w:pPr>
              <w:autoSpaceDE w:val="0"/>
              <w:autoSpaceDN w:val="0"/>
              <w:adjustRightInd w:val="0"/>
              <w:rPr>
                <w:rFonts w:ascii="Arial" w:hAnsi="Arial" w:cs="Arial"/>
                <w:color w:val="000000"/>
                <w:sz w:val="20"/>
                <w:szCs w:val="20"/>
              </w:rPr>
            </w:pPr>
            <w:r w:rsidRPr="005D790B">
              <w:rPr>
                <w:rFonts w:ascii="Arial" w:hAnsi="Arial" w:cs="Arial"/>
                <w:color w:val="000000"/>
                <w:sz w:val="20"/>
                <w:szCs w:val="20"/>
              </w:rPr>
              <w:t>Luciano Fazzi</w:t>
            </w:r>
          </w:p>
          <w:p w:rsidR="00291B59" w:rsidRPr="005D790B" w:rsidRDefault="00291B59">
            <w:pPr>
              <w:autoSpaceDE w:val="0"/>
              <w:autoSpaceDN w:val="0"/>
              <w:adjustRightInd w:val="0"/>
              <w:rPr>
                <w:rFonts w:ascii="Arial" w:hAnsi="Arial" w:cs="Arial"/>
                <w:color w:val="000000"/>
                <w:sz w:val="20"/>
                <w:szCs w:val="20"/>
              </w:rPr>
            </w:pPr>
            <w:r w:rsidRPr="005D790B">
              <w:rPr>
                <w:rFonts w:ascii="Arial" w:hAnsi="Arial" w:cs="Arial"/>
                <w:color w:val="000000"/>
                <w:sz w:val="20"/>
                <w:szCs w:val="20"/>
              </w:rPr>
              <w:t>Sergio Moretti</w:t>
            </w:r>
          </w:p>
          <w:p w:rsidR="009F6E3E" w:rsidRPr="005D790B" w:rsidRDefault="005D790B">
            <w:pPr>
              <w:autoSpaceDE w:val="0"/>
              <w:autoSpaceDN w:val="0"/>
              <w:adjustRightInd w:val="0"/>
              <w:rPr>
                <w:rFonts w:ascii="Arial" w:hAnsi="Arial" w:cs="Arial"/>
                <w:color w:val="000000"/>
                <w:sz w:val="20"/>
                <w:szCs w:val="20"/>
              </w:rPr>
            </w:pPr>
            <w:r>
              <w:rPr>
                <w:rFonts w:ascii="Arial" w:hAnsi="Arial" w:cs="Arial"/>
                <w:color w:val="000000"/>
                <w:sz w:val="20"/>
                <w:szCs w:val="20"/>
              </w:rPr>
              <w:t>Giuseppe Munafò</w:t>
            </w:r>
          </w:p>
          <w:p w:rsidR="009F6E3E" w:rsidRPr="005D790B" w:rsidRDefault="007F766F">
            <w:pPr>
              <w:autoSpaceDE w:val="0"/>
              <w:autoSpaceDN w:val="0"/>
              <w:adjustRightInd w:val="0"/>
              <w:rPr>
                <w:rFonts w:ascii="Arial" w:hAnsi="Arial" w:cs="Arial"/>
                <w:color w:val="000000"/>
                <w:sz w:val="20"/>
                <w:szCs w:val="20"/>
              </w:rPr>
            </w:pPr>
            <w:r w:rsidRPr="005D790B">
              <w:rPr>
                <w:rFonts w:ascii="Arial" w:hAnsi="Arial" w:cs="Arial"/>
                <w:color w:val="000000"/>
                <w:sz w:val="20"/>
                <w:szCs w:val="20"/>
              </w:rPr>
              <w:t>Gabriella Nardelli</w:t>
            </w:r>
          </w:p>
          <w:p w:rsidR="00291B59" w:rsidRPr="005D790B" w:rsidRDefault="00291B59">
            <w:pPr>
              <w:autoSpaceDE w:val="0"/>
              <w:autoSpaceDN w:val="0"/>
              <w:adjustRightInd w:val="0"/>
              <w:rPr>
                <w:rFonts w:ascii="Arial" w:hAnsi="Arial" w:cs="Arial"/>
                <w:color w:val="000000"/>
                <w:sz w:val="20"/>
                <w:szCs w:val="20"/>
              </w:rPr>
            </w:pPr>
            <w:r w:rsidRPr="005D790B">
              <w:rPr>
                <w:rFonts w:ascii="Arial" w:hAnsi="Arial" w:cs="Arial"/>
                <w:color w:val="000000"/>
                <w:sz w:val="20"/>
                <w:szCs w:val="20"/>
              </w:rPr>
              <w:t>Tommaso Pazzaglini</w:t>
            </w:r>
          </w:p>
          <w:p w:rsidR="00291B59" w:rsidRPr="005D790B" w:rsidRDefault="00291B59">
            <w:pPr>
              <w:autoSpaceDE w:val="0"/>
              <w:autoSpaceDN w:val="0"/>
              <w:adjustRightInd w:val="0"/>
              <w:rPr>
                <w:rFonts w:ascii="Arial" w:hAnsi="Arial" w:cs="Arial"/>
                <w:color w:val="000000"/>
                <w:sz w:val="20"/>
                <w:szCs w:val="20"/>
              </w:rPr>
            </w:pPr>
            <w:r w:rsidRPr="005D790B">
              <w:rPr>
                <w:rFonts w:ascii="Arial" w:hAnsi="Arial" w:cs="Arial"/>
                <w:color w:val="000000"/>
                <w:sz w:val="20"/>
                <w:szCs w:val="20"/>
              </w:rPr>
              <w:t>Rosa Ricciardi</w:t>
            </w:r>
          </w:p>
          <w:p w:rsidR="00291B59" w:rsidRPr="005D790B" w:rsidRDefault="00291B59">
            <w:pPr>
              <w:autoSpaceDE w:val="0"/>
              <w:autoSpaceDN w:val="0"/>
              <w:adjustRightInd w:val="0"/>
              <w:rPr>
                <w:rFonts w:ascii="Arial" w:hAnsi="Arial" w:cs="Arial"/>
                <w:color w:val="000000"/>
                <w:sz w:val="20"/>
                <w:szCs w:val="20"/>
              </w:rPr>
            </w:pPr>
            <w:r w:rsidRPr="005D790B">
              <w:rPr>
                <w:rFonts w:ascii="Arial" w:hAnsi="Arial" w:cs="Arial"/>
                <w:color w:val="000000"/>
                <w:sz w:val="20"/>
                <w:szCs w:val="20"/>
              </w:rPr>
              <w:t>Marco Rossi</w:t>
            </w:r>
          </w:p>
          <w:p w:rsidR="00291B59" w:rsidRPr="005D790B" w:rsidRDefault="00291B59">
            <w:pPr>
              <w:autoSpaceDE w:val="0"/>
              <w:autoSpaceDN w:val="0"/>
              <w:adjustRightInd w:val="0"/>
              <w:rPr>
                <w:rFonts w:ascii="Arial" w:hAnsi="Arial" w:cs="Arial"/>
                <w:color w:val="000000"/>
                <w:sz w:val="20"/>
                <w:szCs w:val="20"/>
              </w:rPr>
            </w:pPr>
            <w:r w:rsidRPr="005D790B">
              <w:rPr>
                <w:rFonts w:ascii="Arial" w:hAnsi="Arial" w:cs="Arial"/>
                <w:color w:val="000000"/>
                <w:sz w:val="20"/>
                <w:szCs w:val="20"/>
              </w:rPr>
              <w:t>Patrizia Ruffini</w:t>
            </w:r>
          </w:p>
          <w:p w:rsidR="00291B59" w:rsidRPr="005D790B" w:rsidRDefault="00291B59">
            <w:pPr>
              <w:autoSpaceDE w:val="0"/>
              <w:autoSpaceDN w:val="0"/>
              <w:adjustRightInd w:val="0"/>
              <w:rPr>
                <w:rFonts w:ascii="Arial" w:hAnsi="Arial" w:cs="Arial"/>
                <w:color w:val="000000"/>
                <w:sz w:val="20"/>
                <w:szCs w:val="20"/>
              </w:rPr>
            </w:pPr>
            <w:r w:rsidRPr="005D790B">
              <w:rPr>
                <w:rFonts w:ascii="Arial" w:hAnsi="Arial" w:cs="Arial"/>
                <w:color w:val="000000"/>
                <w:sz w:val="20"/>
                <w:szCs w:val="20"/>
              </w:rPr>
              <w:t>Grazia Zeppa</w:t>
            </w:r>
          </w:p>
          <w:p w:rsidR="009F6E3E" w:rsidRPr="005D790B" w:rsidRDefault="009F6E3E">
            <w:pPr>
              <w:autoSpaceDE w:val="0"/>
              <w:autoSpaceDN w:val="0"/>
              <w:adjustRightInd w:val="0"/>
              <w:rPr>
                <w:rFonts w:ascii="Arial" w:hAnsi="Arial" w:cs="Arial"/>
                <w:color w:val="000000"/>
                <w:sz w:val="20"/>
                <w:szCs w:val="20"/>
              </w:rPr>
            </w:pPr>
          </w:p>
          <w:p w:rsidR="009F6E3E" w:rsidRPr="005D790B" w:rsidRDefault="007F766F">
            <w:pPr>
              <w:autoSpaceDE w:val="0"/>
              <w:autoSpaceDN w:val="0"/>
              <w:adjustRightInd w:val="0"/>
              <w:rPr>
                <w:rFonts w:ascii="Arial" w:hAnsi="Arial" w:cs="Arial"/>
                <w:color w:val="000000"/>
                <w:sz w:val="20"/>
                <w:szCs w:val="20"/>
              </w:rPr>
            </w:pPr>
            <w:r w:rsidRPr="005D790B">
              <w:rPr>
                <w:rFonts w:ascii="Arial" w:hAnsi="Arial" w:cs="Arial"/>
                <w:color w:val="000000"/>
                <w:sz w:val="20"/>
                <w:szCs w:val="20"/>
              </w:rPr>
              <w:t>RICERCATRICE</w:t>
            </w:r>
          </w:p>
          <w:p w:rsidR="009F6E3E" w:rsidRPr="005D790B" w:rsidRDefault="007F766F">
            <w:pPr>
              <w:autoSpaceDE w:val="0"/>
              <w:autoSpaceDN w:val="0"/>
              <w:adjustRightInd w:val="0"/>
              <w:rPr>
                <w:rFonts w:ascii="Arial" w:hAnsi="Arial" w:cs="Arial"/>
                <w:color w:val="000000"/>
                <w:sz w:val="20"/>
                <w:szCs w:val="20"/>
              </w:rPr>
            </w:pPr>
            <w:r w:rsidRPr="005D790B">
              <w:rPr>
                <w:rFonts w:ascii="Arial" w:hAnsi="Arial" w:cs="Arial"/>
                <w:color w:val="000000"/>
                <w:sz w:val="20"/>
                <w:szCs w:val="20"/>
              </w:rPr>
              <w:t>Anna De Toni</w:t>
            </w:r>
          </w:p>
        </w:tc>
      </w:tr>
      <w:tr w:rsidR="009F6E3E" w:rsidRPr="00D80990" w:rsidTr="00291B59">
        <w:trPr>
          <w:trHeight w:val="1812"/>
        </w:trPr>
        <w:tc>
          <w:tcPr>
            <w:tcW w:w="5403" w:type="dxa"/>
          </w:tcPr>
          <w:p w:rsidR="009F6E3E" w:rsidRPr="00D80990" w:rsidRDefault="009F6E3E">
            <w:pPr>
              <w:autoSpaceDE w:val="0"/>
              <w:autoSpaceDN w:val="0"/>
              <w:adjustRightInd w:val="0"/>
              <w:rPr>
                <w:rFonts w:ascii="Arial" w:hAnsi="Arial" w:cs="Arial"/>
                <w:color w:val="000000"/>
                <w:sz w:val="23"/>
                <w:szCs w:val="23"/>
              </w:rPr>
            </w:pPr>
          </w:p>
        </w:tc>
        <w:tc>
          <w:tcPr>
            <w:tcW w:w="3485" w:type="dxa"/>
          </w:tcPr>
          <w:p w:rsidR="009F6E3E" w:rsidRPr="00D80990" w:rsidRDefault="009F6E3E">
            <w:pPr>
              <w:autoSpaceDE w:val="0"/>
              <w:autoSpaceDN w:val="0"/>
              <w:adjustRightInd w:val="0"/>
              <w:rPr>
                <w:rFonts w:ascii="Arial" w:hAnsi="Arial" w:cs="Arial"/>
                <w:color w:val="000000"/>
                <w:sz w:val="23"/>
                <w:szCs w:val="23"/>
              </w:rPr>
            </w:pPr>
          </w:p>
        </w:tc>
      </w:tr>
    </w:tbl>
    <w:p w:rsidR="00291B59" w:rsidRPr="00193C38" w:rsidRDefault="00291B59" w:rsidP="00291B59">
      <w:pPr>
        <w:pStyle w:val="cpv"/>
        <w:widowControl/>
        <w:spacing w:before="220"/>
        <w:rPr>
          <w:rFonts w:ascii="Arial" w:hAnsi="Arial" w:cs="Arial"/>
          <w:color w:val="FF0000"/>
          <w:sz w:val="26"/>
          <w:szCs w:val="26"/>
        </w:rPr>
      </w:pPr>
      <w:r>
        <w:rPr>
          <w:rFonts w:ascii="Arial" w:hAnsi="Arial" w:cs="Arial"/>
          <w:color w:val="000000"/>
          <w:sz w:val="26"/>
          <w:szCs w:val="26"/>
        </w:rPr>
        <w:tab/>
      </w:r>
      <w:r>
        <w:rPr>
          <w:rFonts w:ascii="Arial" w:hAnsi="Arial" w:cs="Arial"/>
          <w:color w:val="000000"/>
          <w:sz w:val="26"/>
          <w:szCs w:val="26"/>
        </w:rPr>
        <w:tab/>
      </w:r>
      <w:r>
        <w:rPr>
          <w:rFonts w:ascii="Arial" w:hAnsi="Arial" w:cs="Arial"/>
          <w:color w:val="000000"/>
          <w:sz w:val="26"/>
          <w:szCs w:val="26"/>
        </w:rPr>
        <w:tab/>
      </w:r>
      <w:r>
        <w:rPr>
          <w:rFonts w:ascii="Arial" w:hAnsi="Arial" w:cs="Arial"/>
          <w:color w:val="000000"/>
          <w:sz w:val="26"/>
          <w:szCs w:val="26"/>
        </w:rPr>
        <w:tab/>
      </w:r>
      <w:r>
        <w:rPr>
          <w:rFonts w:ascii="Arial" w:hAnsi="Arial" w:cs="Arial"/>
          <w:color w:val="000000"/>
          <w:sz w:val="26"/>
          <w:szCs w:val="26"/>
        </w:rPr>
        <w:tab/>
      </w:r>
      <w:r>
        <w:rPr>
          <w:rFonts w:ascii="Arial" w:hAnsi="Arial" w:cs="Arial"/>
          <w:color w:val="000000"/>
          <w:sz w:val="26"/>
          <w:szCs w:val="26"/>
        </w:rPr>
        <w:tab/>
      </w:r>
      <w:r w:rsidR="00EA4A99">
        <w:rPr>
          <w:rFonts w:ascii="Arial" w:hAnsi="Arial" w:cs="Arial"/>
          <w:color w:val="000000" w:themeColor="text1"/>
          <w:sz w:val="26"/>
          <w:szCs w:val="26"/>
        </w:rPr>
        <w:t>Febbrai</w:t>
      </w:r>
      <w:r w:rsidR="00193C38" w:rsidRPr="00310840">
        <w:rPr>
          <w:rFonts w:ascii="Arial" w:hAnsi="Arial" w:cs="Arial"/>
          <w:color w:val="000000" w:themeColor="text1"/>
          <w:sz w:val="26"/>
          <w:szCs w:val="26"/>
        </w:rPr>
        <w:t>o</w:t>
      </w:r>
      <w:r w:rsidR="008C6354" w:rsidRPr="00310840">
        <w:rPr>
          <w:rFonts w:ascii="Arial" w:hAnsi="Arial" w:cs="Arial"/>
          <w:color w:val="000000" w:themeColor="text1"/>
          <w:sz w:val="26"/>
          <w:szCs w:val="26"/>
        </w:rPr>
        <w:t xml:space="preserve"> 201</w:t>
      </w:r>
      <w:r w:rsidR="00193C38" w:rsidRPr="00310840">
        <w:rPr>
          <w:rFonts w:ascii="Arial" w:hAnsi="Arial" w:cs="Arial"/>
          <w:color w:val="000000" w:themeColor="text1"/>
          <w:sz w:val="26"/>
          <w:szCs w:val="26"/>
        </w:rPr>
        <w:t>9</w:t>
      </w:r>
      <w:r w:rsidRPr="00193C38">
        <w:rPr>
          <w:rFonts w:ascii="Arial" w:hAnsi="Arial" w:cs="Arial"/>
          <w:color w:val="FF0000"/>
          <w:sz w:val="26"/>
          <w:szCs w:val="26"/>
        </w:rPr>
        <w:br w:type="page"/>
      </w:r>
    </w:p>
    <w:p w:rsidR="009F6E3E" w:rsidRPr="00D80990" w:rsidRDefault="009F6E3E">
      <w:pPr>
        <w:pStyle w:val="cpv"/>
        <w:widowControl/>
        <w:spacing w:before="220"/>
        <w:rPr>
          <w:rFonts w:ascii="Arial" w:hAnsi="Arial" w:cs="Arial"/>
          <w:color w:val="000000"/>
          <w:sz w:val="26"/>
          <w:szCs w:val="26"/>
        </w:rPr>
      </w:pPr>
    </w:p>
    <w:p w:rsidR="009F6E3E" w:rsidRPr="00D80990" w:rsidRDefault="007F766F">
      <w:pPr>
        <w:pStyle w:val="cpv"/>
        <w:widowControl/>
        <w:spacing w:before="220"/>
        <w:jc w:val="center"/>
        <w:rPr>
          <w:rFonts w:ascii="Arial" w:hAnsi="Arial" w:cs="Arial"/>
          <w:b/>
          <w:i/>
          <w:sz w:val="32"/>
        </w:rPr>
      </w:pPr>
      <w:r w:rsidRPr="00D80990">
        <w:rPr>
          <w:rFonts w:ascii="Arial" w:hAnsi="Arial" w:cs="Arial"/>
          <w:b/>
          <w:i/>
          <w:sz w:val="32"/>
        </w:rPr>
        <w:t>Premessa</w:t>
      </w:r>
    </w:p>
    <w:p w:rsidR="009F6E3E" w:rsidRPr="00D80990" w:rsidRDefault="009F6E3E">
      <w:pPr>
        <w:pStyle w:val="cpv"/>
        <w:widowControl/>
        <w:spacing w:before="220"/>
        <w:rPr>
          <w:rFonts w:ascii="Arial" w:hAnsi="Arial" w:cs="Arial"/>
          <w:i/>
          <w:sz w:val="22"/>
          <w:szCs w:val="22"/>
        </w:rPr>
      </w:pPr>
    </w:p>
    <w:p w:rsidR="009F6E3E" w:rsidRPr="00D80990" w:rsidRDefault="007F766F">
      <w:pPr>
        <w:pStyle w:val="cpv"/>
        <w:widowControl/>
        <w:spacing w:before="220"/>
        <w:rPr>
          <w:rFonts w:ascii="Arial" w:hAnsi="Arial" w:cs="Arial"/>
          <w:i/>
          <w:sz w:val="22"/>
          <w:szCs w:val="22"/>
        </w:rPr>
      </w:pPr>
      <w:r w:rsidRPr="00D80990">
        <w:rPr>
          <w:rFonts w:ascii="Arial" w:hAnsi="Arial" w:cs="Arial"/>
          <w:i/>
          <w:sz w:val="22"/>
          <w:szCs w:val="22"/>
        </w:rPr>
        <w:t>Lo schema di parere che viene presentato è predisposto nel rispetto della parte II “Ordinamento finanziario e contabile del D. Lgs. n.267/2000 «Testo unico delle leggi sull'ordinamento degli enti locali» (TUEL), dei principi contabili generali e del principio contabile applicato 4/2, allegati al D.Lgs. 118/2011.</w:t>
      </w:r>
    </w:p>
    <w:p w:rsidR="009F6E3E" w:rsidRPr="00D80990" w:rsidRDefault="007F766F">
      <w:pPr>
        <w:pStyle w:val="cpv"/>
        <w:widowControl/>
        <w:spacing w:before="220"/>
        <w:rPr>
          <w:rFonts w:ascii="Arial" w:hAnsi="Arial" w:cs="Arial"/>
          <w:i/>
          <w:sz w:val="22"/>
          <w:szCs w:val="22"/>
        </w:rPr>
      </w:pPr>
      <w:r w:rsidRPr="00D80990">
        <w:rPr>
          <w:rFonts w:ascii="Arial" w:hAnsi="Arial" w:cs="Arial"/>
          <w:i/>
          <w:sz w:val="22"/>
          <w:szCs w:val="22"/>
        </w:rPr>
        <w:t>Per la formulazione del parere e per l’esercizio delle sue funzioni l’organo di revisione può avvalersi dei primi tre principi di vigilanza e controllo emanati dal CNDCEC.</w:t>
      </w:r>
    </w:p>
    <w:p w:rsidR="009F6E3E" w:rsidRPr="00D80990" w:rsidRDefault="007F766F">
      <w:pPr>
        <w:pStyle w:val="cpv"/>
        <w:widowControl/>
        <w:spacing w:before="220"/>
        <w:rPr>
          <w:rFonts w:ascii="Arial" w:hAnsi="Arial" w:cs="Arial"/>
          <w:i/>
          <w:sz w:val="22"/>
          <w:szCs w:val="22"/>
        </w:rPr>
      </w:pPr>
      <w:r w:rsidRPr="00D80990">
        <w:rPr>
          <w:rFonts w:ascii="Arial" w:hAnsi="Arial" w:cs="Arial"/>
          <w:i/>
          <w:sz w:val="22"/>
          <w:szCs w:val="22"/>
        </w:rPr>
        <w:t>Per il riferimento all’anno precedente sono indicate le previsioni definitive 201</w:t>
      </w:r>
      <w:r w:rsidR="008C6354" w:rsidRPr="00D80990">
        <w:rPr>
          <w:rFonts w:ascii="Arial" w:hAnsi="Arial" w:cs="Arial"/>
          <w:i/>
          <w:sz w:val="22"/>
          <w:szCs w:val="22"/>
        </w:rPr>
        <w:t>8</w:t>
      </w:r>
      <w:r w:rsidRPr="00D80990">
        <w:rPr>
          <w:rFonts w:ascii="Arial" w:hAnsi="Arial" w:cs="Arial"/>
          <w:i/>
          <w:sz w:val="22"/>
          <w:szCs w:val="22"/>
        </w:rPr>
        <w:t>.</w:t>
      </w:r>
    </w:p>
    <w:p w:rsidR="00EA4A99" w:rsidRDefault="008163FB">
      <w:pPr>
        <w:pStyle w:val="cpv"/>
        <w:widowControl/>
        <w:spacing w:before="220"/>
        <w:rPr>
          <w:rFonts w:ascii="Arial" w:hAnsi="Arial" w:cs="Arial"/>
          <w:i/>
          <w:sz w:val="22"/>
          <w:szCs w:val="22"/>
        </w:rPr>
      </w:pPr>
      <w:r>
        <w:rPr>
          <w:rFonts w:ascii="Arial" w:hAnsi="Arial" w:cs="Arial"/>
          <w:i/>
          <w:sz w:val="22"/>
          <w:szCs w:val="22"/>
        </w:rPr>
        <w:t>Il presente documento</w:t>
      </w:r>
      <w:r w:rsidR="007F766F" w:rsidRPr="00D80990">
        <w:rPr>
          <w:rFonts w:ascii="Arial" w:hAnsi="Arial" w:cs="Arial"/>
          <w:i/>
          <w:sz w:val="22"/>
          <w:szCs w:val="22"/>
        </w:rPr>
        <w:t xml:space="preserve"> tiene conto delle norme emanate fino </w:t>
      </w:r>
      <w:r>
        <w:rPr>
          <w:rFonts w:ascii="Arial" w:hAnsi="Arial" w:cs="Arial"/>
          <w:i/>
          <w:sz w:val="22"/>
          <w:szCs w:val="22"/>
        </w:rPr>
        <w:t>alla data di pubblicazione</w:t>
      </w:r>
      <w:r w:rsidR="008422E1">
        <w:rPr>
          <w:rFonts w:ascii="Arial" w:hAnsi="Arial" w:cs="Arial"/>
          <w:i/>
          <w:sz w:val="22"/>
          <w:szCs w:val="22"/>
        </w:rPr>
        <w:t xml:space="preserve"> dello stesso</w:t>
      </w:r>
      <w:r w:rsidR="00EA4A99">
        <w:rPr>
          <w:rFonts w:ascii="Arial" w:hAnsi="Arial" w:cs="Arial"/>
          <w:i/>
          <w:sz w:val="22"/>
          <w:szCs w:val="22"/>
        </w:rPr>
        <w:t>.</w:t>
      </w:r>
    </w:p>
    <w:p w:rsidR="00EA4A99" w:rsidRPr="00D80990" w:rsidRDefault="00EA4A99">
      <w:pPr>
        <w:pStyle w:val="cpv"/>
        <w:widowControl/>
        <w:spacing w:before="220"/>
        <w:rPr>
          <w:rFonts w:ascii="Arial" w:hAnsi="Arial" w:cs="Arial"/>
          <w:i/>
          <w:sz w:val="22"/>
          <w:szCs w:val="22"/>
        </w:rPr>
      </w:pPr>
    </w:p>
    <w:p w:rsidR="009F6E3E" w:rsidRPr="00D80990" w:rsidRDefault="008163FB">
      <w:pPr>
        <w:pStyle w:val="Titolo"/>
        <w:jc w:val="both"/>
        <w:rPr>
          <w:b w:val="0"/>
          <w:sz w:val="22"/>
          <w:szCs w:val="22"/>
        </w:rPr>
      </w:pPr>
      <w:r>
        <w:rPr>
          <w:b w:val="0"/>
          <w:sz w:val="22"/>
          <w:szCs w:val="22"/>
        </w:rPr>
        <w:t xml:space="preserve">Lo schema </w:t>
      </w:r>
      <w:r w:rsidR="007F766F" w:rsidRPr="00D80990">
        <w:rPr>
          <w:b w:val="0"/>
          <w:sz w:val="22"/>
          <w:szCs w:val="22"/>
        </w:rPr>
        <w:t>è composto da un testo word con traccia del parere de</w:t>
      </w:r>
      <w:r w:rsidR="00F63AA2">
        <w:rPr>
          <w:b w:val="0"/>
          <w:sz w:val="22"/>
          <w:szCs w:val="22"/>
        </w:rPr>
        <w:t>ll’organo di revisione corredata</w:t>
      </w:r>
      <w:r w:rsidR="007F766F" w:rsidRPr="00D80990">
        <w:rPr>
          <w:b w:val="0"/>
          <w:sz w:val="22"/>
          <w:szCs w:val="22"/>
        </w:rPr>
        <w:t xml:space="preserve"> da commenti in corsivetto di colore azzurro e da tabelle in formato excel</w:t>
      </w:r>
      <w:r w:rsidR="00B87215">
        <w:rPr>
          <w:b w:val="0"/>
          <w:sz w:val="22"/>
          <w:szCs w:val="22"/>
        </w:rPr>
        <w:t xml:space="preserve"> che sono editabili sia direttamente nel file del parere che compilabili nel file excel allegato</w:t>
      </w:r>
      <w:r w:rsidR="007F766F" w:rsidRPr="00D80990">
        <w:rPr>
          <w:b w:val="0"/>
          <w:sz w:val="22"/>
          <w:szCs w:val="22"/>
        </w:rPr>
        <w:t xml:space="preserve">. </w:t>
      </w:r>
    </w:p>
    <w:p w:rsidR="009F6E3E" w:rsidRPr="00D80990" w:rsidRDefault="007F766F">
      <w:pPr>
        <w:pStyle w:val="Titolo"/>
        <w:jc w:val="both"/>
        <w:rPr>
          <w:b w:val="0"/>
          <w:sz w:val="22"/>
          <w:szCs w:val="22"/>
        </w:rPr>
      </w:pPr>
      <w:r w:rsidRPr="00D80990">
        <w:rPr>
          <w:b w:val="0"/>
          <w:sz w:val="22"/>
          <w:szCs w:val="22"/>
        </w:rPr>
        <w:t xml:space="preserve">Il </w:t>
      </w:r>
      <w:r w:rsidR="008163FB">
        <w:rPr>
          <w:b w:val="0"/>
          <w:sz w:val="22"/>
          <w:szCs w:val="22"/>
        </w:rPr>
        <w:t>testo</w:t>
      </w:r>
      <w:r w:rsidRPr="00D80990">
        <w:rPr>
          <w:b w:val="0"/>
          <w:sz w:val="22"/>
          <w:szCs w:val="22"/>
        </w:rPr>
        <w:t>costituisce soltanto una traccia per la formazione del parere da parte dell’organo di revisione, il quale resta esclusivo responsabile nei rapporti con tutti i soggetti dello stesso destinatari.</w:t>
      </w:r>
    </w:p>
    <w:p w:rsidR="009F6E3E" w:rsidRPr="00D80990" w:rsidRDefault="007F766F">
      <w:pPr>
        <w:pStyle w:val="Titolo"/>
        <w:jc w:val="both"/>
        <w:rPr>
          <w:b w:val="0"/>
          <w:sz w:val="22"/>
          <w:szCs w:val="22"/>
        </w:rPr>
      </w:pPr>
      <w:r w:rsidRPr="00D80990">
        <w:rPr>
          <w:b w:val="0"/>
          <w:sz w:val="22"/>
          <w:szCs w:val="22"/>
        </w:rPr>
        <w:t xml:space="preserve">Si declina ogni responsabilità per eventuali errori nel contenuto del testo del parere ovvero nella formazione delle tabelle excel. </w:t>
      </w:r>
    </w:p>
    <w:p w:rsidR="009F6E3E" w:rsidRPr="00D80990" w:rsidRDefault="009F6E3E">
      <w:pPr>
        <w:pStyle w:val="cpv"/>
        <w:widowControl/>
        <w:spacing w:before="220"/>
        <w:rPr>
          <w:rFonts w:ascii="Arial" w:hAnsi="Arial" w:cs="Arial"/>
          <w:i/>
          <w:color w:val="0070C0"/>
          <w:sz w:val="22"/>
          <w:szCs w:val="22"/>
        </w:rPr>
      </w:pPr>
    </w:p>
    <w:p w:rsidR="009F6E3E" w:rsidRPr="00D80990" w:rsidRDefault="009F6E3E">
      <w:pPr>
        <w:pStyle w:val="Titolo"/>
        <w:rPr>
          <w:b w:val="0"/>
          <w:i w:val="0"/>
          <w:sz w:val="40"/>
        </w:rPr>
      </w:pPr>
    </w:p>
    <w:p w:rsidR="009F6E3E" w:rsidRPr="00D80990" w:rsidRDefault="009F6E3E">
      <w:pPr>
        <w:pStyle w:val="Titolo"/>
        <w:rPr>
          <w:b w:val="0"/>
          <w:i w:val="0"/>
          <w:sz w:val="40"/>
        </w:rPr>
      </w:pPr>
    </w:p>
    <w:p w:rsidR="00291B59" w:rsidRDefault="00291B59">
      <w:pPr>
        <w:rPr>
          <w:rFonts w:ascii="Arial" w:hAnsi="Arial" w:cs="Arial"/>
          <w:sz w:val="40"/>
        </w:rPr>
      </w:pPr>
    </w:p>
    <w:p w:rsidR="00FC302C" w:rsidRDefault="00FC302C">
      <w:pPr>
        <w:rPr>
          <w:rFonts w:ascii="Arial" w:hAnsi="Arial" w:cs="Arial"/>
          <w:sz w:val="40"/>
        </w:rPr>
      </w:pPr>
    </w:p>
    <w:p w:rsidR="00FC302C" w:rsidRDefault="00FC302C">
      <w:pPr>
        <w:rPr>
          <w:rFonts w:ascii="Arial" w:hAnsi="Arial" w:cs="Arial"/>
          <w:sz w:val="40"/>
        </w:rPr>
      </w:pPr>
    </w:p>
    <w:p w:rsidR="00FC302C" w:rsidRDefault="00FC302C">
      <w:pPr>
        <w:rPr>
          <w:rFonts w:ascii="Arial" w:hAnsi="Arial" w:cs="Arial"/>
          <w:sz w:val="40"/>
        </w:rPr>
      </w:pPr>
    </w:p>
    <w:p w:rsidR="00FC302C" w:rsidRDefault="00FC302C">
      <w:pPr>
        <w:rPr>
          <w:rFonts w:ascii="Arial" w:hAnsi="Arial" w:cs="Arial"/>
          <w:sz w:val="40"/>
        </w:rPr>
      </w:pPr>
    </w:p>
    <w:p w:rsidR="00FC302C" w:rsidRDefault="00FC302C">
      <w:pPr>
        <w:rPr>
          <w:rFonts w:ascii="Arial" w:hAnsi="Arial" w:cs="Arial"/>
          <w:sz w:val="40"/>
        </w:rPr>
      </w:pPr>
    </w:p>
    <w:p w:rsidR="00FC302C" w:rsidRDefault="00FC302C">
      <w:pPr>
        <w:rPr>
          <w:rFonts w:ascii="Arial" w:hAnsi="Arial" w:cs="Arial"/>
          <w:sz w:val="40"/>
        </w:rPr>
      </w:pPr>
    </w:p>
    <w:p w:rsidR="00FC302C" w:rsidRDefault="00FC302C">
      <w:pPr>
        <w:rPr>
          <w:rFonts w:ascii="Arial" w:hAnsi="Arial" w:cs="Arial"/>
          <w:sz w:val="40"/>
        </w:rPr>
      </w:pPr>
      <w:r>
        <w:rPr>
          <w:rFonts w:ascii="Arial" w:hAnsi="Arial" w:cs="Arial"/>
          <w:sz w:val="40"/>
        </w:rPr>
        <w:br w:type="page"/>
      </w:r>
    </w:p>
    <w:p w:rsidR="00FC302C" w:rsidRDefault="00FC302C">
      <w:pPr>
        <w:rPr>
          <w:rFonts w:ascii="Arial" w:hAnsi="Arial" w:cs="Arial"/>
          <w:sz w:val="40"/>
        </w:rPr>
      </w:pPr>
    </w:p>
    <w:p w:rsidR="009F6E3E" w:rsidRPr="00D80990" w:rsidRDefault="007F766F">
      <w:pPr>
        <w:pStyle w:val="Titolo"/>
        <w:rPr>
          <w:b w:val="0"/>
          <w:i w:val="0"/>
          <w:sz w:val="40"/>
        </w:rPr>
      </w:pPr>
      <w:r w:rsidRPr="00D80990">
        <w:rPr>
          <w:b w:val="0"/>
          <w:i w:val="0"/>
          <w:sz w:val="40"/>
        </w:rPr>
        <w:t>COMUNE DI …………….</w:t>
      </w:r>
    </w:p>
    <w:p w:rsidR="009F6E3E" w:rsidRPr="00D80990" w:rsidRDefault="007F766F">
      <w:pPr>
        <w:pStyle w:val="Titolo"/>
        <w:rPr>
          <w:b w:val="0"/>
          <w:i w:val="0"/>
          <w:sz w:val="40"/>
        </w:rPr>
      </w:pPr>
      <w:r w:rsidRPr="00D80990">
        <w:rPr>
          <w:b w:val="0"/>
          <w:i w:val="0"/>
          <w:sz w:val="40"/>
        </w:rPr>
        <w:t>Provincia di ……..</w:t>
      </w:r>
    </w:p>
    <w:p w:rsidR="009F6E3E" w:rsidRPr="00D80990" w:rsidRDefault="009F6E3E">
      <w:pPr>
        <w:pStyle w:val="Titolo"/>
        <w:rPr>
          <w:b w:val="0"/>
          <w:i w:val="0"/>
          <w:sz w:val="40"/>
        </w:rPr>
      </w:pPr>
    </w:p>
    <w:p w:rsidR="009F6E3E" w:rsidRPr="00D80990" w:rsidRDefault="009F6E3E">
      <w:pPr>
        <w:pStyle w:val="Titolo"/>
        <w:rPr>
          <w:b w:val="0"/>
          <w:i w:val="0"/>
          <w:sz w:val="40"/>
        </w:rPr>
      </w:pPr>
    </w:p>
    <w:p w:rsidR="009F6E3E" w:rsidRPr="00D80990" w:rsidRDefault="007F766F">
      <w:pPr>
        <w:pStyle w:val="Titolo"/>
        <w:rPr>
          <w:sz w:val="40"/>
        </w:rPr>
      </w:pPr>
      <w:r w:rsidRPr="00D80990">
        <w:rPr>
          <w:sz w:val="40"/>
        </w:rPr>
        <w:t xml:space="preserve">Parere dell’organo di revisione sulla proposta di </w:t>
      </w:r>
    </w:p>
    <w:p w:rsidR="009F6E3E" w:rsidRPr="00D80990" w:rsidRDefault="007F766F">
      <w:pPr>
        <w:pStyle w:val="Titolo"/>
        <w:rPr>
          <w:sz w:val="40"/>
        </w:rPr>
      </w:pPr>
      <w:r w:rsidRPr="00D80990">
        <w:rPr>
          <w:sz w:val="40"/>
        </w:rPr>
        <w:t>BILANCIO DI PREVISIONE 201</w:t>
      </w:r>
      <w:r w:rsidR="008C6354" w:rsidRPr="00D80990">
        <w:rPr>
          <w:sz w:val="40"/>
        </w:rPr>
        <w:t>9</w:t>
      </w:r>
      <w:r w:rsidRPr="00D80990">
        <w:rPr>
          <w:sz w:val="40"/>
        </w:rPr>
        <w:t xml:space="preserve"> – 202</w:t>
      </w:r>
      <w:r w:rsidR="008C6354" w:rsidRPr="00D80990">
        <w:rPr>
          <w:sz w:val="40"/>
        </w:rPr>
        <w:t>1</w:t>
      </w:r>
    </w:p>
    <w:p w:rsidR="009F6E3E" w:rsidRPr="00D80990" w:rsidRDefault="007F766F">
      <w:pPr>
        <w:pStyle w:val="Titolo"/>
        <w:rPr>
          <w:b w:val="0"/>
          <w:i w:val="0"/>
          <w:sz w:val="40"/>
        </w:rPr>
      </w:pPr>
      <w:r w:rsidRPr="00D80990">
        <w:rPr>
          <w:sz w:val="40"/>
        </w:rPr>
        <w:t>e documenti allegati</w:t>
      </w:r>
    </w:p>
    <w:p w:rsidR="009F6E3E" w:rsidRPr="00D80990" w:rsidRDefault="009F6E3E">
      <w:pPr>
        <w:pStyle w:val="Titolo"/>
        <w:rPr>
          <w:i w:val="0"/>
          <w:sz w:val="28"/>
        </w:rPr>
      </w:pPr>
    </w:p>
    <w:p w:rsidR="009F6E3E" w:rsidRPr="00D80990" w:rsidRDefault="007F766F">
      <w:pPr>
        <w:pStyle w:val="Titolo"/>
        <w:rPr>
          <w:b w:val="0"/>
          <w:sz w:val="28"/>
        </w:rPr>
      </w:pPr>
      <w:r w:rsidRPr="00D80990">
        <w:rPr>
          <w:b w:val="0"/>
          <w:sz w:val="28"/>
        </w:rPr>
        <w:t>L’ORGANO DI REVISIONE</w:t>
      </w:r>
    </w:p>
    <w:p w:rsidR="009F6E3E" w:rsidRPr="00D80990" w:rsidRDefault="007F766F">
      <w:pPr>
        <w:pStyle w:val="Titolo"/>
        <w:rPr>
          <w:b w:val="0"/>
          <w:sz w:val="28"/>
        </w:rPr>
      </w:pPr>
      <w:r w:rsidRPr="00D80990">
        <w:rPr>
          <w:b w:val="0"/>
          <w:sz w:val="28"/>
        </w:rPr>
        <w:t xml:space="preserve"> _________________</w:t>
      </w:r>
    </w:p>
    <w:p w:rsidR="009F6E3E" w:rsidRPr="00D80990" w:rsidRDefault="007F766F">
      <w:pPr>
        <w:pStyle w:val="Titolo"/>
        <w:rPr>
          <w:b w:val="0"/>
          <w:sz w:val="28"/>
        </w:rPr>
      </w:pPr>
      <w:r w:rsidRPr="00D80990">
        <w:rPr>
          <w:b w:val="0"/>
          <w:sz w:val="28"/>
        </w:rPr>
        <w:t>_________________</w:t>
      </w:r>
    </w:p>
    <w:p w:rsidR="009F6E3E" w:rsidRPr="00D80990" w:rsidRDefault="007F766F">
      <w:pPr>
        <w:pStyle w:val="Titolo"/>
        <w:rPr>
          <w:b w:val="0"/>
          <w:sz w:val="28"/>
        </w:rPr>
      </w:pPr>
      <w:r w:rsidRPr="00D80990">
        <w:rPr>
          <w:b w:val="0"/>
          <w:sz w:val="28"/>
        </w:rPr>
        <w:t>_________________</w:t>
      </w:r>
    </w:p>
    <w:p w:rsidR="002E2E3D" w:rsidRPr="00D80990" w:rsidRDefault="002E2E3D">
      <w:pPr>
        <w:pStyle w:val="cpv"/>
        <w:widowControl/>
        <w:jc w:val="center"/>
        <w:rPr>
          <w:rFonts w:ascii="Arial" w:hAnsi="Arial" w:cs="Arial"/>
          <w:b/>
          <w:sz w:val="32"/>
        </w:rPr>
      </w:pPr>
    </w:p>
    <w:p w:rsidR="002E2E3D" w:rsidRDefault="002E2E3D">
      <w:pPr>
        <w:pStyle w:val="cpv"/>
        <w:widowControl/>
        <w:jc w:val="center"/>
        <w:rPr>
          <w:rFonts w:ascii="Arial" w:hAnsi="Arial" w:cs="Arial"/>
          <w:b/>
          <w:sz w:val="32"/>
        </w:rPr>
      </w:pPr>
    </w:p>
    <w:p w:rsidR="00291B59" w:rsidRDefault="00291B59">
      <w:pPr>
        <w:pStyle w:val="cpv"/>
        <w:widowControl/>
        <w:jc w:val="center"/>
        <w:rPr>
          <w:rFonts w:ascii="Arial" w:hAnsi="Arial" w:cs="Arial"/>
          <w:b/>
          <w:sz w:val="32"/>
        </w:rPr>
      </w:pPr>
    </w:p>
    <w:p w:rsidR="00291B59" w:rsidRDefault="00291B59">
      <w:pPr>
        <w:pStyle w:val="cpv"/>
        <w:widowControl/>
        <w:jc w:val="center"/>
        <w:rPr>
          <w:rFonts w:ascii="Arial" w:hAnsi="Arial" w:cs="Arial"/>
          <w:b/>
          <w:sz w:val="32"/>
        </w:rPr>
      </w:pPr>
    </w:p>
    <w:p w:rsidR="00291B59" w:rsidRDefault="00291B59">
      <w:pPr>
        <w:pStyle w:val="cpv"/>
        <w:widowControl/>
        <w:jc w:val="center"/>
        <w:rPr>
          <w:rFonts w:ascii="Arial" w:hAnsi="Arial" w:cs="Arial"/>
          <w:b/>
          <w:sz w:val="32"/>
        </w:rPr>
      </w:pPr>
    </w:p>
    <w:p w:rsidR="00291B59" w:rsidRDefault="00291B59">
      <w:pPr>
        <w:pStyle w:val="cpv"/>
        <w:widowControl/>
        <w:jc w:val="center"/>
        <w:rPr>
          <w:rFonts w:ascii="Arial" w:hAnsi="Arial" w:cs="Arial"/>
          <w:b/>
          <w:sz w:val="32"/>
        </w:rPr>
      </w:pPr>
    </w:p>
    <w:p w:rsidR="00291B59" w:rsidRPr="00D80990" w:rsidRDefault="00291B59">
      <w:pPr>
        <w:pStyle w:val="cpv"/>
        <w:widowControl/>
        <w:jc w:val="center"/>
        <w:rPr>
          <w:rFonts w:ascii="Arial" w:hAnsi="Arial" w:cs="Arial"/>
          <w:b/>
          <w:sz w:val="32"/>
        </w:rPr>
      </w:pPr>
    </w:p>
    <w:p w:rsidR="00B87215" w:rsidRDefault="00B87215">
      <w:pPr>
        <w:pStyle w:val="cpv"/>
        <w:widowControl/>
        <w:jc w:val="center"/>
        <w:rPr>
          <w:rFonts w:ascii="Arial" w:hAnsi="Arial" w:cs="Arial"/>
          <w:b/>
          <w:sz w:val="32"/>
        </w:rPr>
      </w:pPr>
      <w:r>
        <w:rPr>
          <w:rFonts w:ascii="Arial" w:hAnsi="Arial" w:cs="Arial"/>
          <w:b/>
          <w:sz w:val="32"/>
        </w:rPr>
        <w:br w:type="page"/>
      </w:r>
    </w:p>
    <w:p w:rsidR="009F6E3E" w:rsidRPr="00D80990" w:rsidRDefault="007F766F">
      <w:pPr>
        <w:pStyle w:val="cpv"/>
        <w:widowControl/>
        <w:jc w:val="center"/>
        <w:rPr>
          <w:rFonts w:ascii="Arial" w:hAnsi="Arial" w:cs="Arial"/>
          <w:b/>
          <w:sz w:val="32"/>
        </w:rPr>
      </w:pPr>
      <w:r w:rsidRPr="00D80990">
        <w:rPr>
          <w:rFonts w:ascii="Arial" w:hAnsi="Arial" w:cs="Arial"/>
          <w:b/>
          <w:sz w:val="32"/>
        </w:rPr>
        <w:lastRenderedPageBreak/>
        <w:t>L’ORGANO DI REVISIONE</w:t>
      </w:r>
    </w:p>
    <w:p w:rsidR="009F6E3E" w:rsidRPr="00D80990" w:rsidRDefault="007F766F">
      <w:pPr>
        <w:pStyle w:val="cpv"/>
        <w:widowControl/>
        <w:jc w:val="center"/>
        <w:rPr>
          <w:rFonts w:ascii="Arial" w:hAnsi="Arial" w:cs="Arial"/>
        </w:rPr>
      </w:pPr>
      <w:r w:rsidRPr="00D80990">
        <w:rPr>
          <w:rFonts w:ascii="Arial" w:hAnsi="Arial" w:cs="Arial"/>
          <w:b/>
        </w:rPr>
        <w:t>Verbale n. ….. del ……..</w:t>
      </w:r>
    </w:p>
    <w:p w:rsidR="009F6E3E" w:rsidRPr="00D80990" w:rsidRDefault="007F766F">
      <w:pPr>
        <w:pStyle w:val="LIV2"/>
        <w:widowControl/>
        <w:spacing w:after="0"/>
        <w:jc w:val="center"/>
        <w:rPr>
          <w:rFonts w:ascii="Arial" w:hAnsi="Arial" w:cs="Arial"/>
          <w:sz w:val="24"/>
        </w:rPr>
      </w:pPr>
      <w:r w:rsidRPr="00D80990">
        <w:rPr>
          <w:rFonts w:ascii="Arial" w:hAnsi="Arial" w:cs="Arial"/>
          <w:sz w:val="24"/>
        </w:rPr>
        <w:t>PARERE SUL BILANCIO DI PREVISIONE 201</w:t>
      </w:r>
      <w:r w:rsidR="008C6354" w:rsidRPr="00D80990">
        <w:rPr>
          <w:rFonts w:ascii="Arial" w:hAnsi="Arial" w:cs="Arial"/>
          <w:sz w:val="24"/>
        </w:rPr>
        <w:t>9</w:t>
      </w:r>
      <w:r w:rsidRPr="00D80990">
        <w:rPr>
          <w:rFonts w:ascii="Arial" w:hAnsi="Arial" w:cs="Arial"/>
          <w:sz w:val="24"/>
        </w:rPr>
        <w:t>-202</w:t>
      </w:r>
      <w:r w:rsidR="008C6354" w:rsidRPr="00D80990">
        <w:rPr>
          <w:rFonts w:ascii="Arial" w:hAnsi="Arial" w:cs="Arial"/>
          <w:sz w:val="24"/>
        </w:rPr>
        <w:t>1</w:t>
      </w:r>
    </w:p>
    <w:p w:rsidR="009F6E3E" w:rsidRPr="00D80990" w:rsidRDefault="007F766F">
      <w:pPr>
        <w:pStyle w:val="cpv"/>
        <w:widowControl/>
        <w:tabs>
          <w:tab w:val="left" w:pos="6652"/>
        </w:tabs>
        <w:spacing w:before="260"/>
        <w:rPr>
          <w:rFonts w:ascii="Arial" w:hAnsi="Arial" w:cs="Arial"/>
          <w:sz w:val="22"/>
          <w:szCs w:val="22"/>
        </w:rPr>
      </w:pPr>
      <w:r w:rsidRPr="00D80990">
        <w:rPr>
          <w:rFonts w:ascii="Arial" w:hAnsi="Arial" w:cs="Arial"/>
          <w:sz w:val="22"/>
          <w:szCs w:val="22"/>
        </w:rPr>
        <w:t>Premesso che l'organo di revisione ha:</w:t>
      </w:r>
    </w:p>
    <w:p w:rsidR="009F6E3E" w:rsidRPr="00D80990" w:rsidRDefault="007F766F">
      <w:pPr>
        <w:pStyle w:val="sottocpv1"/>
        <w:widowControl/>
        <w:numPr>
          <w:ilvl w:val="0"/>
          <w:numId w:val="10"/>
        </w:numPr>
        <w:rPr>
          <w:rFonts w:ascii="Arial" w:hAnsi="Arial" w:cs="Arial"/>
          <w:sz w:val="22"/>
          <w:szCs w:val="22"/>
        </w:rPr>
      </w:pPr>
      <w:r w:rsidRPr="00D80990">
        <w:rPr>
          <w:rFonts w:ascii="Arial" w:hAnsi="Arial" w:cs="Arial"/>
          <w:sz w:val="22"/>
          <w:szCs w:val="22"/>
        </w:rPr>
        <w:t>esaminato la proposta di bilancio di previsione 201</w:t>
      </w:r>
      <w:r w:rsidR="008C6354" w:rsidRPr="00D80990">
        <w:rPr>
          <w:rFonts w:ascii="Arial" w:hAnsi="Arial" w:cs="Arial"/>
          <w:sz w:val="22"/>
          <w:szCs w:val="22"/>
        </w:rPr>
        <w:t>9</w:t>
      </w:r>
      <w:r w:rsidRPr="00D80990">
        <w:rPr>
          <w:rFonts w:ascii="Arial" w:hAnsi="Arial" w:cs="Arial"/>
          <w:sz w:val="22"/>
          <w:szCs w:val="22"/>
        </w:rPr>
        <w:t>-202</w:t>
      </w:r>
      <w:r w:rsidR="008C6354" w:rsidRPr="00D80990">
        <w:rPr>
          <w:rFonts w:ascii="Arial" w:hAnsi="Arial" w:cs="Arial"/>
          <w:sz w:val="22"/>
          <w:szCs w:val="22"/>
        </w:rPr>
        <w:t>1</w:t>
      </w:r>
      <w:r w:rsidRPr="00D80990">
        <w:rPr>
          <w:rFonts w:ascii="Arial" w:hAnsi="Arial" w:cs="Arial"/>
          <w:sz w:val="22"/>
          <w:szCs w:val="22"/>
        </w:rPr>
        <w:t>, unitamente agli allegati di legge;</w:t>
      </w:r>
    </w:p>
    <w:p w:rsidR="009F6E3E" w:rsidRPr="00D80990" w:rsidRDefault="007F766F">
      <w:pPr>
        <w:pStyle w:val="sottocpv1"/>
        <w:widowControl/>
        <w:numPr>
          <w:ilvl w:val="0"/>
          <w:numId w:val="10"/>
        </w:numPr>
        <w:rPr>
          <w:rFonts w:ascii="Arial" w:hAnsi="Arial" w:cs="Arial"/>
          <w:sz w:val="22"/>
          <w:szCs w:val="22"/>
        </w:rPr>
      </w:pPr>
      <w:r w:rsidRPr="00D80990">
        <w:rPr>
          <w:rFonts w:ascii="Arial" w:hAnsi="Arial" w:cs="Arial"/>
          <w:sz w:val="22"/>
          <w:szCs w:val="22"/>
        </w:rPr>
        <w:t xml:space="preserve">visto il </w:t>
      </w:r>
      <w:r w:rsidRPr="00EA4A99">
        <w:rPr>
          <w:rStyle w:val="Collegamentoipertestuale"/>
          <w:rFonts w:ascii="Arial" w:hAnsi="Arial" w:cs="Arial"/>
          <w:color w:val="auto"/>
          <w:sz w:val="22"/>
          <w:szCs w:val="22"/>
          <w:u w:val="none"/>
        </w:rPr>
        <w:t>D</w:t>
      </w:r>
      <w:r w:rsidR="00E90960" w:rsidRPr="00EA4A99">
        <w:rPr>
          <w:rStyle w:val="Collegamentoipertestuale"/>
          <w:rFonts w:ascii="Arial" w:hAnsi="Arial" w:cs="Arial"/>
          <w:color w:val="auto"/>
          <w:sz w:val="22"/>
          <w:szCs w:val="22"/>
          <w:u w:val="none"/>
        </w:rPr>
        <w:t>ecreto  Legislativo</w:t>
      </w:r>
      <w:r w:rsidRPr="00EA4A99">
        <w:rPr>
          <w:rStyle w:val="Collegamentoipertestuale"/>
          <w:rFonts w:ascii="Arial" w:hAnsi="Arial" w:cs="Arial"/>
          <w:color w:val="auto"/>
          <w:sz w:val="22"/>
          <w:szCs w:val="22"/>
          <w:u w:val="none"/>
        </w:rPr>
        <w:t xml:space="preserve"> 1</w:t>
      </w:r>
      <w:r w:rsidR="00E90960" w:rsidRPr="00EA4A99">
        <w:rPr>
          <w:rStyle w:val="Collegamentoipertestuale"/>
          <w:rFonts w:ascii="Arial" w:hAnsi="Arial" w:cs="Arial"/>
          <w:color w:val="auto"/>
          <w:sz w:val="22"/>
          <w:szCs w:val="22"/>
          <w:u w:val="none"/>
        </w:rPr>
        <w:t>8 agosto 2000</w:t>
      </w:r>
      <w:r w:rsidRPr="00EA4A99">
        <w:rPr>
          <w:rStyle w:val="Collegamentoipertestuale"/>
          <w:rFonts w:ascii="Arial" w:hAnsi="Arial" w:cs="Arial"/>
          <w:color w:val="auto"/>
          <w:sz w:val="22"/>
          <w:szCs w:val="22"/>
          <w:u w:val="none"/>
        </w:rPr>
        <w:t xml:space="preserve"> n. 267</w:t>
      </w:r>
      <w:r w:rsidRPr="00D80990">
        <w:rPr>
          <w:rFonts w:ascii="Arial" w:hAnsi="Arial" w:cs="Arial"/>
          <w:sz w:val="22"/>
          <w:szCs w:val="22"/>
        </w:rPr>
        <w:t>«Testo unico delle leggi sull'ordinamento degli enti locali» (</w:t>
      </w:r>
      <w:hyperlink r:id="rId10" w:history="1">
        <w:r w:rsidRPr="00D80990">
          <w:rPr>
            <w:rFonts w:ascii="Arial" w:hAnsi="Arial" w:cs="Arial"/>
            <w:sz w:val="22"/>
            <w:szCs w:val="22"/>
          </w:rPr>
          <w:t>TUEL</w:t>
        </w:r>
      </w:hyperlink>
      <w:r w:rsidRPr="00D80990">
        <w:rPr>
          <w:rFonts w:ascii="Arial" w:hAnsi="Arial" w:cs="Arial"/>
          <w:sz w:val="22"/>
          <w:szCs w:val="22"/>
        </w:rPr>
        <w:t>);</w:t>
      </w:r>
    </w:p>
    <w:p w:rsidR="009F6E3E" w:rsidRPr="00D80990" w:rsidRDefault="007F766F">
      <w:pPr>
        <w:pStyle w:val="sottocpv1"/>
        <w:widowControl/>
        <w:numPr>
          <w:ilvl w:val="0"/>
          <w:numId w:val="10"/>
        </w:numPr>
        <w:rPr>
          <w:rFonts w:ascii="Arial" w:hAnsi="Arial" w:cs="Arial"/>
          <w:sz w:val="22"/>
          <w:szCs w:val="22"/>
        </w:rPr>
      </w:pPr>
      <w:r w:rsidRPr="00D80990">
        <w:rPr>
          <w:rFonts w:ascii="Arial" w:hAnsi="Arial" w:cs="Arial"/>
          <w:sz w:val="22"/>
          <w:szCs w:val="22"/>
        </w:rPr>
        <w:t xml:space="preserve">visto il </w:t>
      </w:r>
      <w:r w:rsidR="00E90960" w:rsidRPr="00EA4A99">
        <w:rPr>
          <w:rStyle w:val="Collegamentoipertestuale"/>
          <w:rFonts w:ascii="Arial" w:hAnsi="Arial" w:cs="Arial"/>
          <w:color w:val="auto"/>
          <w:sz w:val="22"/>
          <w:szCs w:val="22"/>
          <w:u w:val="none"/>
        </w:rPr>
        <w:t>Decreto legislativodel 23 giugno 2011 n.</w:t>
      </w:r>
      <w:r w:rsidRPr="00EA4A99">
        <w:rPr>
          <w:rStyle w:val="Collegamentoipertestuale"/>
          <w:rFonts w:ascii="Arial" w:hAnsi="Arial" w:cs="Arial"/>
          <w:color w:val="auto"/>
          <w:sz w:val="22"/>
          <w:szCs w:val="22"/>
          <w:u w:val="none"/>
        </w:rPr>
        <w:t>118</w:t>
      </w:r>
      <w:r w:rsidRPr="00D80990">
        <w:rPr>
          <w:rFonts w:ascii="Arial" w:hAnsi="Arial" w:cs="Arial"/>
          <w:sz w:val="22"/>
          <w:szCs w:val="22"/>
        </w:rPr>
        <w:t xml:space="preserve">e la versione aggiornata dei </w:t>
      </w:r>
      <w:r w:rsidRPr="00EA4A99">
        <w:rPr>
          <w:rStyle w:val="Collegamentoipertestuale"/>
          <w:rFonts w:ascii="Arial" w:hAnsi="Arial" w:cs="Arial"/>
          <w:color w:val="auto"/>
          <w:sz w:val="22"/>
          <w:szCs w:val="22"/>
          <w:u w:val="none"/>
        </w:rPr>
        <w:t>principi contabili</w:t>
      </w:r>
      <w:r w:rsidRPr="00D80990">
        <w:rPr>
          <w:rFonts w:ascii="Arial" w:hAnsi="Arial" w:cs="Arial"/>
          <w:sz w:val="22"/>
          <w:szCs w:val="22"/>
        </w:rPr>
        <w:t>generali ed applicati pubblicati sul sito ARCONET- Armonizzazione contabile enti territoriali;</w:t>
      </w:r>
    </w:p>
    <w:p w:rsidR="009F6E3E" w:rsidRPr="00D80990" w:rsidRDefault="007F766F">
      <w:pPr>
        <w:pStyle w:val="CPVC"/>
        <w:widowControl/>
        <w:spacing w:after="0"/>
        <w:rPr>
          <w:rFonts w:ascii="Arial" w:hAnsi="Arial" w:cs="Arial"/>
          <w:b/>
          <w:sz w:val="22"/>
          <w:szCs w:val="22"/>
        </w:rPr>
      </w:pPr>
      <w:r w:rsidRPr="00D80990">
        <w:rPr>
          <w:rFonts w:ascii="Arial" w:hAnsi="Arial" w:cs="Arial"/>
          <w:b/>
          <w:sz w:val="22"/>
          <w:szCs w:val="22"/>
        </w:rPr>
        <w:t>presenta</w:t>
      </w:r>
    </w:p>
    <w:p w:rsidR="009F6E3E" w:rsidRPr="00D80990" w:rsidRDefault="007F766F">
      <w:pPr>
        <w:pStyle w:val="cpv"/>
        <w:widowControl/>
        <w:spacing w:before="260"/>
        <w:rPr>
          <w:rFonts w:ascii="Arial" w:hAnsi="Arial" w:cs="Arial"/>
          <w:sz w:val="22"/>
          <w:szCs w:val="22"/>
        </w:rPr>
      </w:pPr>
      <w:r w:rsidRPr="00D80990">
        <w:rPr>
          <w:rFonts w:ascii="Arial" w:hAnsi="Arial" w:cs="Arial"/>
          <w:sz w:val="22"/>
          <w:szCs w:val="22"/>
        </w:rPr>
        <w:t>l'allegata relazione quale parere sulla proposta di bilancio di previsione per gli esercizi 201</w:t>
      </w:r>
      <w:r w:rsidR="008C6354" w:rsidRPr="00D80990">
        <w:rPr>
          <w:rFonts w:ascii="Arial" w:hAnsi="Arial" w:cs="Arial"/>
          <w:sz w:val="22"/>
          <w:szCs w:val="22"/>
        </w:rPr>
        <w:t>9</w:t>
      </w:r>
      <w:r w:rsidRPr="00D80990">
        <w:rPr>
          <w:rFonts w:ascii="Arial" w:hAnsi="Arial" w:cs="Arial"/>
          <w:sz w:val="22"/>
          <w:szCs w:val="22"/>
        </w:rPr>
        <w:t>-202</w:t>
      </w:r>
      <w:r w:rsidR="008C6354" w:rsidRPr="00D80990">
        <w:rPr>
          <w:rFonts w:ascii="Arial" w:hAnsi="Arial" w:cs="Arial"/>
          <w:sz w:val="22"/>
          <w:szCs w:val="22"/>
        </w:rPr>
        <w:t>1</w:t>
      </w:r>
      <w:r w:rsidRPr="00D80990">
        <w:rPr>
          <w:rFonts w:ascii="Arial" w:hAnsi="Arial" w:cs="Arial"/>
          <w:sz w:val="22"/>
          <w:szCs w:val="22"/>
        </w:rPr>
        <w:t>, del Comune di ……………………………………. che forma parte integrante e sostanziale del presente verbale.</w:t>
      </w:r>
    </w:p>
    <w:p w:rsidR="009F6E3E" w:rsidRPr="00D80990" w:rsidRDefault="007F766F">
      <w:pPr>
        <w:pStyle w:val="cpv"/>
        <w:widowControl/>
        <w:spacing w:before="260"/>
        <w:rPr>
          <w:rFonts w:ascii="Arial" w:hAnsi="Arial" w:cs="Arial"/>
          <w:sz w:val="22"/>
          <w:szCs w:val="22"/>
        </w:rPr>
      </w:pPr>
      <w:r w:rsidRPr="00D80990">
        <w:rPr>
          <w:rFonts w:ascii="Arial" w:hAnsi="Arial" w:cs="Arial"/>
          <w:sz w:val="22"/>
          <w:szCs w:val="22"/>
        </w:rPr>
        <w:t xml:space="preserve">lì ……..  </w:t>
      </w:r>
      <w:r w:rsidRPr="00D80990">
        <w:rPr>
          <w:rFonts w:ascii="Arial" w:hAnsi="Arial" w:cs="Arial"/>
          <w:sz w:val="22"/>
          <w:szCs w:val="22"/>
        </w:rPr>
        <w:tab/>
      </w:r>
      <w:r w:rsidRPr="00D80990">
        <w:rPr>
          <w:rFonts w:ascii="Arial" w:hAnsi="Arial" w:cs="Arial"/>
          <w:sz w:val="22"/>
          <w:szCs w:val="22"/>
        </w:rPr>
        <w:tab/>
      </w:r>
      <w:r w:rsidRPr="00D80990">
        <w:rPr>
          <w:rFonts w:ascii="Arial" w:hAnsi="Arial" w:cs="Arial"/>
          <w:sz w:val="22"/>
          <w:szCs w:val="22"/>
        </w:rPr>
        <w:tab/>
      </w:r>
    </w:p>
    <w:p w:rsidR="009F6E3E" w:rsidRPr="00D80990" w:rsidRDefault="009F6E3E">
      <w:pPr>
        <w:pStyle w:val="cpv"/>
        <w:widowControl/>
        <w:spacing w:before="260"/>
        <w:rPr>
          <w:rFonts w:ascii="Arial" w:hAnsi="Arial" w:cs="Arial"/>
          <w:sz w:val="24"/>
        </w:rPr>
      </w:pPr>
    </w:p>
    <w:p w:rsidR="009F6E3E" w:rsidRPr="00D80990" w:rsidRDefault="007F766F" w:rsidP="00291B59">
      <w:pPr>
        <w:pStyle w:val="cpv"/>
        <w:widowControl/>
        <w:spacing w:before="260"/>
        <w:jc w:val="left"/>
        <w:rPr>
          <w:rFonts w:ascii="Arial" w:hAnsi="Arial" w:cs="Arial"/>
          <w:sz w:val="24"/>
        </w:rPr>
      </w:pPr>
      <w:r w:rsidRPr="00D80990">
        <w:rPr>
          <w:rFonts w:ascii="Arial" w:hAnsi="Arial" w:cs="Arial"/>
          <w:sz w:val="24"/>
        </w:rPr>
        <w:t>L’ORGANO DI REVISIONE</w:t>
      </w:r>
    </w:p>
    <w:p w:rsidR="00413D3B" w:rsidRPr="00D80990" w:rsidRDefault="00413D3B" w:rsidP="00291B59">
      <w:pPr>
        <w:pStyle w:val="Titolo"/>
        <w:jc w:val="left"/>
        <w:rPr>
          <w:b w:val="0"/>
          <w:sz w:val="28"/>
        </w:rPr>
      </w:pPr>
    </w:p>
    <w:p w:rsidR="009F6E3E" w:rsidRPr="00D80990" w:rsidRDefault="00413D3B" w:rsidP="00291B59">
      <w:pPr>
        <w:pStyle w:val="Titolo"/>
        <w:jc w:val="left"/>
        <w:rPr>
          <w:b w:val="0"/>
          <w:sz w:val="28"/>
        </w:rPr>
      </w:pPr>
      <w:r w:rsidRPr="00D80990">
        <w:rPr>
          <w:b w:val="0"/>
          <w:sz w:val="28"/>
        </w:rPr>
        <w:t>__</w:t>
      </w:r>
      <w:r w:rsidR="007F766F" w:rsidRPr="00D80990">
        <w:rPr>
          <w:b w:val="0"/>
          <w:sz w:val="28"/>
        </w:rPr>
        <w:t>________________</w:t>
      </w:r>
    </w:p>
    <w:p w:rsidR="009F6E3E" w:rsidRPr="00D80990" w:rsidRDefault="00413D3B" w:rsidP="00291B59">
      <w:pPr>
        <w:pStyle w:val="Titolo"/>
        <w:jc w:val="left"/>
        <w:rPr>
          <w:b w:val="0"/>
          <w:sz w:val="28"/>
        </w:rPr>
      </w:pPr>
      <w:r w:rsidRPr="00D80990">
        <w:rPr>
          <w:b w:val="0"/>
          <w:sz w:val="28"/>
        </w:rPr>
        <w:t>_</w:t>
      </w:r>
      <w:r w:rsidR="007F766F" w:rsidRPr="00D80990">
        <w:rPr>
          <w:b w:val="0"/>
          <w:sz w:val="28"/>
        </w:rPr>
        <w:t>_________________</w:t>
      </w:r>
    </w:p>
    <w:p w:rsidR="009F6E3E" w:rsidRPr="00D80990" w:rsidRDefault="00413D3B" w:rsidP="00291B59">
      <w:pPr>
        <w:pStyle w:val="Titolo"/>
        <w:jc w:val="left"/>
        <w:rPr>
          <w:b w:val="0"/>
          <w:sz w:val="28"/>
        </w:rPr>
      </w:pPr>
      <w:r w:rsidRPr="00D80990">
        <w:rPr>
          <w:b w:val="0"/>
          <w:sz w:val="28"/>
        </w:rPr>
        <w:t>_</w:t>
      </w:r>
      <w:r w:rsidR="007F766F" w:rsidRPr="00D80990">
        <w:rPr>
          <w:b w:val="0"/>
          <w:sz w:val="28"/>
        </w:rPr>
        <w:t>_________________</w:t>
      </w:r>
    </w:p>
    <w:p w:rsidR="009F6E3E" w:rsidRPr="00D80990" w:rsidRDefault="009F6E3E">
      <w:pPr>
        <w:tabs>
          <w:tab w:val="left" w:pos="1275"/>
          <w:tab w:val="left" w:pos="1560"/>
          <w:tab w:val="left" w:leader="dot" w:pos="8789"/>
          <w:tab w:val="right" w:pos="9639"/>
        </w:tabs>
        <w:spacing w:line="360" w:lineRule="auto"/>
        <w:rPr>
          <w:rFonts w:ascii="Arial" w:hAnsi="Arial" w:cs="Arial"/>
        </w:rPr>
      </w:pPr>
    </w:p>
    <w:p w:rsidR="009F6E3E" w:rsidRPr="00D80990" w:rsidRDefault="009F6E3E">
      <w:pPr>
        <w:tabs>
          <w:tab w:val="left" w:pos="1275"/>
          <w:tab w:val="left" w:pos="1560"/>
          <w:tab w:val="left" w:leader="dot" w:pos="8789"/>
          <w:tab w:val="right" w:pos="9639"/>
        </w:tabs>
        <w:spacing w:line="360" w:lineRule="auto"/>
        <w:rPr>
          <w:rFonts w:ascii="Arial" w:hAnsi="Arial" w:cs="Arial"/>
        </w:rPr>
      </w:pPr>
    </w:p>
    <w:p w:rsidR="009F6E3E" w:rsidRPr="00D80990" w:rsidRDefault="009F6E3E">
      <w:pPr>
        <w:tabs>
          <w:tab w:val="left" w:pos="1275"/>
          <w:tab w:val="left" w:pos="1560"/>
          <w:tab w:val="left" w:leader="dot" w:pos="8789"/>
          <w:tab w:val="right" w:pos="9639"/>
        </w:tabs>
        <w:spacing w:line="360" w:lineRule="auto"/>
        <w:rPr>
          <w:rFonts w:ascii="Arial" w:hAnsi="Arial" w:cs="Arial"/>
        </w:rPr>
      </w:pPr>
    </w:p>
    <w:p w:rsidR="009F6E3E" w:rsidRPr="00D80990" w:rsidRDefault="009F6E3E">
      <w:pPr>
        <w:tabs>
          <w:tab w:val="left" w:pos="1275"/>
          <w:tab w:val="left" w:pos="1560"/>
          <w:tab w:val="left" w:leader="dot" w:pos="8789"/>
          <w:tab w:val="right" w:pos="9639"/>
        </w:tabs>
        <w:spacing w:line="360" w:lineRule="auto"/>
        <w:rPr>
          <w:rFonts w:ascii="Arial" w:hAnsi="Arial" w:cs="Arial"/>
        </w:rPr>
      </w:pPr>
    </w:p>
    <w:p w:rsidR="009F6E3E" w:rsidRPr="00D80990" w:rsidRDefault="009F6E3E">
      <w:pPr>
        <w:tabs>
          <w:tab w:val="left" w:pos="1275"/>
          <w:tab w:val="left" w:pos="1560"/>
          <w:tab w:val="left" w:leader="dot" w:pos="8789"/>
          <w:tab w:val="right" w:pos="9639"/>
        </w:tabs>
        <w:spacing w:line="360" w:lineRule="auto"/>
        <w:rPr>
          <w:rFonts w:ascii="Arial" w:hAnsi="Arial" w:cs="Arial"/>
        </w:rPr>
      </w:pPr>
    </w:p>
    <w:p w:rsidR="009F6E3E" w:rsidRPr="00D80990" w:rsidRDefault="009F6E3E">
      <w:pPr>
        <w:tabs>
          <w:tab w:val="left" w:pos="1275"/>
          <w:tab w:val="left" w:pos="1560"/>
          <w:tab w:val="left" w:leader="dot" w:pos="8789"/>
          <w:tab w:val="right" w:pos="9639"/>
        </w:tabs>
        <w:spacing w:line="360" w:lineRule="auto"/>
        <w:rPr>
          <w:rFonts w:ascii="Arial" w:hAnsi="Arial" w:cs="Arial"/>
        </w:rPr>
      </w:pPr>
    </w:p>
    <w:p w:rsidR="009F6E3E" w:rsidRPr="00D80990" w:rsidRDefault="009F6E3E">
      <w:pPr>
        <w:tabs>
          <w:tab w:val="left" w:pos="1275"/>
          <w:tab w:val="left" w:pos="1560"/>
          <w:tab w:val="left" w:leader="dot" w:pos="8789"/>
          <w:tab w:val="right" w:pos="9639"/>
        </w:tabs>
        <w:spacing w:line="360" w:lineRule="auto"/>
        <w:rPr>
          <w:rFonts w:ascii="Arial" w:hAnsi="Arial" w:cs="Arial"/>
        </w:rPr>
      </w:pPr>
    </w:p>
    <w:p w:rsidR="009F6E3E" w:rsidRPr="00D80990" w:rsidRDefault="009F6E3E">
      <w:pPr>
        <w:tabs>
          <w:tab w:val="left" w:pos="1275"/>
          <w:tab w:val="left" w:pos="1560"/>
          <w:tab w:val="left" w:leader="dot" w:pos="8789"/>
          <w:tab w:val="right" w:pos="9639"/>
        </w:tabs>
        <w:spacing w:line="360" w:lineRule="auto"/>
        <w:rPr>
          <w:rFonts w:ascii="Arial" w:hAnsi="Arial" w:cs="Arial"/>
        </w:rPr>
      </w:pPr>
    </w:p>
    <w:p w:rsidR="009F6E3E" w:rsidRPr="00D80990" w:rsidRDefault="009F6E3E">
      <w:pPr>
        <w:tabs>
          <w:tab w:val="left" w:pos="1275"/>
          <w:tab w:val="left" w:pos="1560"/>
          <w:tab w:val="left" w:leader="dot" w:pos="8789"/>
          <w:tab w:val="right" w:pos="9639"/>
        </w:tabs>
        <w:spacing w:line="360" w:lineRule="auto"/>
        <w:rPr>
          <w:rFonts w:ascii="Arial" w:hAnsi="Arial" w:cs="Arial"/>
        </w:rPr>
      </w:pPr>
    </w:p>
    <w:p w:rsidR="009F6E3E" w:rsidRPr="00D80990" w:rsidRDefault="009F6E3E">
      <w:pPr>
        <w:tabs>
          <w:tab w:val="left" w:pos="1275"/>
          <w:tab w:val="left" w:pos="1560"/>
          <w:tab w:val="left" w:leader="dot" w:pos="8789"/>
          <w:tab w:val="right" w:pos="9639"/>
        </w:tabs>
        <w:spacing w:line="360" w:lineRule="auto"/>
        <w:rPr>
          <w:rFonts w:ascii="Arial" w:hAnsi="Arial" w:cs="Arial"/>
        </w:rPr>
      </w:pPr>
    </w:p>
    <w:p w:rsidR="009F6E3E" w:rsidRPr="00D80990" w:rsidRDefault="009F6E3E">
      <w:pPr>
        <w:tabs>
          <w:tab w:val="left" w:pos="1275"/>
          <w:tab w:val="left" w:pos="1560"/>
          <w:tab w:val="left" w:leader="dot" w:pos="8789"/>
          <w:tab w:val="right" w:pos="9639"/>
        </w:tabs>
        <w:spacing w:line="360" w:lineRule="auto"/>
        <w:rPr>
          <w:rFonts w:ascii="Arial" w:hAnsi="Arial" w:cs="Arial"/>
        </w:rPr>
      </w:pPr>
    </w:p>
    <w:sdt>
      <w:sdtPr>
        <w:rPr>
          <w:rFonts w:ascii="Arial" w:eastAsia="Times New Roman" w:hAnsi="Arial" w:cs="Arial"/>
          <w:b w:val="0"/>
          <w:bCs w:val="0"/>
          <w:color w:val="auto"/>
          <w:sz w:val="24"/>
          <w:szCs w:val="24"/>
        </w:rPr>
        <w:id w:val="-1319411049"/>
        <w:docPartObj>
          <w:docPartGallery w:val="Table of Contents"/>
          <w:docPartUnique/>
        </w:docPartObj>
      </w:sdtPr>
      <w:sdtContent>
        <w:p w:rsidR="009F6E3E" w:rsidRPr="00D80990" w:rsidRDefault="007F766F">
          <w:pPr>
            <w:pStyle w:val="Titolosommario"/>
            <w:rPr>
              <w:rFonts w:ascii="Arial" w:hAnsi="Arial" w:cs="Arial"/>
            </w:rPr>
          </w:pPr>
          <w:r w:rsidRPr="00D80990">
            <w:rPr>
              <w:rFonts w:ascii="Arial" w:hAnsi="Arial" w:cs="Arial"/>
            </w:rPr>
            <w:t>Sommario</w:t>
          </w:r>
        </w:p>
        <w:p w:rsidR="00310840" w:rsidRDefault="00213664">
          <w:pPr>
            <w:pStyle w:val="Sommario1"/>
            <w:tabs>
              <w:tab w:val="right" w:leader="dot" w:pos="9628"/>
            </w:tabs>
            <w:rPr>
              <w:rFonts w:asciiTheme="minorHAnsi" w:eastAsiaTheme="minorEastAsia" w:hAnsiTheme="minorHAnsi" w:cstheme="minorBidi"/>
              <w:noProof/>
              <w:sz w:val="22"/>
              <w:szCs w:val="22"/>
            </w:rPr>
          </w:pPr>
          <w:r w:rsidRPr="00213664">
            <w:rPr>
              <w:rFonts w:ascii="Arial" w:hAnsi="Arial" w:cs="Arial"/>
            </w:rPr>
            <w:fldChar w:fldCharType="begin"/>
          </w:r>
          <w:r w:rsidR="007F766F" w:rsidRPr="00D80990">
            <w:rPr>
              <w:rFonts w:ascii="Arial" w:hAnsi="Arial" w:cs="Arial"/>
            </w:rPr>
            <w:instrText xml:space="preserve"> TOC \o "1-3" \h \z \u </w:instrText>
          </w:r>
          <w:r w:rsidRPr="00213664">
            <w:rPr>
              <w:rFonts w:ascii="Arial" w:hAnsi="Arial" w:cs="Arial"/>
            </w:rPr>
            <w:fldChar w:fldCharType="separate"/>
          </w:r>
          <w:hyperlink w:anchor="_Toc535487596" w:history="1">
            <w:r w:rsidR="00310840" w:rsidRPr="00F54D37">
              <w:rPr>
                <w:rStyle w:val="Collegamentoipertestuale"/>
                <w:bCs/>
                <w:smallCaps/>
                <w:noProof/>
                <w:spacing w:val="5"/>
              </w:rPr>
              <w:t>PREMESSA E VERIFICHE PRELIMINARI</w:t>
            </w:r>
            <w:r w:rsidR="00310840">
              <w:rPr>
                <w:noProof/>
                <w:webHidden/>
              </w:rPr>
              <w:tab/>
            </w:r>
            <w:r>
              <w:rPr>
                <w:noProof/>
                <w:webHidden/>
              </w:rPr>
              <w:fldChar w:fldCharType="begin"/>
            </w:r>
            <w:r w:rsidR="00310840">
              <w:rPr>
                <w:noProof/>
                <w:webHidden/>
              </w:rPr>
              <w:instrText xml:space="preserve"> PAGEREF _Toc535487596 \h </w:instrText>
            </w:r>
            <w:r>
              <w:rPr>
                <w:noProof/>
                <w:webHidden/>
              </w:rPr>
            </w:r>
            <w:r>
              <w:rPr>
                <w:noProof/>
                <w:webHidden/>
              </w:rPr>
              <w:fldChar w:fldCharType="separate"/>
            </w:r>
            <w:r w:rsidR="00253ADC">
              <w:rPr>
                <w:noProof/>
                <w:webHidden/>
              </w:rPr>
              <w:t>6</w:t>
            </w:r>
            <w:r>
              <w:rPr>
                <w:noProof/>
                <w:webHidden/>
              </w:rPr>
              <w:fldChar w:fldCharType="end"/>
            </w:r>
          </w:hyperlink>
        </w:p>
        <w:p w:rsidR="00310840" w:rsidRDefault="00213664">
          <w:pPr>
            <w:pStyle w:val="Sommario1"/>
            <w:tabs>
              <w:tab w:val="right" w:leader="dot" w:pos="9628"/>
            </w:tabs>
            <w:rPr>
              <w:rFonts w:asciiTheme="minorHAnsi" w:eastAsiaTheme="minorEastAsia" w:hAnsiTheme="minorHAnsi" w:cstheme="minorBidi"/>
              <w:noProof/>
              <w:sz w:val="22"/>
              <w:szCs w:val="22"/>
            </w:rPr>
          </w:pPr>
          <w:hyperlink w:anchor="_Toc535487597" w:history="1">
            <w:r w:rsidR="00310840" w:rsidRPr="00F54D37">
              <w:rPr>
                <w:rStyle w:val="Collegamentoipertestuale"/>
                <w:noProof/>
              </w:rPr>
              <w:t>ACCERTAMENTI PRELIMINARI</w:t>
            </w:r>
            <w:r w:rsidR="00310840">
              <w:rPr>
                <w:noProof/>
                <w:webHidden/>
              </w:rPr>
              <w:tab/>
            </w:r>
            <w:r>
              <w:rPr>
                <w:noProof/>
                <w:webHidden/>
              </w:rPr>
              <w:fldChar w:fldCharType="begin"/>
            </w:r>
            <w:r w:rsidR="00310840">
              <w:rPr>
                <w:noProof/>
                <w:webHidden/>
              </w:rPr>
              <w:instrText xml:space="preserve"> PAGEREF _Toc535487597 \h </w:instrText>
            </w:r>
            <w:r>
              <w:rPr>
                <w:noProof/>
                <w:webHidden/>
              </w:rPr>
            </w:r>
            <w:r>
              <w:rPr>
                <w:noProof/>
                <w:webHidden/>
              </w:rPr>
              <w:fldChar w:fldCharType="separate"/>
            </w:r>
            <w:r w:rsidR="00253ADC">
              <w:rPr>
                <w:noProof/>
                <w:webHidden/>
              </w:rPr>
              <w:t>8</w:t>
            </w:r>
            <w:r>
              <w:rPr>
                <w:noProof/>
                <w:webHidden/>
              </w:rPr>
              <w:fldChar w:fldCharType="end"/>
            </w:r>
          </w:hyperlink>
        </w:p>
        <w:p w:rsidR="00310840" w:rsidRDefault="00213664">
          <w:pPr>
            <w:pStyle w:val="Sommario1"/>
            <w:tabs>
              <w:tab w:val="right" w:leader="dot" w:pos="9628"/>
            </w:tabs>
            <w:rPr>
              <w:rFonts w:asciiTheme="minorHAnsi" w:eastAsiaTheme="minorEastAsia" w:hAnsiTheme="minorHAnsi" w:cstheme="minorBidi"/>
              <w:noProof/>
              <w:sz w:val="22"/>
              <w:szCs w:val="22"/>
            </w:rPr>
          </w:pPr>
          <w:hyperlink w:anchor="_Toc535487598" w:history="1">
            <w:r w:rsidR="00310840" w:rsidRPr="00F54D37">
              <w:rPr>
                <w:rStyle w:val="Collegamentoipertestuale"/>
                <w:noProof/>
              </w:rPr>
              <w:t>VERIFICHE DEGLI EQUILIBRI</w:t>
            </w:r>
            <w:r w:rsidR="00310840">
              <w:rPr>
                <w:noProof/>
                <w:webHidden/>
              </w:rPr>
              <w:tab/>
            </w:r>
            <w:r>
              <w:rPr>
                <w:noProof/>
                <w:webHidden/>
              </w:rPr>
              <w:fldChar w:fldCharType="begin"/>
            </w:r>
            <w:r w:rsidR="00310840">
              <w:rPr>
                <w:noProof/>
                <w:webHidden/>
              </w:rPr>
              <w:instrText xml:space="preserve"> PAGEREF _Toc535487598 \h </w:instrText>
            </w:r>
            <w:r>
              <w:rPr>
                <w:noProof/>
                <w:webHidden/>
              </w:rPr>
            </w:r>
            <w:r>
              <w:rPr>
                <w:noProof/>
                <w:webHidden/>
              </w:rPr>
              <w:fldChar w:fldCharType="separate"/>
            </w:r>
            <w:r w:rsidR="00253ADC">
              <w:rPr>
                <w:noProof/>
                <w:webHidden/>
              </w:rPr>
              <w:t>8</w:t>
            </w:r>
            <w:r>
              <w:rPr>
                <w:noProof/>
                <w:webHidden/>
              </w:rPr>
              <w:fldChar w:fldCharType="end"/>
            </w:r>
          </w:hyperlink>
        </w:p>
        <w:p w:rsidR="00310840" w:rsidRDefault="00213664">
          <w:pPr>
            <w:pStyle w:val="Sommario2"/>
            <w:tabs>
              <w:tab w:val="right" w:leader="dot" w:pos="9628"/>
            </w:tabs>
            <w:rPr>
              <w:rFonts w:asciiTheme="minorHAnsi" w:eastAsiaTheme="minorEastAsia" w:hAnsiTheme="minorHAnsi" w:cstheme="minorBidi"/>
              <w:noProof/>
              <w:sz w:val="22"/>
              <w:szCs w:val="22"/>
            </w:rPr>
          </w:pPr>
          <w:hyperlink w:anchor="_Toc535487599" w:history="1">
            <w:r w:rsidR="00310840" w:rsidRPr="00F54D37">
              <w:rPr>
                <w:rStyle w:val="Collegamentoipertestuale"/>
                <w:noProof/>
              </w:rPr>
              <w:t>GESTIONE DELL’ESERCIZIO 2018</w:t>
            </w:r>
            <w:r w:rsidR="00310840">
              <w:rPr>
                <w:noProof/>
                <w:webHidden/>
              </w:rPr>
              <w:tab/>
            </w:r>
            <w:r>
              <w:rPr>
                <w:noProof/>
                <w:webHidden/>
              </w:rPr>
              <w:fldChar w:fldCharType="begin"/>
            </w:r>
            <w:r w:rsidR="00310840">
              <w:rPr>
                <w:noProof/>
                <w:webHidden/>
              </w:rPr>
              <w:instrText xml:space="preserve"> PAGEREF _Toc535487599 \h </w:instrText>
            </w:r>
            <w:r>
              <w:rPr>
                <w:noProof/>
                <w:webHidden/>
              </w:rPr>
            </w:r>
            <w:r>
              <w:rPr>
                <w:noProof/>
                <w:webHidden/>
              </w:rPr>
              <w:fldChar w:fldCharType="separate"/>
            </w:r>
            <w:r w:rsidR="00253ADC">
              <w:rPr>
                <w:noProof/>
                <w:webHidden/>
              </w:rPr>
              <w:t>8</w:t>
            </w:r>
            <w:r>
              <w:rPr>
                <w:noProof/>
                <w:webHidden/>
              </w:rPr>
              <w:fldChar w:fldCharType="end"/>
            </w:r>
          </w:hyperlink>
        </w:p>
        <w:p w:rsidR="00310840" w:rsidRDefault="00213664">
          <w:pPr>
            <w:pStyle w:val="Sommario1"/>
            <w:tabs>
              <w:tab w:val="right" w:leader="dot" w:pos="9628"/>
            </w:tabs>
            <w:rPr>
              <w:rFonts w:asciiTheme="minorHAnsi" w:eastAsiaTheme="minorEastAsia" w:hAnsiTheme="minorHAnsi" w:cstheme="minorBidi"/>
              <w:noProof/>
              <w:sz w:val="22"/>
              <w:szCs w:val="22"/>
            </w:rPr>
          </w:pPr>
          <w:hyperlink w:anchor="_Toc535487600" w:history="1">
            <w:r w:rsidR="00310840" w:rsidRPr="00F54D37">
              <w:rPr>
                <w:rStyle w:val="Collegamentoipertestuale"/>
                <w:noProof/>
              </w:rPr>
              <w:t>BILANCIO DI PREVISIONE 2019-2021</w:t>
            </w:r>
            <w:r w:rsidR="00310840">
              <w:rPr>
                <w:noProof/>
                <w:webHidden/>
              </w:rPr>
              <w:tab/>
            </w:r>
            <w:r>
              <w:rPr>
                <w:noProof/>
                <w:webHidden/>
              </w:rPr>
              <w:fldChar w:fldCharType="begin"/>
            </w:r>
            <w:r w:rsidR="00310840">
              <w:rPr>
                <w:noProof/>
                <w:webHidden/>
              </w:rPr>
              <w:instrText xml:space="preserve"> PAGEREF _Toc535487600 \h </w:instrText>
            </w:r>
            <w:r>
              <w:rPr>
                <w:noProof/>
                <w:webHidden/>
              </w:rPr>
            </w:r>
            <w:r>
              <w:rPr>
                <w:noProof/>
                <w:webHidden/>
              </w:rPr>
              <w:fldChar w:fldCharType="separate"/>
            </w:r>
            <w:r w:rsidR="00253ADC">
              <w:rPr>
                <w:noProof/>
                <w:webHidden/>
              </w:rPr>
              <w:t>11</w:t>
            </w:r>
            <w:r>
              <w:rPr>
                <w:noProof/>
                <w:webHidden/>
              </w:rPr>
              <w:fldChar w:fldCharType="end"/>
            </w:r>
          </w:hyperlink>
        </w:p>
        <w:p w:rsidR="00310840" w:rsidRDefault="00213664">
          <w:pPr>
            <w:pStyle w:val="Sommario2"/>
            <w:tabs>
              <w:tab w:val="right" w:leader="dot" w:pos="9628"/>
            </w:tabs>
            <w:rPr>
              <w:rFonts w:asciiTheme="minorHAnsi" w:eastAsiaTheme="minorEastAsia" w:hAnsiTheme="minorHAnsi" w:cstheme="minorBidi"/>
              <w:noProof/>
              <w:sz w:val="22"/>
              <w:szCs w:val="22"/>
            </w:rPr>
          </w:pPr>
          <w:hyperlink w:anchor="_Toc535487601" w:history="1">
            <w:r w:rsidR="00310840" w:rsidRPr="00F54D37">
              <w:rPr>
                <w:rStyle w:val="Collegamentoipertestuale"/>
                <w:noProof/>
              </w:rPr>
              <w:t>Riepilogo generale entrate e spese per titoli</w:t>
            </w:r>
            <w:r w:rsidR="00310840">
              <w:rPr>
                <w:noProof/>
                <w:webHidden/>
              </w:rPr>
              <w:tab/>
            </w:r>
            <w:r>
              <w:rPr>
                <w:noProof/>
                <w:webHidden/>
              </w:rPr>
              <w:fldChar w:fldCharType="begin"/>
            </w:r>
            <w:r w:rsidR="00310840">
              <w:rPr>
                <w:noProof/>
                <w:webHidden/>
              </w:rPr>
              <w:instrText xml:space="preserve"> PAGEREF _Toc535487601 \h </w:instrText>
            </w:r>
            <w:r>
              <w:rPr>
                <w:noProof/>
                <w:webHidden/>
              </w:rPr>
            </w:r>
            <w:r>
              <w:rPr>
                <w:noProof/>
                <w:webHidden/>
              </w:rPr>
              <w:fldChar w:fldCharType="separate"/>
            </w:r>
            <w:r w:rsidR="00253ADC">
              <w:rPr>
                <w:noProof/>
                <w:webHidden/>
              </w:rPr>
              <w:t>11</w:t>
            </w:r>
            <w:r>
              <w:rPr>
                <w:noProof/>
                <w:webHidden/>
              </w:rPr>
              <w:fldChar w:fldCharType="end"/>
            </w:r>
          </w:hyperlink>
        </w:p>
        <w:p w:rsidR="00310840" w:rsidRDefault="00213664">
          <w:pPr>
            <w:pStyle w:val="Sommario2"/>
            <w:tabs>
              <w:tab w:val="right" w:leader="dot" w:pos="9628"/>
            </w:tabs>
            <w:rPr>
              <w:rFonts w:asciiTheme="minorHAnsi" w:eastAsiaTheme="minorEastAsia" w:hAnsiTheme="minorHAnsi" w:cstheme="minorBidi"/>
              <w:noProof/>
              <w:sz w:val="22"/>
              <w:szCs w:val="22"/>
            </w:rPr>
          </w:pPr>
          <w:hyperlink w:anchor="_Toc535487602" w:history="1">
            <w:r w:rsidR="00310840" w:rsidRPr="00F54D37">
              <w:rPr>
                <w:rStyle w:val="Collegamentoipertestuale"/>
                <w:noProof/>
              </w:rPr>
              <w:t>Fondo pluriennale vincolato (FPV)</w:t>
            </w:r>
            <w:r w:rsidR="00310840">
              <w:rPr>
                <w:noProof/>
                <w:webHidden/>
              </w:rPr>
              <w:tab/>
            </w:r>
            <w:r>
              <w:rPr>
                <w:noProof/>
                <w:webHidden/>
              </w:rPr>
              <w:fldChar w:fldCharType="begin"/>
            </w:r>
            <w:r w:rsidR="00310840">
              <w:rPr>
                <w:noProof/>
                <w:webHidden/>
              </w:rPr>
              <w:instrText xml:space="preserve"> PAGEREF _Toc535487602 \h </w:instrText>
            </w:r>
            <w:r>
              <w:rPr>
                <w:noProof/>
                <w:webHidden/>
              </w:rPr>
            </w:r>
            <w:r>
              <w:rPr>
                <w:noProof/>
                <w:webHidden/>
              </w:rPr>
              <w:fldChar w:fldCharType="separate"/>
            </w:r>
            <w:r w:rsidR="00253ADC">
              <w:rPr>
                <w:noProof/>
                <w:webHidden/>
              </w:rPr>
              <w:t>15</w:t>
            </w:r>
            <w:r>
              <w:rPr>
                <w:noProof/>
                <w:webHidden/>
              </w:rPr>
              <w:fldChar w:fldCharType="end"/>
            </w:r>
          </w:hyperlink>
        </w:p>
        <w:p w:rsidR="00310840" w:rsidRDefault="00213664">
          <w:pPr>
            <w:pStyle w:val="Sommario2"/>
            <w:tabs>
              <w:tab w:val="right" w:leader="dot" w:pos="9628"/>
            </w:tabs>
            <w:rPr>
              <w:rFonts w:asciiTheme="minorHAnsi" w:eastAsiaTheme="minorEastAsia" w:hAnsiTheme="minorHAnsi" w:cstheme="minorBidi"/>
              <w:noProof/>
              <w:sz w:val="22"/>
              <w:szCs w:val="22"/>
            </w:rPr>
          </w:pPr>
          <w:hyperlink w:anchor="_Toc535487603" w:history="1">
            <w:r w:rsidR="00310840" w:rsidRPr="00F54D37">
              <w:rPr>
                <w:rStyle w:val="Collegamentoipertestuale"/>
                <w:noProof/>
              </w:rPr>
              <w:t>Previsioni di cassa</w:t>
            </w:r>
            <w:r w:rsidR="00310840">
              <w:rPr>
                <w:noProof/>
                <w:webHidden/>
              </w:rPr>
              <w:tab/>
            </w:r>
            <w:r>
              <w:rPr>
                <w:noProof/>
                <w:webHidden/>
              </w:rPr>
              <w:fldChar w:fldCharType="begin"/>
            </w:r>
            <w:r w:rsidR="00310840">
              <w:rPr>
                <w:noProof/>
                <w:webHidden/>
              </w:rPr>
              <w:instrText xml:space="preserve"> PAGEREF _Toc535487603 \h </w:instrText>
            </w:r>
            <w:r>
              <w:rPr>
                <w:noProof/>
                <w:webHidden/>
              </w:rPr>
            </w:r>
            <w:r>
              <w:rPr>
                <w:noProof/>
                <w:webHidden/>
              </w:rPr>
              <w:fldChar w:fldCharType="separate"/>
            </w:r>
            <w:r w:rsidR="00253ADC">
              <w:rPr>
                <w:noProof/>
                <w:webHidden/>
              </w:rPr>
              <w:t>16</w:t>
            </w:r>
            <w:r>
              <w:rPr>
                <w:noProof/>
                <w:webHidden/>
              </w:rPr>
              <w:fldChar w:fldCharType="end"/>
            </w:r>
          </w:hyperlink>
        </w:p>
        <w:p w:rsidR="00310840" w:rsidRDefault="00213664">
          <w:pPr>
            <w:pStyle w:val="Sommario2"/>
            <w:tabs>
              <w:tab w:val="right" w:leader="dot" w:pos="9628"/>
            </w:tabs>
            <w:rPr>
              <w:rFonts w:asciiTheme="minorHAnsi" w:eastAsiaTheme="minorEastAsia" w:hAnsiTheme="minorHAnsi" w:cstheme="minorBidi"/>
              <w:noProof/>
              <w:sz w:val="22"/>
              <w:szCs w:val="22"/>
            </w:rPr>
          </w:pPr>
          <w:hyperlink w:anchor="_Toc535487604" w:history="1">
            <w:r w:rsidR="00310840" w:rsidRPr="00F54D37">
              <w:rPr>
                <w:rStyle w:val="Collegamentoipertestuale"/>
                <w:noProof/>
              </w:rPr>
              <w:t>Verifica equilibrio corrente anni 2019-2021</w:t>
            </w:r>
            <w:r w:rsidR="00310840">
              <w:rPr>
                <w:noProof/>
                <w:webHidden/>
              </w:rPr>
              <w:tab/>
            </w:r>
            <w:r>
              <w:rPr>
                <w:noProof/>
                <w:webHidden/>
              </w:rPr>
              <w:fldChar w:fldCharType="begin"/>
            </w:r>
            <w:r w:rsidR="00310840">
              <w:rPr>
                <w:noProof/>
                <w:webHidden/>
              </w:rPr>
              <w:instrText xml:space="preserve"> PAGEREF _Toc535487604 \h </w:instrText>
            </w:r>
            <w:r>
              <w:rPr>
                <w:noProof/>
                <w:webHidden/>
              </w:rPr>
            </w:r>
            <w:r>
              <w:rPr>
                <w:noProof/>
                <w:webHidden/>
              </w:rPr>
              <w:fldChar w:fldCharType="separate"/>
            </w:r>
            <w:r w:rsidR="00253ADC">
              <w:rPr>
                <w:noProof/>
                <w:webHidden/>
              </w:rPr>
              <w:t>18</w:t>
            </w:r>
            <w:r>
              <w:rPr>
                <w:noProof/>
                <w:webHidden/>
              </w:rPr>
              <w:fldChar w:fldCharType="end"/>
            </w:r>
          </w:hyperlink>
        </w:p>
        <w:p w:rsidR="00310840" w:rsidRDefault="00213664">
          <w:pPr>
            <w:pStyle w:val="Sommario2"/>
            <w:tabs>
              <w:tab w:val="right" w:leader="dot" w:pos="9628"/>
            </w:tabs>
            <w:rPr>
              <w:rFonts w:asciiTheme="minorHAnsi" w:eastAsiaTheme="minorEastAsia" w:hAnsiTheme="minorHAnsi" w:cstheme="minorBidi"/>
              <w:noProof/>
              <w:sz w:val="22"/>
              <w:szCs w:val="22"/>
            </w:rPr>
          </w:pPr>
          <w:hyperlink w:anchor="_Toc535487605" w:history="1">
            <w:r w:rsidR="00310840" w:rsidRPr="00F54D37">
              <w:rPr>
                <w:rStyle w:val="Collegamentoipertestuale"/>
                <w:noProof/>
              </w:rPr>
              <w:t>Entrate e spese di carattere non ripetitivo</w:t>
            </w:r>
            <w:r w:rsidR="00310840">
              <w:rPr>
                <w:noProof/>
                <w:webHidden/>
              </w:rPr>
              <w:tab/>
            </w:r>
            <w:r>
              <w:rPr>
                <w:noProof/>
                <w:webHidden/>
              </w:rPr>
              <w:fldChar w:fldCharType="begin"/>
            </w:r>
            <w:r w:rsidR="00310840">
              <w:rPr>
                <w:noProof/>
                <w:webHidden/>
              </w:rPr>
              <w:instrText xml:space="preserve"> PAGEREF _Toc535487605 \h </w:instrText>
            </w:r>
            <w:r>
              <w:rPr>
                <w:noProof/>
                <w:webHidden/>
              </w:rPr>
            </w:r>
            <w:r>
              <w:rPr>
                <w:noProof/>
                <w:webHidden/>
              </w:rPr>
              <w:fldChar w:fldCharType="separate"/>
            </w:r>
            <w:r w:rsidR="00253ADC">
              <w:rPr>
                <w:noProof/>
                <w:webHidden/>
              </w:rPr>
              <w:t>19</w:t>
            </w:r>
            <w:r>
              <w:rPr>
                <w:noProof/>
                <w:webHidden/>
              </w:rPr>
              <w:fldChar w:fldCharType="end"/>
            </w:r>
          </w:hyperlink>
        </w:p>
        <w:p w:rsidR="00310840" w:rsidRDefault="00213664">
          <w:pPr>
            <w:pStyle w:val="Sommario2"/>
            <w:tabs>
              <w:tab w:val="right" w:leader="dot" w:pos="9628"/>
            </w:tabs>
            <w:rPr>
              <w:rFonts w:asciiTheme="minorHAnsi" w:eastAsiaTheme="minorEastAsia" w:hAnsiTheme="minorHAnsi" w:cstheme="minorBidi"/>
              <w:noProof/>
              <w:sz w:val="22"/>
              <w:szCs w:val="22"/>
            </w:rPr>
          </w:pPr>
          <w:hyperlink w:anchor="_Toc535487606" w:history="1">
            <w:r w:rsidR="00310840" w:rsidRPr="00F54D37">
              <w:rPr>
                <w:rStyle w:val="Collegamentoipertestuale"/>
                <w:noProof/>
              </w:rPr>
              <w:t>La nota integrativa</w:t>
            </w:r>
            <w:r w:rsidR="00310840">
              <w:rPr>
                <w:noProof/>
                <w:webHidden/>
              </w:rPr>
              <w:tab/>
            </w:r>
            <w:r>
              <w:rPr>
                <w:noProof/>
                <w:webHidden/>
              </w:rPr>
              <w:fldChar w:fldCharType="begin"/>
            </w:r>
            <w:r w:rsidR="00310840">
              <w:rPr>
                <w:noProof/>
                <w:webHidden/>
              </w:rPr>
              <w:instrText xml:space="preserve"> PAGEREF _Toc535487606 \h </w:instrText>
            </w:r>
            <w:r>
              <w:rPr>
                <w:noProof/>
                <w:webHidden/>
              </w:rPr>
            </w:r>
            <w:r>
              <w:rPr>
                <w:noProof/>
                <w:webHidden/>
              </w:rPr>
              <w:fldChar w:fldCharType="separate"/>
            </w:r>
            <w:r w:rsidR="00253ADC">
              <w:rPr>
                <w:noProof/>
                <w:webHidden/>
              </w:rPr>
              <w:t>21</w:t>
            </w:r>
            <w:r>
              <w:rPr>
                <w:noProof/>
                <w:webHidden/>
              </w:rPr>
              <w:fldChar w:fldCharType="end"/>
            </w:r>
          </w:hyperlink>
        </w:p>
        <w:p w:rsidR="00310840" w:rsidRDefault="00213664">
          <w:pPr>
            <w:pStyle w:val="Sommario1"/>
            <w:tabs>
              <w:tab w:val="right" w:leader="dot" w:pos="9628"/>
            </w:tabs>
            <w:rPr>
              <w:rFonts w:asciiTheme="minorHAnsi" w:eastAsiaTheme="minorEastAsia" w:hAnsiTheme="minorHAnsi" w:cstheme="minorBidi"/>
              <w:noProof/>
              <w:sz w:val="22"/>
              <w:szCs w:val="22"/>
            </w:rPr>
          </w:pPr>
          <w:hyperlink w:anchor="_Toc535487607" w:history="1">
            <w:r w:rsidR="00310840" w:rsidRPr="00F54D37">
              <w:rPr>
                <w:rStyle w:val="Collegamentoipertestuale"/>
                <w:noProof/>
              </w:rPr>
              <w:t>VERIFICA COERENZA DELLE PREVISIONI</w:t>
            </w:r>
            <w:r w:rsidR="00310840">
              <w:rPr>
                <w:noProof/>
                <w:webHidden/>
              </w:rPr>
              <w:tab/>
            </w:r>
            <w:r>
              <w:rPr>
                <w:noProof/>
                <w:webHidden/>
              </w:rPr>
              <w:fldChar w:fldCharType="begin"/>
            </w:r>
            <w:r w:rsidR="00310840">
              <w:rPr>
                <w:noProof/>
                <w:webHidden/>
              </w:rPr>
              <w:instrText xml:space="preserve"> PAGEREF _Toc535487607 \h </w:instrText>
            </w:r>
            <w:r>
              <w:rPr>
                <w:noProof/>
                <w:webHidden/>
              </w:rPr>
            </w:r>
            <w:r>
              <w:rPr>
                <w:noProof/>
                <w:webHidden/>
              </w:rPr>
              <w:fldChar w:fldCharType="separate"/>
            </w:r>
            <w:r w:rsidR="00253ADC">
              <w:rPr>
                <w:noProof/>
                <w:webHidden/>
              </w:rPr>
              <w:t>22</w:t>
            </w:r>
            <w:r>
              <w:rPr>
                <w:noProof/>
                <w:webHidden/>
              </w:rPr>
              <w:fldChar w:fldCharType="end"/>
            </w:r>
          </w:hyperlink>
        </w:p>
        <w:p w:rsidR="00310840" w:rsidRDefault="00213664">
          <w:pPr>
            <w:pStyle w:val="Sommario2"/>
            <w:tabs>
              <w:tab w:val="right" w:leader="dot" w:pos="9628"/>
            </w:tabs>
            <w:rPr>
              <w:rFonts w:asciiTheme="minorHAnsi" w:eastAsiaTheme="minorEastAsia" w:hAnsiTheme="minorHAnsi" w:cstheme="minorBidi"/>
              <w:noProof/>
              <w:sz w:val="22"/>
              <w:szCs w:val="22"/>
            </w:rPr>
          </w:pPr>
          <w:hyperlink w:anchor="_Toc535487608" w:history="1">
            <w:r w:rsidR="00310840" w:rsidRPr="00F54D37">
              <w:rPr>
                <w:rStyle w:val="Collegamentoipertestuale"/>
                <w:noProof/>
              </w:rPr>
              <w:t>Verifica della coerenza interna</w:t>
            </w:r>
            <w:r w:rsidR="00310840">
              <w:rPr>
                <w:noProof/>
                <w:webHidden/>
              </w:rPr>
              <w:tab/>
            </w:r>
            <w:r>
              <w:rPr>
                <w:noProof/>
                <w:webHidden/>
              </w:rPr>
              <w:fldChar w:fldCharType="begin"/>
            </w:r>
            <w:r w:rsidR="00310840">
              <w:rPr>
                <w:noProof/>
                <w:webHidden/>
              </w:rPr>
              <w:instrText xml:space="preserve"> PAGEREF _Toc535487608 \h </w:instrText>
            </w:r>
            <w:r>
              <w:rPr>
                <w:noProof/>
                <w:webHidden/>
              </w:rPr>
            </w:r>
            <w:r>
              <w:rPr>
                <w:noProof/>
                <w:webHidden/>
              </w:rPr>
              <w:fldChar w:fldCharType="separate"/>
            </w:r>
            <w:r w:rsidR="00253ADC">
              <w:rPr>
                <w:noProof/>
                <w:webHidden/>
              </w:rPr>
              <w:t>22</w:t>
            </w:r>
            <w:r>
              <w:rPr>
                <w:noProof/>
                <w:webHidden/>
              </w:rPr>
              <w:fldChar w:fldCharType="end"/>
            </w:r>
          </w:hyperlink>
        </w:p>
        <w:p w:rsidR="00310840" w:rsidRDefault="00213664">
          <w:pPr>
            <w:pStyle w:val="Sommario2"/>
            <w:tabs>
              <w:tab w:val="right" w:leader="dot" w:pos="9628"/>
            </w:tabs>
            <w:rPr>
              <w:rFonts w:asciiTheme="minorHAnsi" w:eastAsiaTheme="minorEastAsia" w:hAnsiTheme="minorHAnsi" w:cstheme="minorBidi"/>
              <w:noProof/>
              <w:sz w:val="22"/>
              <w:szCs w:val="22"/>
            </w:rPr>
          </w:pPr>
          <w:hyperlink w:anchor="_Toc535487609" w:history="1">
            <w:r w:rsidR="00310840" w:rsidRPr="00F54D37">
              <w:rPr>
                <w:rStyle w:val="Collegamentoipertestuale"/>
                <w:noProof/>
              </w:rPr>
              <w:t>Verifica della coerenza esterna</w:t>
            </w:r>
            <w:r w:rsidR="00310840">
              <w:rPr>
                <w:noProof/>
                <w:webHidden/>
              </w:rPr>
              <w:tab/>
            </w:r>
            <w:r>
              <w:rPr>
                <w:noProof/>
                <w:webHidden/>
              </w:rPr>
              <w:fldChar w:fldCharType="begin"/>
            </w:r>
            <w:r w:rsidR="00310840">
              <w:rPr>
                <w:noProof/>
                <w:webHidden/>
              </w:rPr>
              <w:instrText xml:space="preserve"> PAGEREF _Toc535487609 \h </w:instrText>
            </w:r>
            <w:r>
              <w:rPr>
                <w:noProof/>
                <w:webHidden/>
              </w:rPr>
            </w:r>
            <w:r>
              <w:rPr>
                <w:noProof/>
                <w:webHidden/>
              </w:rPr>
              <w:fldChar w:fldCharType="separate"/>
            </w:r>
            <w:r w:rsidR="00253ADC">
              <w:rPr>
                <w:noProof/>
                <w:webHidden/>
              </w:rPr>
              <w:t>24</w:t>
            </w:r>
            <w:r>
              <w:rPr>
                <w:noProof/>
                <w:webHidden/>
              </w:rPr>
              <w:fldChar w:fldCharType="end"/>
            </w:r>
          </w:hyperlink>
        </w:p>
        <w:p w:rsidR="00310840" w:rsidRDefault="00213664">
          <w:pPr>
            <w:pStyle w:val="Sommario1"/>
            <w:tabs>
              <w:tab w:val="right" w:leader="dot" w:pos="9628"/>
            </w:tabs>
            <w:rPr>
              <w:rFonts w:asciiTheme="minorHAnsi" w:eastAsiaTheme="minorEastAsia" w:hAnsiTheme="minorHAnsi" w:cstheme="minorBidi"/>
              <w:noProof/>
              <w:sz w:val="22"/>
              <w:szCs w:val="22"/>
            </w:rPr>
          </w:pPr>
          <w:hyperlink w:anchor="_Toc535487610" w:history="1">
            <w:r w:rsidR="00310840" w:rsidRPr="00F54D37">
              <w:rPr>
                <w:rStyle w:val="Collegamentoipertestuale"/>
                <w:noProof/>
              </w:rPr>
              <w:t>VERIFICA ATTENDIBILITA’ E CONGRUITA’ DELLE PREVISIONI ANNO 2019-2021</w:t>
            </w:r>
            <w:r w:rsidR="00310840">
              <w:rPr>
                <w:noProof/>
                <w:webHidden/>
              </w:rPr>
              <w:tab/>
            </w:r>
            <w:r>
              <w:rPr>
                <w:noProof/>
                <w:webHidden/>
              </w:rPr>
              <w:fldChar w:fldCharType="begin"/>
            </w:r>
            <w:r w:rsidR="00310840">
              <w:rPr>
                <w:noProof/>
                <w:webHidden/>
              </w:rPr>
              <w:instrText xml:space="preserve"> PAGEREF _Toc535487610 \h </w:instrText>
            </w:r>
            <w:r>
              <w:rPr>
                <w:noProof/>
                <w:webHidden/>
              </w:rPr>
            </w:r>
            <w:r>
              <w:rPr>
                <w:noProof/>
                <w:webHidden/>
              </w:rPr>
              <w:fldChar w:fldCharType="separate"/>
            </w:r>
            <w:r w:rsidR="00253ADC">
              <w:rPr>
                <w:noProof/>
                <w:webHidden/>
              </w:rPr>
              <w:t>25</w:t>
            </w:r>
            <w:r>
              <w:rPr>
                <w:noProof/>
                <w:webHidden/>
              </w:rPr>
              <w:fldChar w:fldCharType="end"/>
            </w:r>
          </w:hyperlink>
        </w:p>
        <w:p w:rsidR="00310840" w:rsidRDefault="00213664">
          <w:pPr>
            <w:pStyle w:val="Sommario2"/>
            <w:tabs>
              <w:tab w:val="right" w:leader="dot" w:pos="9628"/>
            </w:tabs>
            <w:rPr>
              <w:rFonts w:asciiTheme="minorHAnsi" w:eastAsiaTheme="minorEastAsia" w:hAnsiTheme="minorHAnsi" w:cstheme="minorBidi"/>
              <w:noProof/>
              <w:sz w:val="22"/>
              <w:szCs w:val="22"/>
            </w:rPr>
          </w:pPr>
          <w:hyperlink w:anchor="_Toc535487611" w:history="1">
            <w:r w:rsidR="00310840" w:rsidRPr="00F54D37">
              <w:rPr>
                <w:rStyle w:val="Collegamentoipertestuale"/>
                <w:noProof/>
              </w:rPr>
              <w:t>A) ENTRATE</w:t>
            </w:r>
            <w:r w:rsidR="00310840">
              <w:rPr>
                <w:noProof/>
                <w:webHidden/>
              </w:rPr>
              <w:tab/>
            </w:r>
            <w:r>
              <w:rPr>
                <w:noProof/>
                <w:webHidden/>
              </w:rPr>
              <w:fldChar w:fldCharType="begin"/>
            </w:r>
            <w:r w:rsidR="00310840">
              <w:rPr>
                <w:noProof/>
                <w:webHidden/>
              </w:rPr>
              <w:instrText xml:space="preserve"> PAGEREF _Toc535487611 \h </w:instrText>
            </w:r>
            <w:r>
              <w:rPr>
                <w:noProof/>
                <w:webHidden/>
              </w:rPr>
            </w:r>
            <w:r>
              <w:rPr>
                <w:noProof/>
                <w:webHidden/>
              </w:rPr>
              <w:fldChar w:fldCharType="separate"/>
            </w:r>
            <w:r w:rsidR="00253ADC">
              <w:rPr>
                <w:noProof/>
                <w:webHidden/>
              </w:rPr>
              <w:t>25</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12" w:history="1">
            <w:r w:rsidR="00310840" w:rsidRPr="00F54D37">
              <w:rPr>
                <w:rStyle w:val="Collegamentoipertestuale"/>
                <w:noProof/>
              </w:rPr>
              <w:t>Entrate da fiscalità locale</w:t>
            </w:r>
            <w:r w:rsidR="00310840">
              <w:rPr>
                <w:noProof/>
                <w:webHidden/>
              </w:rPr>
              <w:tab/>
            </w:r>
            <w:r>
              <w:rPr>
                <w:noProof/>
                <w:webHidden/>
              </w:rPr>
              <w:fldChar w:fldCharType="begin"/>
            </w:r>
            <w:r w:rsidR="00310840">
              <w:rPr>
                <w:noProof/>
                <w:webHidden/>
              </w:rPr>
              <w:instrText xml:space="preserve"> PAGEREF _Toc535487612 \h </w:instrText>
            </w:r>
            <w:r>
              <w:rPr>
                <w:noProof/>
                <w:webHidden/>
              </w:rPr>
            </w:r>
            <w:r>
              <w:rPr>
                <w:noProof/>
                <w:webHidden/>
              </w:rPr>
              <w:fldChar w:fldCharType="separate"/>
            </w:r>
            <w:r w:rsidR="00253ADC">
              <w:rPr>
                <w:noProof/>
                <w:webHidden/>
              </w:rPr>
              <w:t>25</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13" w:history="1">
            <w:r w:rsidR="00310840" w:rsidRPr="00F54D37">
              <w:rPr>
                <w:rStyle w:val="Collegamentoipertestuale"/>
                <w:noProof/>
              </w:rPr>
              <w:t>Risorse relative al recupero dell’evasione tributaria</w:t>
            </w:r>
            <w:r w:rsidR="00310840">
              <w:rPr>
                <w:noProof/>
                <w:webHidden/>
              </w:rPr>
              <w:tab/>
            </w:r>
            <w:r>
              <w:rPr>
                <w:noProof/>
                <w:webHidden/>
              </w:rPr>
              <w:fldChar w:fldCharType="begin"/>
            </w:r>
            <w:r w:rsidR="00310840">
              <w:rPr>
                <w:noProof/>
                <w:webHidden/>
              </w:rPr>
              <w:instrText xml:space="preserve"> PAGEREF _Toc535487613 \h </w:instrText>
            </w:r>
            <w:r>
              <w:rPr>
                <w:noProof/>
                <w:webHidden/>
              </w:rPr>
            </w:r>
            <w:r>
              <w:rPr>
                <w:noProof/>
                <w:webHidden/>
              </w:rPr>
              <w:fldChar w:fldCharType="separate"/>
            </w:r>
            <w:r w:rsidR="00253ADC">
              <w:rPr>
                <w:noProof/>
                <w:webHidden/>
              </w:rPr>
              <w:t>27</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14" w:history="1">
            <w:r w:rsidR="00310840" w:rsidRPr="00F54D37">
              <w:rPr>
                <w:rStyle w:val="Collegamentoipertestuale"/>
                <w:noProof/>
              </w:rPr>
              <w:t>Entrate da titoli abitativi (proventi da permessi da costruire) e relative sanzioni</w:t>
            </w:r>
            <w:r w:rsidR="00310840">
              <w:rPr>
                <w:noProof/>
                <w:webHidden/>
              </w:rPr>
              <w:tab/>
            </w:r>
            <w:r>
              <w:rPr>
                <w:noProof/>
                <w:webHidden/>
              </w:rPr>
              <w:fldChar w:fldCharType="begin"/>
            </w:r>
            <w:r w:rsidR="00310840">
              <w:rPr>
                <w:noProof/>
                <w:webHidden/>
              </w:rPr>
              <w:instrText xml:space="preserve"> PAGEREF _Toc535487614 \h </w:instrText>
            </w:r>
            <w:r>
              <w:rPr>
                <w:noProof/>
                <w:webHidden/>
              </w:rPr>
            </w:r>
            <w:r>
              <w:rPr>
                <w:noProof/>
                <w:webHidden/>
              </w:rPr>
              <w:fldChar w:fldCharType="separate"/>
            </w:r>
            <w:r w:rsidR="00253ADC">
              <w:rPr>
                <w:noProof/>
                <w:webHidden/>
              </w:rPr>
              <w:t>27</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15" w:history="1">
            <w:r w:rsidR="00310840" w:rsidRPr="00F54D37">
              <w:rPr>
                <w:rStyle w:val="Collegamentoipertestuale"/>
                <w:noProof/>
              </w:rPr>
              <w:t>Sanzioni amministrative da codice della strada</w:t>
            </w:r>
            <w:r w:rsidR="00310840">
              <w:rPr>
                <w:noProof/>
                <w:webHidden/>
              </w:rPr>
              <w:tab/>
            </w:r>
            <w:r>
              <w:rPr>
                <w:noProof/>
                <w:webHidden/>
              </w:rPr>
              <w:fldChar w:fldCharType="begin"/>
            </w:r>
            <w:r w:rsidR="00310840">
              <w:rPr>
                <w:noProof/>
                <w:webHidden/>
              </w:rPr>
              <w:instrText xml:space="preserve"> PAGEREF _Toc535487615 \h </w:instrText>
            </w:r>
            <w:r>
              <w:rPr>
                <w:noProof/>
                <w:webHidden/>
              </w:rPr>
            </w:r>
            <w:r>
              <w:rPr>
                <w:noProof/>
                <w:webHidden/>
              </w:rPr>
              <w:fldChar w:fldCharType="separate"/>
            </w:r>
            <w:r w:rsidR="00253ADC">
              <w:rPr>
                <w:noProof/>
                <w:webHidden/>
              </w:rPr>
              <w:t>28</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16" w:history="1">
            <w:r w:rsidR="00310840" w:rsidRPr="00F54D37">
              <w:rPr>
                <w:rStyle w:val="Collegamentoipertestuale"/>
                <w:noProof/>
              </w:rPr>
              <w:t>Proventi dei beni dell’ente</w:t>
            </w:r>
            <w:r w:rsidR="00310840">
              <w:rPr>
                <w:noProof/>
                <w:webHidden/>
              </w:rPr>
              <w:tab/>
            </w:r>
            <w:r>
              <w:rPr>
                <w:noProof/>
                <w:webHidden/>
              </w:rPr>
              <w:fldChar w:fldCharType="begin"/>
            </w:r>
            <w:r w:rsidR="00310840">
              <w:rPr>
                <w:noProof/>
                <w:webHidden/>
              </w:rPr>
              <w:instrText xml:space="preserve"> PAGEREF _Toc535487616 \h </w:instrText>
            </w:r>
            <w:r>
              <w:rPr>
                <w:noProof/>
                <w:webHidden/>
              </w:rPr>
            </w:r>
            <w:r>
              <w:rPr>
                <w:noProof/>
                <w:webHidden/>
              </w:rPr>
              <w:fldChar w:fldCharType="separate"/>
            </w:r>
            <w:r w:rsidR="00253ADC">
              <w:rPr>
                <w:noProof/>
                <w:webHidden/>
              </w:rPr>
              <w:t>29</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17" w:history="1">
            <w:r w:rsidR="00310840" w:rsidRPr="00F54D37">
              <w:rPr>
                <w:rStyle w:val="Collegamentoipertestuale"/>
                <w:noProof/>
              </w:rPr>
              <w:t>Proventi dei servizi pubblici</w:t>
            </w:r>
            <w:r w:rsidR="00310840">
              <w:rPr>
                <w:noProof/>
                <w:webHidden/>
              </w:rPr>
              <w:tab/>
            </w:r>
            <w:r>
              <w:rPr>
                <w:noProof/>
                <w:webHidden/>
              </w:rPr>
              <w:fldChar w:fldCharType="begin"/>
            </w:r>
            <w:r w:rsidR="00310840">
              <w:rPr>
                <w:noProof/>
                <w:webHidden/>
              </w:rPr>
              <w:instrText xml:space="preserve"> PAGEREF _Toc535487617 \h </w:instrText>
            </w:r>
            <w:r>
              <w:rPr>
                <w:noProof/>
                <w:webHidden/>
              </w:rPr>
            </w:r>
            <w:r>
              <w:rPr>
                <w:noProof/>
                <w:webHidden/>
              </w:rPr>
              <w:fldChar w:fldCharType="separate"/>
            </w:r>
            <w:r w:rsidR="00253ADC">
              <w:rPr>
                <w:noProof/>
                <w:webHidden/>
              </w:rPr>
              <w:t>29</w:t>
            </w:r>
            <w:r>
              <w:rPr>
                <w:noProof/>
                <w:webHidden/>
              </w:rPr>
              <w:fldChar w:fldCharType="end"/>
            </w:r>
          </w:hyperlink>
        </w:p>
        <w:p w:rsidR="00310840" w:rsidRDefault="00213664">
          <w:pPr>
            <w:pStyle w:val="Sommario2"/>
            <w:tabs>
              <w:tab w:val="right" w:leader="dot" w:pos="9628"/>
            </w:tabs>
            <w:rPr>
              <w:rFonts w:asciiTheme="minorHAnsi" w:eastAsiaTheme="minorEastAsia" w:hAnsiTheme="minorHAnsi" w:cstheme="minorBidi"/>
              <w:noProof/>
              <w:sz w:val="22"/>
              <w:szCs w:val="22"/>
            </w:rPr>
          </w:pPr>
          <w:hyperlink w:anchor="_Toc535487618" w:history="1">
            <w:r w:rsidR="00310840" w:rsidRPr="00F54D37">
              <w:rPr>
                <w:rStyle w:val="Collegamentoipertestuale"/>
                <w:noProof/>
              </w:rPr>
              <w:t>B) SPESE PER TITOLI E MACROAGGREGATI</w:t>
            </w:r>
            <w:r w:rsidR="00310840">
              <w:rPr>
                <w:noProof/>
                <w:webHidden/>
              </w:rPr>
              <w:tab/>
            </w:r>
            <w:r>
              <w:rPr>
                <w:noProof/>
                <w:webHidden/>
              </w:rPr>
              <w:fldChar w:fldCharType="begin"/>
            </w:r>
            <w:r w:rsidR="00310840">
              <w:rPr>
                <w:noProof/>
                <w:webHidden/>
              </w:rPr>
              <w:instrText xml:space="preserve"> PAGEREF _Toc535487618 \h </w:instrText>
            </w:r>
            <w:r>
              <w:rPr>
                <w:noProof/>
                <w:webHidden/>
              </w:rPr>
            </w:r>
            <w:r>
              <w:rPr>
                <w:noProof/>
                <w:webHidden/>
              </w:rPr>
              <w:fldChar w:fldCharType="separate"/>
            </w:r>
            <w:r w:rsidR="00253ADC">
              <w:rPr>
                <w:noProof/>
                <w:webHidden/>
              </w:rPr>
              <w:t>30</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19" w:history="1">
            <w:r w:rsidR="00310840" w:rsidRPr="00F54D37">
              <w:rPr>
                <w:rStyle w:val="Collegamentoipertestuale"/>
                <w:noProof/>
              </w:rPr>
              <w:t>Spese di personale</w:t>
            </w:r>
            <w:r w:rsidR="00310840">
              <w:rPr>
                <w:noProof/>
                <w:webHidden/>
              </w:rPr>
              <w:tab/>
            </w:r>
            <w:r>
              <w:rPr>
                <w:noProof/>
                <w:webHidden/>
              </w:rPr>
              <w:fldChar w:fldCharType="begin"/>
            </w:r>
            <w:r w:rsidR="00310840">
              <w:rPr>
                <w:noProof/>
                <w:webHidden/>
              </w:rPr>
              <w:instrText xml:space="preserve"> PAGEREF _Toc535487619 \h </w:instrText>
            </w:r>
            <w:r>
              <w:rPr>
                <w:noProof/>
                <w:webHidden/>
              </w:rPr>
            </w:r>
            <w:r>
              <w:rPr>
                <w:noProof/>
                <w:webHidden/>
              </w:rPr>
              <w:fldChar w:fldCharType="separate"/>
            </w:r>
            <w:r w:rsidR="00253ADC">
              <w:rPr>
                <w:noProof/>
                <w:webHidden/>
              </w:rPr>
              <w:t>31</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20" w:history="1">
            <w:r w:rsidR="00310840" w:rsidRPr="00F54D37">
              <w:rPr>
                <w:rStyle w:val="Collegamentoipertestuale"/>
                <w:noProof/>
              </w:rPr>
              <w:t>Spese per incarichi di collaborazione autonoma</w:t>
            </w:r>
            <w:r w:rsidR="00310840">
              <w:rPr>
                <w:noProof/>
                <w:webHidden/>
              </w:rPr>
              <w:tab/>
            </w:r>
            <w:r>
              <w:rPr>
                <w:noProof/>
                <w:webHidden/>
              </w:rPr>
              <w:fldChar w:fldCharType="begin"/>
            </w:r>
            <w:r w:rsidR="00310840">
              <w:rPr>
                <w:noProof/>
                <w:webHidden/>
              </w:rPr>
              <w:instrText xml:space="preserve"> PAGEREF _Toc535487620 \h </w:instrText>
            </w:r>
            <w:r>
              <w:rPr>
                <w:noProof/>
                <w:webHidden/>
              </w:rPr>
            </w:r>
            <w:r>
              <w:rPr>
                <w:noProof/>
                <w:webHidden/>
              </w:rPr>
              <w:fldChar w:fldCharType="separate"/>
            </w:r>
            <w:r w:rsidR="00253ADC">
              <w:rPr>
                <w:noProof/>
                <w:webHidden/>
              </w:rPr>
              <w:t>31</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21" w:history="1">
            <w:r w:rsidR="00310840" w:rsidRPr="00F54D37">
              <w:rPr>
                <w:rStyle w:val="Collegamentoipertestuale"/>
                <w:noProof/>
              </w:rPr>
              <w:t>Spese per acquisto beni e servizi</w:t>
            </w:r>
            <w:r w:rsidR="00310840">
              <w:rPr>
                <w:noProof/>
                <w:webHidden/>
              </w:rPr>
              <w:tab/>
            </w:r>
            <w:r>
              <w:rPr>
                <w:noProof/>
                <w:webHidden/>
              </w:rPr>
              <w:fldChar w:fldCharType="begin"/>
            </w:r>
            <w:r w:rsidR="00310840">
              <w:rPr>
                <w:noProof/>
                <w:webHidden/>
              </w:rPr>
              <w:instrText xml:space="preserve"> PAGEREF _Toc535487621 \h </w:instrText>
            </w:r>
            <w:r>
              <w:rPr>
                <w:noProof/>
                <w:webHidden/>
              </w:rPr>
            </w:r>
            <w:r>
              <w:rPr>
                <w:noProof/>
                <w:webHidden/>
              </w:rPr>
              <w:fldChar w:fldCharType="separate"/>
            </w:r>
            <w:r w:rsidR="00253ADC">
              <w:rPr>
                <w:noProof/>
                <w:webHidden/>
              </w:rPr>
              <w:t>31</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22" w:history="1">
            <w:r w:rsidR="00310840" w:rsidRPr="00F54D37">
              <w:rPr>
                <w:rStyle w:val="Collegamentoipertestuale"/>
                <w:noProof/>
              </w:rPr>
              <w:t>Fondo crediti di dubbia esigibilità (FCDE)</w:t>
            </w:r>
            <w:r w:rsidR="00310840">
              <w:rPr>
                <w:noProof/>
                <w:webHidden/>
              </w:rPr>
              <w:tab/>
            </w:r>
            <w:r>
              <w:rPr>
                <w:noProof/>
                <w:webHidden/>
              </w:rPr>
              <w:fldChar w:fldCharType="begin"/>
            </w:r>
            <w:r w:rsidR="00310840">
              <w:rPr>
                <w:noProof/>
                <w:webHidden/>
              </w:rPr>
              <w:instrText xml:space="preserve"> PAGEREF _Toc535487622 \h </w:instrText>
            </w:r>
            <w:r>
              <w:rPr>
                <w:noProof/>
                <w:webHidden/>
              </w:rPr>
            </w:r>
            <w:r>
              <w:rPr>
                <w:noProof/>
                <w:webHidden/>
              </w:rPr>
              <w:fldChar w:fldCharType="separate"/>
            </w:r>
            <w:r w:rsidR="00253ADC">
              <w:rPr>
                <w:noProof/>
                <w:webHidden/>
              </w:rPr>
              <w:t>33</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23" w:history="1">
            <w:r w:rsidR="00310840" w:rsidRPr="00F54D37">
              <w:rPr>
                <w:rStyle w:val="Collegamentoipertestuale"/>
                <w:noProof/>
              </w:rPr>
              <w:t>Fondo di riserva di competenza</w:t>
            </w:r>
            <w:r w:rsidR="00310840">
              <w:rPr>
                <w:noProof/>
                <w:webHidden/>
              </w:rPr>
              <w:tab/>
            </w:r>
            <w:r>
              <w:rPr>
                <w:noProof/>
                <w:webHidden/>
              </w:rPr>
              <w:fldChar w:fldCharType="begin"/>
            </w:r>
            <w:r w:rsidR="00310840">
              <w:rPr>
                <w:noProof/>
                <w:webHidden/>
              </w:rPr>
              <w:instrText xml:space="preserve"> PAGEREF _Toc535487623 \h </w:instrText>
            </w:r>
            <w:r>
              <w:rPr>
                <w:noProof/>
                <w:webHidden/>
              </w:rPr>
            </w:r>
            <w:r>
              <w:rPr>
                <w:noProof/>
                <w:webHidden/>
              </w:rPr>
              <w:fldChar w:fldCharType="separate"/>
            </w:r>
            <w:r w:rsidR="00253ADC">
              <w:rPr>
                <w:noProof/>
                <w:webHidden/>
              </w:rPr>
              <w:t>36</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24" w:history="1">
            <w:r w:rsidR="00310840" w:rsidRPr="00F54D37">
              <w:rPr>
                <w:rStyle w:val="Collegamentoipertestuale"/>
                <w:noProof/>
              </w:rPr>
              <w:t>Fondi per spese potenziali</w:t>
            </w:r>
            <w:r w:rsidR="00310840">
              <w:rPr>
                <w:noProof/>
                <w:webHidden/>
              </w:rPr>
              <w:tab/>
            </w:r>
            <w:r>
              <w:rPr>
                <w:noProof/>
                <w:webHidden/>
              </w:rPr>
              <w:fldChar w:fldCharType="begin"/>
            </w:r>
            <w:r w:rsidR="00310840">
              <w:rPr>
                <w:noProof/>
                <w:webHidden/>
              </w:rPr>
              <w:instrText xml:space="preserve"> PAGEREF _Toc535487624 \h </w:instrText>
            </w:r>
            <w:r>
              <w:rPr>
                <w:noProof/>
                <w:webHidden/>
              </w:rPr>
            </w:r>
            <w:r>
              <w:rPr>
                <w:noProof/>
                <w:webHidden/>
              </w:rPr>
              <w:fldChar w:fldCharType="separate"/>
            </w:r>
            <w:r w:rsidR="00253ADC">
              <w:rPr>
                <w:noProof/>
                <w:webHidden/>
              </w:rPr>
              <w:t>37</w:t>
            </w:r>
            <w:r>
              <w:rPr>
                <w:noProof/>
                <w:webHidden/>
              </w:rPr>
              <w:fldChar w:fldCharType="end"/>
            </w:r>
          </w:hyperlink>
        </w:p>
        <w:p w:rsidR="00310840" w:rsidRDefault="00213664">
          <w:pPr>
            <w:pStyle w:val="Sommario3"/>
            <w:tabs>
              <w:tab w:val="right" w:leader="dot" w:pos="9628"/>
            </w:tabs>
            <w:rPr>
              <w:rFonts w:asciiTheme="minorHAnsi" w:eastAsiaTheme="minorEastAsia" w:hAnsiTheme="minorHAnsi" w:cstheme="minorBidi"/>
              <w:noProof/>
              <w:sz w:val="22"/>
              <w:szCs w:val="22"/>
            </w:rPr>
          </w:pPr>
          <w:hyperlink w:anchor="_Toc535487625" w:history="1">
            <w:r w:rsidR="00310840" w:rsidRPr="00F54D37">
              <w:rPr>
                <w:rStyle w:val="Collegamentoipertestuale"/>
                <w:noProof/>
              </w:rPr>
              <w:t>Fondo di riserva di cassa</w:t>
            </w:r>
            <w:r w:rsidR="00310840">
              <w:rPr>
                <w:noProof/>
                <w:webHidden/>
              </w:rPr>
              <w:tab/>
            </w:r>
            <w:r>
              <w:rPr>
                <w:noProof/>
                <w:webHidden/>
              </w:rPr>
              <w:fldChar w:fldCharType="begin"/>
            </w:r>
            <w:r w:rsidR="00310840">
              <w:rPr>
                <w:noProof/>
                <w:webHidden/>
              </w:rPr>
              <w:instrText xml:space="preserve"> PAGEREF _Toc535487625 \h </w:instrText>
            </w:r>
            <w:r>
              <w:rPr>
                <w:noProof/>
                <w:webHidden/>
              </w:rPr>
            </w:r>
            <w:r>
              <w:rPr>
                <w:noProof/>
                <w:webHidden/>
              </w:rPr>
              <w:fldChar w:fldCharType="separate"/>
            </w:r>
            <w:r w:rsidR="00253ADC">
              <w:rPr>
                <w:noProof/>
                <w:webHidden/>
              </w:rPr>
              <w:t>37</w:t>
            </w:r>
            <w:r>
              <w:rPr>
                <w:noProof/>
                <w:webHidden/>
              </w:rPr>
              <w:fldChar w:fldCharType="end"/>
            </w:r>
          </w:hyperlink>
        </w:p>
        <w:p w:rsidR="00310840" w:rsidRDefault="00213664">
          <w:pPr>
            <w:pStyle w:val="Sommario1"/>
            <w:tabs>
              <w:tab w:val="right" w:leader="dot" w:pos="9628"/>
            </w:tabs>
            <w:rPr>
              <w:rFonts w:asciiTheme="minorHAnsi" w:eastAsiaTheme="minorEastAsia" w:hAnsiTheme="minorHAnsi" w:cstheme="minorBidi"/>
              <w:noProof/>
              <w:sz w:val="22"/>
              <w:szCs w:val="22"/>
            </w:rPr>
          </w:pPr>
          <w:hyperlink w:anchor="_Toc535487626" w:history="1">
            <w:r w:rsidR="00310840" w:rsidRPr="00F54D37">
              <w:rPr>
                <w:rStyle w:val="Collegamentoipertestuale"/>
                <w:noProof/>
              </w:rPr>
              <w:t>ORGANISMI PARTECIPATI</w:t>
            </w:r>
            <w:r w:rsidR="00310840">
              <w:rPr>
                <w:noProof/>
                <w:webHidden/>
              </w:rPr>
              <w:tab/>
            </w:r>
            <w:r>
              <w:rPr>
                <w:noProof/>
                <w:webHidden/>
              </w:rPr>
              <w:fldChar w:fldCharType="begin"/>
            </w:r>
            <w:r w:rsidR="00310840">
              <w:rPr>
                <w:noProof/>
                <w:webHidden/>
              </w:rPr>
              <w:instrText xml:space="preserve"> PAGEREF _Toc535487626 \h </w:instrText>
            </w:r>
            <w:r>
              <w:rPr>
                <w:noProof/>
                <w:webHidden/>
              </w:rPr>
            </w:r>
            <w:r>
              <w:rPr>
                <w:noProof/>
                <w:webHidden/>
              </w:rPr>
              <w:fldChar w:fldCharType="separate"/>
            </w:r>
            <w:r w:rsidR="00253ADC">
              <w:rPr>
                <w:noProof/>
                <w:webHidden/>
              </w:rPr>
              <w:t>38</w:t>
            </w:r>
            <w:r>
              <w:rPr>
                <w:noProof/>
                <w:webHidden/>
              </w:rPr>
              <w:fldChar w:fldCharType="end"/>
            </w:r>
          </w:hyperlink>
        </w:p>
        <w:p w:rsidR="00310840" w:rsidRDefault="00213664">
          <w:pPr>
            <w:pStyle w:val="Sommario1"/>
            <w:tabs>
              <w:tab w:val="right" w:leader="dot" w:pos="9628"/>
            </w:tabs>
            <w:rPr>
              <w:rFonts w:asciiTheme="minorHAnsi" w:eastAsiaTheme="minorEastAsia" w:hAnsiTheme="minorHAnsi" w:cstheme="minorBidi"/>
              <w:noProof/>
              <w:sz w:val="22"/>
              <w:szCs w:val="22"/>
            </w:rPr>
          </w:pPr>
          <w:hyperlink w:anchor="_Toc535487627" w:history="1">
            <w:r w:rsidR="00310840" w:rsidRPr="00F54D37">
              <w:rPr>
                <w:rStyle w:val="Collegamentoipertestuale"/>
                <w:noProof/>
              </w:rPr>
              <w:t>SPESE IN CONTO CAPITALE</w:t>
            </w:r>
            <w:r w:rsidR="00310840">
              <w:rPr>
                <w:noProof/>
                <w:webHidden/>
              </w:rPr>
              <w:tab/>
            </w:r>
            <w:r>
              <w:rPr>
                <w:noProof/>
                <w:webHidden/>
              </w:rPr>
              <w:fldChar w:fldCharType="begin"/>
            </w:r>
            <w:r w:rsidR="00310840">
              <w:rPr>
                <w:noProof/>
                <w:webHidden/>
              </w:rPr>
              <w:instrText xml:space="preserve"> PAGEREF _Toc535487627 \h </w:instrText>
            </w:r>
            <w:r>
              <w:rPr>
                <w:noProof/>
                <w:webHidden/>
              </w:rPr>
            </w:r>
            <w:r>
              <w:rPr>
                <w:noProof/>
                <w:webHidden/>
              </w:rPr>
              <w:fldChar w:fldCharType="separate"/>
            </w:r>
            <w:r w:rsidR="00253ADC">
              <w:rPr>
                <w:noProof/>
                <w:webHidden/>
              </w:rPr>
              <w:t>41</w:t>
            </w:r>
            <w:r>
              <w:rPr>
                <w:noProof/>
                <w:webHidden/>
              </w:rPr>
              <w:fldChar w:fldCharType="end"/>
            </w:r>
          </w:hyperlink>
        </w:p>
        <w:p w:rsidR="00310840" w:rsidRDefault="00213664">
          <w:pPr>
            <w:pStyle w:val="Sommario1"/>
            <w:tabs>
              <w:tab w:val="right" w:leader="dot" w:pos="9628"/>
            </w:tabs>
            <w:rPr>
              <w:rFonts w:asciiTheme="minorHAnsi" w:eastAsiaTheme="minorEastAsia" w:hAnsiTheme="minorHAnsi" w:cstheme="minorBidi"/>
              <w:noProof/>
              <w:sz w:val="22"/>
              <w:szCs w:val="22"/>
            </w:rPr>
          </w:pPr>
          <w:hyperlink w:anchor="_Toc535487628" w:history="1">
            <w:r w:rsidR="00310840" w:rsidRPr="00F54D37">
              <w:rPr>
                <w:rStyle w:val="Collegamentoipertestuale"/>
                <w:noProof/>
              </w:rPr>
              <w:t>INDEBITAMENTO</w:t>
            </w:r>
            <w:r w:rsidR="00310840">
              <w:rPr>
                <w:noProof/>
                <w:webHidden/>
              </w:rPr>
              <w:tab/>
            </w:r>
            <w:r>
              <w:rPr>
                <w:noProof/>
                <w:webHidden/>
              </w:rPr>
              <w:fldChar w:fldCharType="begin"/>
            </w:r>
            <w:r w:rsidR="00310840">
              <w:rPr>
                <w:noProof/>
                <w:webHidden/>
              </w:rPr>
              <w:instrText xml:space="preserve"> PAGEREF _Toc535487628 \h </w:instrText>
            </w:r>
            <w:r>
              <w:rPr>
                <w:noProof/>
                <w:webHidden/>
              </w:rPr>
            </w:r>
            <w:r>
              <w:rPr>
                <w:noProof/>
                <w:webHidden/>
              </w:rPr>
              <w:fldChar w:fldCharType="separate"/>
            </w:r>
            <w:r w:rsidR="00253ADC">
              <w:rPr>
                <w:noProof/>
                <w:webHidden/>
              </w:rPr>
              <w:t>43</w:t>
            </w:r>
            <w:r>
              <w:rPr>
                <w:noProof/>
                <w:webHidden/>
              </w:rPr>
              <w:fldChar w:fldCharType="end"/>
            </w:r>
          </w:hyperlink>
        </w:p>
        <w:p w:rsidR="00310840" w:rsidRDefault="00213664">
          <w:pPr>
            <w:pStyle w:val="Sommario1"/>
            <w:tabs>
              <w:tab w:val="right" w:leader="dot" w:pos="9628"/>
            </w:tabs>
            <w:rPr>
              <w:rFonts w:asciiTheme="minorHAnsi" w:eastAsiaTheme="minorEastAsia" w:hAnsiTheme="minorHAnsi" w:cstheme="minorBidi"/>
              <w:noProof/>
              <w:sz w:val="22"/>
              <w:szCs w:val="22"/>
            </w:rPr>
          </w:pPr>
          <w:hyperlink w:anchor="_Toc535487629" w:history="1">
            <w:r w:rsidR="00310840" w:rsidRPr="00F54D37">
              <w:rPr>
                <w:rStyle w:val="Collegamentoipertestuale"/>
                <w:noProof/>
              </w:rPr>
              <w:t>OSSERVAZIONI E SUGGERIMENTI</w:t>
            </w:r>
            <w:r w:rsidR="00310840">
              <w:rPr>
                <w:noProof/>
                <w:webHidden/>
              </w:rPr>
              <w:tab/>
            </w:r>
            <w:r>
              <w:rPr>
                <w:noProof/>
                <w:webHidden/>
              </w:rPr>
              <w:fldChar w:fldCharType="begin"/>
            </w:r>
            <w:r w:rsidR="00310840">
              <w:rPr>
                <w:noProof/>
                <w:webHidden/>
              </w:rPr>
              <w:instrText xml:space="preserve"> PAGEREF _Toc535487629 \h </w:instrText>
            </w:r>
            <w:r>
              <w:rPr>
                <w:noProof/>
                <w:webHidden/>
              </w:rPr>
            </w:r>
            <w:r>
              <w:rPr>
                <w:noProof/>
                <w:webHidden/>
              </w:rPr>
              <w:fldChar w:fldCharType="separate"/>
            </w:r>
            <w:r w:rsidR="00253ADC">
              <w:rPr>
                <w:noProof/>
                <w:webHidden/>
              </w:rPr>
              <w:t>45</w:t>
            </w:r>
            <w:r>
              <w:rPr>
                <w:noProof/>
                <w:webHidden/>
              </w:rPr>
              <w:fldChar w:fldCharType="end"/>
            </w:r>
          </w:hyperlink>
        </w:p>
        <w:p w:rsidR="00310840" w:rsidRDefault="00213664">
          <w:pPr>
            <w:pStyle w:val="Sommario1"/>
            <w:tabs>
              <w:tab w:val="right" w:leader="dot" w:pos="9628"/>
            </w:tabs>
            <w:rPr>
              <w:rFonts w:asciiTheme="minorHAnsi" w:eastAsiaTheme="minorEastAsia" w:hAnsiTheme="minorHAnsi" w:cstheme="minorBidi"/>
              <w:noProof/>
              <w:sz w:val="22"/>
              <w:szCs w:val="22"/>
            </w:rPr>
          </w:pPr>
          <w:hyperlink w:anchor="_Toc535487630" w:history="1">
            <w:r w:rsidR="00310840" w:rsidRPr="00F54D37">
              <w:rPr>
                <w:rStyle w:val="Collegamentoipertestuale"/>
                <w:noProof/>
              </w:rPr>
              <w:t>CONCLUSIONI</w:t>
            </w:r>
            <w:r w:rsidR="00310840">
              <w:rPr>
                <w:noProof/>
                <w:webHidden/>
              </w:rPr>
              <w:tab/>
            </w:r>
            <w:r>
              <w:rPr>
                <w:noProof/>
                <w:webHidden/>
              </w:rPr>
              <w:fldChar w:fldCharType="begin"/>
            </w:r>
            <w:r w:rsidR="00310840">
              <w:rPr>
                <w:noProof/>
                <w:webHidden/>
              </w:rPr>
              <w:instrText xml:space="preserve"> PAGEREF _Toc535487630 \h </w:instrText>
            </w:r>
            <w:r>
              <w:rPr>
                <w:noProof/>
                <w:webHidden/>
              </w:rPr>
            </w:r>
            <w:r>
              <w:rPr>
                <w:noProof/>
                <w:webHidden/>
              </w:rPr>
              <w:fldChar w:fldCharType="separate"/>
            </w:r>
            <w:r w:rsidR="00253ADC">
              <w:rPr>
                <w:noProof/>
                <w:webHidden/>
              </w:rPr>
              <w:t>47</w:t>
            </w:r>
            <w:r>
              <w:rPr>
                <w:noProof/>
                <w:webHidden/>
              </w:rPr>
              <w:fldChar w:fldCharType="end"/>
            </w:r>
          </w:hyperlink>
        </w:p>
        <w:p w:rsidR="009F6E3E" w:rsidRPr="00D80990" w:rsidRDefault="00213664">
          <w:pPr>
            <w:rPr>
              <w:rFonts w:ascii="Arial" w:hAnsi="Arial" w:cs="Arial"/>
            </w:rPr>
          </w:pPr>
          <w:r w:rsidRPr="00D80990">
            <w:rPr>
              <w:rFonts w:ascii="Arial" w:hAnsi="Arial" w:cs="Arial"/>
              <w:b/>
              <w:bCs/>
            </w:rPr>
            <w:fldChar w:fldCharType="end"/>
          </w:r>
        </w:p>
      </w:sdtContent>
    </w:sdt>
    <w:p w:rsidR="009F6E3E" w:rsidRPr="00D80990" w:rsidRDefault="009F6E3E">
      <w:pPr>
        <w:rPr>
          <w:rFonts w:ascii="Arial" w:hAnsi="Arial" w:cs="Arial"/>
          <w:b/>
          <w:sz w:val="22"/>
          <w:szCs w:val="22"/>
        </w:rPr>
      </w:pPr>
    </w:p>
    <w:p w:rsidR="009F6E3E" w:rsidRPr="00D80990" w:rsidRDefault="009F6E3E">
      <w:pPr>
        <w:pStyle w:val="cpv"/>
        <w:widowControl/>
        <w:spacing w:before="220"/>
        <w:jc w:val="center"/>
        <w:rPr>
          <w:rFonts w:ascii="Arial" w:hAnsi="Arial" w:cs="Arial"/>
          <w:b/>
          <w:sz w:val="32"/>
        </w:rPr>
      </w:pPr>
    </w:p>
    <w:p w:rsidR="009F6E3E" w:rsidRPr="00D80990" w:rsidRDefault="007F766F">
      <w:pPr>
        <w:rPr>
          <w:rFonts w:ascii="Arial" w:hAnsi="Arial" w:cs="Arial"/>
          <w:b/>
          <w:sz w:val="32"/>
          <w:szCs w:val="20"/>
        </w:rPr>
      </w:pPr>
      <w:r w:rsidRPr="00D80990">
        <w:rPr>
          <w:rFonts w:ascii="Arial" w:hAnsi="Arial" w:cs="Arial"/>
          <w:b/>
          <w:sz w:val="32"/>
        </w:rPr>
        <w:br w:type="page"/>
      </w:r>
    </w:p>
    <w:p w:rsidR="009F6E3E" w:rsidRPr="00D80990" w:rsidRDefault="007F766F">
      <w:pPr>
        <w:pStyle w:val="Titolo1"/>
        <w:pBdr>
          <w:bottom w:val="single" w:sz="6" w:space="2" w:color="auto" w:shadow="1"/>
        </w:pBdr>
        <w:shd w:val="clear" w:color="auto" w:fill="B6DDE8" w:themeFill="accent5" w:themeFillTint="66"/>
        <w:rPr>
          <w:rStyle w:val="Titolodellibro"/>
          <w:b/>
        </w:rPr>
      </w:pPr>
      <w:bookmarkStart w:id="0" w:name="_VERIFICHE_PRELIMINARI"/>
      <w:bookmarkStart w:id="1" w:name="_Toc346838815"/>
      <w:bookmarkStart w:id="2" w:name="_Toc535487596"/>
      <w:bookmarkEnd w:id="0"/>
      <w:r w:rsidRPr="00D80990">
        <w:rPr>
          <w:rStyle w:val="Titolodellibro"/>
          <w:b/>
        </w:rPr>
        <w:lastRenderedPageBreak/>
        <w:t>PREMESSA E VERIFICHE PRELIMINARI</w:t>
      </w:r>
      <w:bookmarkEnd w:id="1"/>
      <w:bookmarkEnd w:id="2"/>
    </w:p>
    <w:p w:rsidR="00264EAF" w:rsidRPr="00D80990" w:rsidRDefault="00264EAF" w:rsidP="00264EAF">
      <w:pPr>
        <w:spacing w:after="120"/>
        <w:jc w:val="both"/>
        <w:rPr>
          <w:rFonts w:ascii="Arial" w:hAnsi="Arial" w:cs="Arial"/>
          <w:sz w:val="22"/>
          <w:szCs w:val="22"/>
        </w:rPr>
      </w:pPr>
      <w:bookmarkStart w:id="3" w:name="_Toc346838818"/>
      <w:r w:rsidRPr="00D80990">
        <w:rPr>
          <w:rFonts w:ascii="Arial" w:hAnsi="Arial" w:cs="Arial"/>
          <w:sz w:val="22"/>
          <w:szCs w:val="22"/>
        </w:rPr>
        <w:t>L’organo di revisione del Comune di ……. nominato con delibera consiliare n…… del……</w:t>
      </w:r>
    </w:p>
    <w:p w:rsidR="00264EAF" w:rsidRPr="00D80990" w:rsidRDefault="00264EAF" w:rsidP="00264EAF">
      <w:pPr>
        <w:spacing w:after="120"/>
        <w:jc w:val="center"/>
        <w:rPr>
          <w:rFonts w:ascii="Arial" w:hAnsi="Arial" w:cs="Arial"/>
          <w:b/>
          <w:i/>
          <w:sz w:val="22"/>
          <w:szCs w:val="22"/>
        </w:rPr>
      </w:pPr>
    </w:p>
    <w:p w:rsidR="00264EAF" w:rsidRPr="00D80990" w:rsidRDefault="00264EAF" w:rsidP="00264EAF">
      <w:pPr>
        <w:spacing w:after="120"/>
        <w:jc w:val="center"/>
        <w:rPr>
          <w:rFonts w:ascii="Arial" w:hAnsi="Arial" w:cs="Arial"/>
          <w:b/>
          <w:i/>
          <w:sz w:val="22"/>
          <w:szCs w:val="22"/>
        </w:rPr>
      </w:pPr>
      <w:r w:rsidRPr="00D80990">
        <w:rPr>
          <w:rFonts w:ascii="Arial" w:hAnsi="Arial" w:cs="Arial"/>
          <w:b/>
          <w:i/>
          <w:sz w:val="22"/>
          <w:szCs w:val="22"/>
        </w:rPr>
        <w:t>Premesso</w:t>
      </w:r>
    </w:p>
    <w:p w:rsidR="00264EAF" w:rsidRPr="00D80990" w:rsidRDefault="00264EAF" w:rsidP="00264EAF">
      <w:pPr>
        <w:pStyle w:val="Paragrafoelenco"/>
        <w:numPr>
          <w:ilvl w:val="0"/>
          <w:numId w:val="34"/>
        </w:numPr>
        <w:spacing w:after="120"/>
        <w:jc w:val="both"/>
        <w:rPr>
          <w:rFonts w:ascii="Arial" w:hAnsi="Arial" w:cs="Arial"/>
          <w:sz w:val="22"/>
          <w:szCs w:val="22"/>
        </w:rPr>
      </w:pPr>
      <w:r w:rsidRPr="00D80990">
        <w:rPr>
          <w:rFonts w:ascii="Arial" w:hAnsi="Arial" w:cs="Arial"/>
          <w:sz w:val="22"/>
          <w:szCs w:val="22"/>
        </w:rPr>
        <w:t>che l’ente deve redigere il bilancio di previsione rispettando il titolo II del D. Lgs. 267/2000</w:t>
      </w:r>
      <w:r w:rsidR="00D53252">
        <w:rPr>
          <w:rFonts w:ascii="Arial" w:hAnsi="Arial" w:cs="Arial"/>
          <w:sz w:val="22"/>
          <w:szCs w:val="22"/>
        </w:rPr>
        <w:t xml:space="preserve"> (di seguito </w:t>
      </w:r>
      <w:r w:rsidR="00D0382F">
        <w:rPr>
          <w:rFonts w:ascii="Arial" w:hAnsi="Arial" w:cs="Arial"/>
          <w:sz w:val="22"/>
          <w:szCs w:val="22"/>
        </w:rPr>
        <w:t xml:space="preserve">anche </w:t>
      </w:r>
      <w:r w:rsidR="00D53252">
        <w:rPr>
          <w:rFonts w:ascii="Arial" w:hAnsi="Arial" w:cs="Arial"/>
          <w:sz w:val="22"/>
          <w:szCs w:val="22"/>
        </w:rPr>
        <w:t>TUEL)</w:t>
      </w:r>
      <w:r w:rsidRPr="00D80990">
        <w:rPr>
          <w:rFonts w:ascii="Arial" w:hAnsi="Arial" w:cs="Arial"/>
          <w:sz w:val="22"/>
          <w:szCs w:val="22"/>
        </w:rPr>
        <w:t xml:space="preserve">, i principi contabili generali e applicati alla contabilità finanziaria, lo schema di bilancio di cui all’ </w:t>
      </w:r>
      <w:r w:rsidRPr="000121D3">
        <w:rPr>
          <w:rFonts w:ascii="Arial" w:hAnsi="Arial" w:cs="Arial"/>
          <w:sz w:val="22"/>
          <w:szCs w:val="22"/>
        </w:rPr>
        <w:t>allegato 9 al D. Lgs.118/2011</w:t>
      </w:r>
      <w:r w:rsidRPr="00D80990">
        <w:rPr>
          <w:rFonts w:ascii="Arial" w:hAnsi="Arial" w:cs="Arial"/>
          <w:sz w:val="22"/>
          <w:szCs w:val="22"/>
        </w:rPr>
        <w:t xml:space="preserve">. </w:t>
      </w:r>
    </w:p>
    <w:p w:rsidR="00264EAF" w:rsidRPr="00D80990" w:rsidRDefault="00264EAF" w:rsidP="00264EAF">
      <w:pPr>
        <w:pStyle w:val="Paragrafoelenco"/>
        <w:numPr>
          <w:ilvl w:val="0"/>
          <w:numId w:val="34"/>
        </w:numPr>
        <w:spacing w:after="120"/>
        <w:jc w:val="both"/>
        <w:rPr>
          <w:rFonts w:ascii="Arial" w:hAnsi="Arial" w:cs="Arial"/>
          <w:sz w:val="22"/>
          <w:szCs w:val="22"/>
        </w:rPr>
      </w:pPr>
      <w:r w:rsidRPr="00D80990">
        <w:rPr>
          <w:rFonts w:ascii="Arial" w:hAnsi="Arial" w:cs="Arial"/>
          <w:sz w:val="22"/>
          <w:szCs w:val="22"/>
        </w:rPr>
        <w:t>che ha ricevuto in data ……………… lo schema del bilancio di previsione per gli esercizi 2019-2021, approvato dalla giunta comunale in data…….con delibera n. …….,completo dei seguenti allegati obbligatori indicati:</w:t>
      </w:r>
    </w:p>
    <w:p w:rsidR="00264EAF" w:rsidRPr="00D80990" w:rsidRDefault="00264EAF" w:rsidP="00264EAF">
      <w:pPr>
        <w:numPr>
          <w:ilvl w:val="0"/>
          <w:numId w:val="30"/>
        </w:numPr>
        <w:tabs>
          <w:tab w:val="left" w:pos="360"/>
          <w:tab w:val="left" w:pos="426"/>
        </w:tabs>
        <w:spacing w:after="120"/>
        <w:jc w:val="both"/>
        <w:rPr>
          <w:rFonts w:ascii="Arial" w:hAnsi="Arial" w:cs="Arial"/>
          <w:sz w:val="22"/>
          <w:szCs w:val="22"/>
        </w:rPr>
      </w:pPr>
      <w:r w:rsidRPr="000121D3">
        <w:rPr>
          <w:rFonts w:ascii="Arial" w:hAnsi="Arial" w:cs="Arial"/>
          <w:sz w:val="22"/>
          <w:szCs w:val="22"/>
        </w:rPr>
        <w:t>nell’</w:t>
      </w:r>
      <w:hyperlink r:id="rId11" w:history="1">
        <w:r w:rsidRPr="000121D3">
          <w:rPr>
            <w:rFonts w:ascii="Arial" w:hAnsi="Arial" w:cs="Arial"/>
            <w:sz w:val="22"/>
            <w:szCs w:val="22"/>
          </w:rPr>
          <w:t>art.11, comma 3 del D. Lgs.118/2011</w:t>
        </w:r>
      </w:hyperlink>
      <w:r w:rsidRPr="00D80990">
        <w:rPr>
          <w:rFonts w:ascii="Arial" w:hAnsi="Arial" w:cs="Arial"/>
          <w:b/>
          <w:sz w:val="22"/>
          <w:szCs w:val="22"/>
        </w:rPr>
        <w:t>:</w:t>
      </w:r>
    </w:p>
    <w:p w:rsidR="00264EAF" w:rsidRPr="00D80990" w:rsidRDefault="00264EAF" w:rsidP="00264EAF">
      <w:pPr>
        <w:pStyle w:val="Paragrafoelenco"/>
        <w:numPr>
          <w:ilvl w:val="0"/>
          <w:numId w:val="33"/>
        </w:numPr>
        <w:tabs>
          <w:tab w:val="left" w:pos="360"/>
          <w:tab w:val="left" w:pos="426"/>
        </w:tabs>
        <w:spacing w:after="120"/>
        <w:ind w:left="1134" w:hanging="283"/>
        <w:jc w:val="both"/>
        <w:rPr>
          <w:rFonts w:ascii="Arial" w:hAnsi="Arial" w:cs="Arial"/>
          <w:sz w:val="22"/>
          <w:szCs w:val="22"/>
        </w:rPr>
      </w:pPr>
      <w:r w:rsidRPr="00D80990">
        <w:rPr>
          <w:rFonts w:ascii="Arial" w:hAnsi="Arial" w:cs="Arial"/>
          <w:sz w:val="22"/>
          <w:szCs w:val="22"/>
        </w:rPr>
        <w:t xml:space="preserve">il prospetto esplicativo del presunto risultato di amministrazione dell’esercizio 2018; </w:t>
      </w:r>
    </w:p>
    <w:p w:rsidR="00264EAF" w:rsidRPr="00D80990" w:rsidRDefault="00264EAF" w:rsidP="00264EAF">
      <w:pPr>
        <w:pStyle w:val="Paragrafoelenco"/>
        <w:numPr>
          <w:ilvl w:val="0"/>
          <w:numId w:val="33"/>
        </w:numPr>
        <w:tabs>
          <w:tab w:val="left" w:pos="360"/>
          <w:tab w:val="left" w:pos="426"/>
        </w:tabs>
        <w:spacing w:after="120"/>
        <w:ind w:left="1134" w:hanging="283"/>
        <w:jc w:val="both"/>
        <w:rPr>
          <w:rFonts w:ascii="Arial" w:hAnsi="Arial" w:cs="Arial"/>
          <w:sz w:val="22"/>
          <w:szCs w:val="22"/>
        </w:rPr>
      </w:pPr>
      <w:r w:rsidRPr="00D80990">
        <w:rPr>
          <w:rFonts w:ascii="Arial" w:hAnsi="Arial" w:cs="Arial"/>
          <w:sz w:val="22"/>
          <w:szCs w:val="22"/>
        </w:rPr>
        <w:t xml:space="preserve">il prospetto concernente la composizione, per missioni e programmi, del fondo pluriennale vincolato per ciascuno degli esercizi considerati nel bilancio di previsione; </w:t>
      </w:r>
    </w:p>
    <w:p w:rsidR="00264EAF" w:rsidRPr="00D80990" w:rsidRDefault="00264EAF" w:rsidP="00264EAF">
      <w:pPr>
        <w:pStyle w:val="Paragrafoelenco"/>
        <w:numPr>
          <w:ilvl w:val="0"/>
          <w:numId w:val="33"/>
        </w:numPr>
        <w:tabs>
          <w:tab w:val="left" w:pos="360"/>
          <w:tab w:val="left" w:pos="426"/>
        </w:tabs>
        <w:spacing w:after="120"/>
        <w:ind w:left="1134" w:hanging="283"/>
        <w:jc w:val="both"/>
        <w:rPr>
          <w:rFonts w:ascii="Arial" w:hAnsi="Arial" w:cs="Arial"/>
          <w:sz w:val="22"/>
          <w:szCs w:val="22"/>
        </w:rPr>
      </w:pPr>
      <w:r w:rsidRPr="00D80990">
        <w:rPr>
          <w:rFonts w:ascii="Arial" w:hAnsi="Arial" w:cs="Arial"/>
          <w:sz w:val="22"/>
          <w:szCs w:val="22"/>
        </w:rPr>
        <w:t xml:space="preserve">il prospetto concernente la composizione del Fondo Crediti di Dubbia Esigibilità per ciascuno degli esercizi considerati nel bilancio di previsione; </w:t>
      </w:r>
    </w:p>
    <w:p w:rsidR="00264EAF" w:rsidRPr="00D80990" w:rsidRDefault="00264EAF" w:rsidP="00264EAF">
      <w:pPr>
        <w:pStyle w:val="Paragrafoelenco"/>
        <w:numPr>
          <w:ilvl w:val="0"/>
          <w:numId w:val="33"/>
        </w:numPr>
        <w:tabs>
          <w:tab w:val="left" w:pos="360"/>
          <w:tab w:val="left" w:pos="426"/>
        </w:tabs>
        <w:spacing w:after="120"/>
        <w:ind w:left="1134" w:hanging="283"/>
        <w:jc w:val="both"/>
        <w:rPr>
          <w:rFonts w:ascii="Arial" w:hAnsi="Arial" w:cs="Arial"/>
          <w:sz w:val="22"/>
          <w:szCs w:val="22"/>
        </w:rPr>
      </w:pPr>
      <w:r w:rsidRPr="00D80990">
        <w:rPr>
          <w:rFonts w:ascii="Arial" w:hAnsi="Arial" w:cs="Arial"/>
          <w:sz w:val="22"/>
          <w:szCs w:val="22"/>
        </w:rPr>
        <w:t xml:space="preserve">il prospetto dimostrativo del rispetto dei vincoli di indebitamento; </w:t>
      </w:r>
    </w:p>
    <w:p w:rsidR="00264EAF" w:rsidRPr="00D80990" w:rsidRDefault="00264EAF" w:rsidP="00264EAF">
      <w:pPr>
        <w:pStyle w:val="Paragrafoelenco"/>
        <w:numPr>
          <w:ilvl w:val="0"/>
          <w:numId w:val="33"/>
        </w:numPr>
        <w:tabs>
          <w:tab w:val="left" w:pos="360"/>
          <w:tab w:val="left" w:pos="426"/>
        </w:tabs>
        <w:spacing w:after="120"/>
        <w:ind w:left="1134" w:hanging="283"/>
        <w:jc w:val="both"/>
        <w:rPr>
          <w:rFonts w:ascii="Arial" w:hAnsi="Arial" w:cs="Arial"/>
          <w:sz w:val="22"/>
          <w:szCs w:val="22"/>
        </w:rPr>
      </w:pPr>
      <w:r w:rsidRPr="00D80990">
        <w:rPr>
          <w:rFonts w:ascii="Arial" w:hAnsi="Arial" w:cs="Arial"/>
          <w:sz w:val="22"/>
          <w:szCs w:val="22"/>
        </w:rPr>
        <w:t xml:space="preserve">il prospetto delle spese previste per l'utilizzo di contributi e trasferimenti da parte di organismi comunitari e internazionali, per ciascuno degli anni considerati nel bilancio di previsione; </w:t>
      </w:r>
    </w:p>
    <w:p w:rsidR="00264EAF" w:rsidRPr="00D80990" w:rsidRDefault="00264EAF" w:rsidP="00264EAF">
      <w:pPr>
        <w:pStyle w:val="Paragrafoelenco"/>
        <w:numPr>
          <w:ilvl w:val="0"/>
          <w:numId w:val="33"/>
        </w:numPr>
        <w:tabs>
          <w:tab w:val="left" w:pos="360"/>
          <w:tab w:val="left" w:pos="426"/>
        </w:tabs>
        <w:spacing w:after="120"/>
        <w:ind w:left="1134" w:hanging="283"/>
        <w:jc w:val="both"/>
        <w:rPr>
          <w:rFonts w:ascii="Arial" w:hAnsi="Arial" w:cs="Arial"/>
          <w:sz w:val="22"/>
          <w:szCs w:val="22"/>
        </w:rPr>
      </w:pPr>
      <w:r w:rsidRPr="00D80990">
        <w:rPr>
          <w:rFonts w:ascii="Arial" w:hAnsi="Arial" w:cs="Arial"/>
          <w:sz w:val="22"/>
          <w:szCs w:val="22"/>
        </w:rPr>
        <w:t xml:space="preserve">il prospetto delle spese previste per lo svolgimento delle funzioni delegate dalle regioni per ciascuno degli anni considerati nel bilancio di previsione; </w:t>
      </w:r>
    </w:p>
    <w:p w:rsidR="00264EAF" w:rsidRPr="00D80990" w:rsidRDefault="00264EAF" w:rsidP="00264EAF">
      <w:pPr>
        <w:pStyle w:val="Paragrafoelenco"/>
        <w:numPr>
          <w:ilvl w:val="0"/>
          <w:numId w:val="33"/>
        </w:numPr>
        <w:tabs>
          <w:tab w:val="left" w:pos="360"/>
          <w:tab w:val="left" w:pos="426"/>
        </w:tabs>
        <w:spacing w:after="120"/>
        <w:ind w:left="1134" w:hanging="283"/>
        <w:jc w:val="both"/>
        <w:rPr>
          <w:rFonts w:ascii="Arial" w:hAnsi="Arial" w:cs="Arial"/>
          <w:sz w:val="22"/>
          <w:szCs w:val="22"/>
        </w:rPr>
      </w:pPr>
      <w:r w:rsidRPr="00D80990">
        <w:rPr>
          <w:rFonts w:ascii="Arial" w:hAnsi="Arial" w:cs="Arial"/>
          <w:sz w:val="22"/>
          <w:szCs w:val="22"/>
        </w:rPr>
        <w:t>la nota integrativa redatta secondo le modalità previste dal comma 5 dell’art.11 del D.Lgs.118/2011;</w:t>
      </w:r>
    </w:p>
    <w:p w:rsidR="008163FB" w:rsidRDefault="008163FB" w:rsidP="00EA4A99">
      <w:pPr>
        <w:tabs>
          <w:tab w:val="left" w:pos="360"/>
          <w:tab w:val="left" w:pos="426"/>
        </w:tabs>
        <w:spacing w:after="120"/>
        <w:ind w:left="360"/>
        <w:jc w:val="both"/>
        <w:rPr>
          <w:rFonts w:ascii="Arial" w:hAnsi="Arial" w:cs="Arial"/>
          <w:sz w:val="22"/>
          <w:szCs w:val="22"/>
        </w:rPr>
      </w:pPr>
    </w:p>
    <w:p w:rsidR="00264EAF" w:rsidRPr="00D80990" w:rsidRDefault="00264EAF" w:rsidP="00FA74C8">
      <w:pPr>
        <w:numPr>
          <w:ilvl w:val="0"/>
          <w:numId w:val="1"/>
        </w:numPr>
        <w:tabs>
          <w:tab w:val="left" w:pos="426"/>
        </w:tabs>
        <w:spacing w:after="120"/>
        <w:ind w:left="709" w:hanging="349"/>
        <w:jc w:val="both"/>
        <w:rPr>
          <w:rFonts w:ascii="Arial" w:hAnsi="Arial" w:cs="Arial"/>
          <w:sz w:val="22"/>
          <w:szCs w:val="22"/>
        </w:rPr>
      </w:pPr>
      <w:r w:rsidRPr="000121D3">
        <w:rPr>
          <w:rFonts w:ascii="Arial" w:hAnsi="Arial" w:cs="Arial"/>
          <w:sz w:val="22"/>
          <w:szCs w:val="22"/>
        </w:rPr>
        <w:t>nell’art.172 del D.Lgs.267</w:t>
      </w:r>
      <w:r w:rsidR="00E90960" w:rsidRPr="000121D3">
        <w:rPr>
          <w:rFonts w:ascii="Arial" w:hAnsi="Arial" w:cs="Arial"/>
          <w:sz w:val="22"/>
          <w:szCs w:val="22"/>
        </w:rPr>
        <w:t>/2000</w:t>
      </w:r>
      <w:r w:rsidRPr="000121D3">
        <w:rPr>
          <w:rFonts w:ascii="Arial" w:hAnsi="Arial" w:cs="Arial"/>
          <w:sz w:val="22"/>
          <w:szCs w:val="22"/>
        </w:rPr>
        <w:t xml:space="preserve"> e punto 9.3 del P.C. applicato allegato 4/1 al </w:t>
      </w:r>
      <w:hyperlink r:id="rId12" w:history="1">
        <w:r w:rsidRPr="000121D3">
          <w:rPr>
            <w:rFonts w:ascii="Arial" w:hAnsi="Arial" w:cs="Arial"/>
            <w:sz w:val="22"/>
            <w:szCs w:val="22"/>
          </w:rPr>
          <w:t>D. Lgs. n.118/2011</w:t>
        </w:r>
      </w:hyperlink>
      <w:r w:rsidRPr="000121D3">
        <w:rPr>
          <w:rFonts w:ascii="Arial" w:hAnsi="Arial" w:cs="Arial"/>
          <w:sz w:val="22"/>
          <w:szCs w:val="22"/>
        </w:rPr>
        <w:t xml:space="preserve"> lettere g) ed h)</w:t>
      </w:r>
      <w:r w:rsidRPr="00D80990">
        <w:rPr>
          <w:rFonts w:ascii="Arial" w:hAnsi="Arial" w:cs="Arial"/>
          <w:sz w:val="22"/>
          <w:szCs w:val="22"/>
        </w:rPr>
        <w:t>:</w:t>
      </w:r>
    </w:p>
    <w:p w:rsidR="00264EAF" w:rsidRPr="00D80990" w:rsidRDefault="00264EAF" w:rsidP="00264EAF">
      <w:pPr>
        <w:pStyle w:val="Paragrafoelenco"/>
        <w:numPr>
          <w:ilvl w:val="0"/>
          <w:numId w:val="35"/>
        </w:numPr>
        <w:tabs>
          <w:tab w:val="left" w:pos="360"/>
          <w:tab w:val="left" w:pos="426"/>
        </w:tabs>
        <w:spacing w:after="120"/>
        <w:ind w:left="1134" w:hanging="283"/>
        <w:jc w:val="both"/>
        <w:rPr>
          <w:rFonts w:ascii="Arial" w:hAnsi="Arial" w:cs="Arial"/>
          <w:sz w:val="22"/>
          <w:szCs w:val="22"/>
        </w:rPr>
      </w:pPr>
      <w:r w:rsidRPr="00D80990">
        <w:rPr>
          <w:rFonts w:ascii="Arial" w:hAnsi="Arial" w:cs="Arial"/>
          <w:sz w:val="22"/>
          <w:szCs w:val="22"/>
        </w:rPr>
        <w:t>l'elenco degli indirizzi internet di pubblicazione del rendiconto della gestione, del bilancio consolidato deliberati e relativi al penultimo esercizio antecedente quello cui si riferisce il bilancio di previsione, dei rendiconti e dei bilanci consolidati delle unioni di comuni e dei soggetti considerati nel gruppo "amministrazione pubblica" di cui al principio applicato del bilancio consolidato allegato al</w:t>
      </w:r>
      <w:hyperlink r:id="rId13" w:history="1">
        <w:r w:rsidR="00E90960">
          <w:rPr>
            <w:rFonts w:ascii="Arial" w:hAnsi="Arial" w:cs="Arial"/>
            <w:sz w:val="22"/>
            <w:szCs w:val="22"/>
          </w:rPr>
          <w:t>D.Lgs.</w:t>
        </w:r>
        <w:r w:rsidRPr="00D80990">
          <w:rPr>
            <w:rFonts w:ascii="Arial" w:hAnsi="Arial" w:cs="Arial"/>
            <w:sz w:val="22"/>
            <w:szCs w:val="22"/>
          </w:rPr>
          <w:t xml:space="preserve"> 23 giugno 2011, n. 118</w:t>
        </w:r>
      </w:hyperlink>
      <w:r w:rsidRPr="00D80990">
        <w:rPr>
          <w:rFonts w:ascii="Arial" w:hAnsi="Arial" w:cs="Arial"/>
          <w:sz w:val="22"/>
          <w:szCs w:val="22"/>
        </w:rPr>
        <w:t>, e successive modificazioni, relativi al penultimo esercizio antecedente quello cui il bilancio si riferisce. Tali documenti contabili sono allegati al bilancio di previsione qualora non integralmente pubblicati nei siti internet indicati nell'elenco;</w:t>
      </w:r>
    </w:p>
    <w:p w:rsidR="00264EAF" w:rsidRPr="00D80990" w:rsidRDefault="00264EAF" w:rsidP="00264EAF">
      <w:pPr>
        <w:pStyle w:val="Paragrafoelenco"/>
        <w:numPr>
          <w:ilvl w:val="0"/>
          <w:numId w:val="35"/>
        </w:numPr>
        <w:tabs>
          <w:tab w:val="left" w:pos="360"/>
          <w:tab w:val="left" w:pos="426"/>
        </w:tabs>
        <w:spacing w:after="120"/>
        <w:ind w:left="1134" w:hanging="283"/>
        <w:jc w:val="both"/>
        <w:rPr>
          <w:rFonts w:ascii="Arial" w:hAnsi="Arial" w:cs="Arial"/>
          <w:sz w:val="22"/>
          <w:szCs w:val="22"/>
        </w:rPr>
      </w:pPr>
      <w:r w:rsidRPr="00D80990">
        <w:rPr>
          <w:rFonts w:ascii="Arial" w:hAnsi="Arial" w:cs="Arial"/>
          <w:sz w:val="22"/>
          <w:szCs w:val="22"/>
        </w:rPr>
        <w:t xml:space="preserve">la deliberazione, da adottarsi annualmente prima dell'approvazione del bilancio, con la quale i comuni verificano la quantità e qualità di aree e fabbricati da destinarsi alla residenza, alle attività produttive e terziarie - ai sensi delle leggi 18 aprile 1962, n. 167, 22 ottobre 1971, n. 865, e 5 agosto 1978, n. 457, che potranno essere ceduti in proprietà od in diritto di superficie; con la stessa deliberazione i comuni stabiliscono il prezzo di cessione per ciascun tipo di area o di fabbricato; </w:t>
      </w:r>
    </w:p>
    <w:p w:rsidR="00264EAF" w:rsidRPr="00D80990" w:rsidRDefault="00264EAF" w:rsidP="00264EAF">
      <w:pPr>
        <w:pStyle w:val="Paragrafoelenco"/>
        <w:numPr>
          <w:ilvl w:val="0"/>
          <w:numId w:val="35"/>
        </w:numPr>
        <w:tabs>
          <w:tab w:val="left" w:pos="360"/>
          <w:tab w:val="left" w:pos="426"/>
        </w:tabs>
        <w:spacing w:after="120"/>
        <w:ind w:left="1134" w:hanging="283"/>
        <w:jc w:val="both"/>
        <w:rPr>
          <w:rFonts w:ascii="Arial" w:hAnsi="Arial" w:cs="Arial"/>
          <w:sz w:val="22"/>
          <w:szCs w:val="22"/>
        </w:rPr>
      </w:pPr>
      <w:r w:rsidRPr="00D80990">
        <w:rPr>
          <w:rFonts w:ascii="Arial" w:hAnsi="Arial" w:cs="Arial"/>
          <w:sz w:val="22"/>
          <w:szCs w:val="22"/>
        </w:rPr>
        <w:t>le deliberazioni con le quali sono determinati, per l'esercizio successivo, le tariffe, le aliquote d'imposta e le eventuali maggiori detrazioni, le variazioni dei limiti di reddito per i tributi locali e per i servizi locali, nonché, per i servizi a domanda individuale, i tassi di copertura in percentuale del costo di gestione dei servizi stessi ivi incluso eventuali riduzioni/esenzioni di tributi locali</w:t>
      </w:r>
      <w:r w:rsidR="00FA74C8">
        <w:rPr>
          <w:rFonts w:ascii="Arial" w:hAnsi="Arial" w:cs="Arial"/>
          <w:sz w:val="22"/>
          <w:szCs w:val="22"/>
        </w:rPr>
        <w:t>;</w:t>
      </w:r>
    </w:p>
    <w:p w:rsidR="00475715" w:rsidRPr="00475715" w:rsidRDefault="00264EAF" w:rsidP="00264EAF">
      <w:pPr>
        <w:pStyle w:val="Paragrafoelenco"/>
        <w:numPr>
          <w:ilvl w:val="0"/>
          <w:numId w:val="35"/>
        </w:numPr>
        <w:tabs>
          <w:tab w:val="left" w:pos="360"/>
          <w:tab w:val="left" w:pos="426"/>
        </w:tabs>
        <w:spacing w:after="120"/>
        <w:ind w:left="1134" w:hanging="283"/>
        <w:jc w:val="both"/>
        <w:rPr>
          <w:rFonts w:ascii="Arial" w:hAnsi="Arial" w:cs="Arial"/>
          <w:sz w:val="22"/>
          <w:szCs w:val="22"/>
        </w:rPr>
      </w:pPr>
      <w:r w:rsidRPr="00475715">
        <w:rPr>
          <w:rFonts w:ascii="Arial" w:hAnsi="Arial" w:cs="Arial"/>
          <w:sz w:val="22"/>
          <w:szCs w:val="22"/>
        </w:rPr>
        <w:t>la tabella relativa ai parametri di riscontro della situazione di deficitarietà strutturale prevista dalle disposizioni vigenti in materia (D.M. 18/2/2013)</w:t>
      </w:r>
      <w:r w:rsidR="00D53252" w:rsidRPr="00475715">
        <w:rPr>
          <w:rFonts w:ascii="Arial" w:hAnsi="Arial" w:cs="Arial"/>
          <w:sz w:val="22"/>
          <w:szCs w:val="22"/>
        </w:rPr>
        <w:t xml:space="preserve"> e </w:t>
      </w:r>
      <w:r w:rsidRPr="00475715">
        <w:rPr>
          <w:rFonts w:ascii="Arial" w:hAnsi="Arial" w:cs="Arial"/>
          <w:sz w:val="22"/>
          <w:szCs w:val="22"/>
        </w:rPr>
        <w:t>gli otto parametri individuati dall’Osservatorio</w:t>
      </w:r>
      <w:r w:rsidR="00D53252" w:rsidRPr="00475715">
        <w:rPr>
          <w:rFonts w:ascii="Arial" w:hAnsi="Arial" w:cs="Arial"/>
          <w:sz w:val="22"/>
          <w:szCs w:val="22"/>
        </w:rPr>
        <w:t xml:space="preserve"> sulla finanza e contabilità locale del Ministero dell’Interno </w:t>
      </w:r>
      <w:r w:rsidR="00D53252" w:rsidRPr="00475715">
        <w:rPr>
          <w:rFonts w:ascii="Arial" w:hAnsi="Arial" w:cs="Arial"/>
          <w:sz w:val="22"/>
          <w:szCs w:val="22"/>
        </w:rPr>
        <w:lastRenderedPageBreak/>
        <w:t>con atto di indirizzo del 20/02/2018 e</w:t>
      </w:r>
      <w:r w:rsidRPr="00475715">
        <w:rPr>
          <w:rFonts w:ascii="Arial" w:hAnsi="Arial" w:cs="Arial"/>
          <w:sz w:val="22"/>
          <w:szCs w:val="22"/>
        </w:rPr>
        <w:t xml:space="preserve"> a</w:t>
      </w:r>
      <w:r w:rsidR="00193C38" w:rsidRPr="00475715">
        <w:rPr>
          <w:rFonts w:ascii="Arial" w:hAnsi="Arial" w:cs="Arial"/>
          <w:sz w:val="22"/>
          <w:szCs w:val="22"/>
        </w:rPr>
        <w:t xml:space="preserve">pprovati Decreto interministeriale </w:t>
      </w:r>
      <w:r w:rsidR="005D5C5F">
        <w:rPr>
          <w:rFonts w:ascii="Arial" w:hAnsi="Arial" w:cs="Arial"/>
          <w:sz w:val="22"/>
          <w:szCs w:val="22"/>
        </w:rPr>
        <w:t xml:space="preserve">Ministero </w:t>
      </w:r>
      <w:r w:rsidR="00193C38" w:rsidRPr="00475715">
        <w:rPr>
          <w:rFonts w:ascii="Arial" w:hAnsi="Arial" w:cs="Arial"/>
          <w:sz w:val="22"/>
          <w:szCs w:val="22"/>
        </w:rPr>
        <w:t>Interno e M</w:t>
      </w:r>
      <w:r w:rsidR="005D5C5F">
        <w:rPr>
          <w:rFonts w:ascii="Arial" w:hAnsi="Arial" w:cs="Arial"/>
          <w:sz w:val="22"/>
          <w:szCs w:val="22"/>
        </w:rPr>
        <w:t>inistero Economia del</w:t>
      </w:r>
      <w:r w:rsidR="00193C38" w:rsidRPr="00475715">
        <w:rPr>
          <w:rFonts w:ascii="Arial" w:hAnsi="Arial" w:cs="Arial"/>
          <w:sz w:val="22"/>
          <w:szCs w:val="22"/>
        </w:rPr>
        <w:t xml:space="preserve"> 28 dicembre 2018</w:t>
      </w:r>
      <w:r w:rsidR="005D5C5F" w:rsidRPr="005D5C5F">
        <w:rPr>
          <w:rFonts w:ascii="Arial" w:hAnsi="Arial" w:cs="Arial"/>
          <w:sz w:val="22"/>
          <w:szCs w:val="22"/>
        </w:rPr>
        <w:t>;</w:t>
      </w:r>
    </w:p>
    <w:p w:rsidR="00264EAF" w:rsidRPr="00475715" w:rsidRDefault="00475715" w:rsidP="00475715">
      <w:pPr>
        <w:tabs>
          <w:tab w:val="left" w:pos="360"/>
          <w:tab w:val="left" w:pos="426"/>
        </w:tabs>
        <w:spacing w:after="120"/>
        <w:ind w:left="851"/>
        <w:jc w:val="both"/>
        <w:rPr>
          <w:rFonts w:ascii="Arial" w:hAnsi="Arial" w:cs="Arial"/>
          <w:i/>
          <w:color w:val="00B0F0"/>
          <w:sz w:val="22"/>
          <w:szCs w:val="22"/>
        </w:rPr>
      </w:pPr>
      <w:r w:rsidRPr="00475715">
        <w:rPr>
          <w:rFonts w:ascii="Arial" w:hAnsi="Arial" w:cs="Arial"/>
          <w:i/>
          <w:color w:val="00B0F0"/>
          <w:sz w:val="22"/>
          <w:szCs w:val="22"/>
        </w:rPr>
        <w:t>(Questi parametri</w:t>
      </w:r>
      <w:r w:rsidR="00193C38" w:rsidRPr="00475715">
        <w:rPr>
          <w:rFonts w:ascii="Arial" w:hAnsi="Arial" w:cs="Arial"/>
          <w:i/>
          <w:color w:val="00B0F0"/>
          <w:sz w:val="22"/>
          <w:szCs w:val="22"/>
        </w:rPr>
        <w:t xml:space="preserve"> sono</w:t>
      </w:r>
      <w:r w:rsidR="000D5764" w:rsidRPr="00475715">
        <w:rPr>
          <w:rFonts w:ascii="Arial" w:hAnsi="Arial" w:cs="Arial"/>
          <w:i/>
          <w:color w:val="00B0F0"/>
          <w:sz w:val="22"/>
          <w:szCs w:val="22"/>
        </w:rPr>
        <w:t xml:space="preserve"> già inseriti </w:t>
      </w:r>
      <w:r>
        <w:rPr>
          <w:rFonts w:ascii="Arial" w:hAnsi="Arial" w:cs="Arial"/>
          <w:i/>
          <w:color w:val="00B0F0"/>
          <w:sz w:val="22"/>
          <w:szCs w:val="22"/>
        </w:rPr>
        <w:t xml:space="preserve">nel </w:t>
      </w:r>
      <w:r w:rsidR="005D790B" w:rsidRPr="00475715">
        <w:rPr>
          <w:rFonts w:ascii="Arial" w:hAnsi="Arial" w:cs="Arial"/>
          <w:i/>
          <w:color w:val="00B0F0"/>
          <w:sz w:val="22"/>
          <w:szCs w:val="22"/>
        </w:rPr>
        <w:t>decreto del M</w:t>
      </w:r>
      <w:r w:rsidR="000D5764" w:rsidRPr="00475715">
        <w:rPr>
          <w:rFonts w:ascii="Arial" w:hAnsi="Arial" w:cs="Arial"/>
          <w:i/>
          <w:color w:val="00B0F0"/>
          <w:sz w:val="22"/>
          <w:szCs w:val="22"/>
        </w:rPr>
        <w:t xml:space="preserve">inistero dell'Interno </w:t>
      </w:r>
      <w:r>
        <w:rPr>
          <w:rFonts w:ascii="Arial" w:hAnsi="Arial" w:cs="Arial"/>
          <w:i/>
          <w:color w:val="00B0F0"/>
          <w:sz w:val="22"/>
          <w:szCs w:val="22"/>
        </w:rPr>
        <w:t xml:space="preserve">del 17 aprile 2017, </w:t>
      </w:r>
      <w:r w:rsidR="000D5764" w:rsidRPr="00475715">
        <w:rPr>
          <w:rFonts w:ascii="Arial" w:hAnsi="Arial" w:cs="Arial"/>
          <w:i/>
          <w:color w:val="00B0F0"/>
          <w:sz w:val="22"/>
          <w:szCs w:val="22"/>
        </w:rPr>
        <w:t>pubblicato sulla Gazzetta Uff</w:t>
      </w:r>
      <w:r>
        <w:rPr>
          <w:rFonts w:ascii="Arial" w:hAnsi="Arial" w:cs="Arial"/>
          <w:i/>
          <w:color w:val="00B0F0"/>
          <w:sz w:val="22"/>
          <w:szCs w:val="22"/>
        </w:rPr>
        <w:t>iciale del 30 aprile 2018 n. 99,</w:t>
      </w:r>
      <w:r w:rsidR="00D72940" w:rsidRPr="00475715">
        <w:rPr>
          <w:rFonts w:ascii="Arial" w:hAnsi="Arial" w:cs="Arial"/>
          <w:i/>
          <w:color w:val="00B0F0"/>
          <w:sz w:val="22"/>
          <w:szCs w:val="22"/>
        </w:rPr>
        <w:t xml:space="preserve"> sulla certificazione del rendiconto 2017</w:t>
      </w:r>
      <w:r w:rsidR="00193C38" w:rsidRPr="00475715">
        <w:rPr>
          <w:rFonts w:ascii="Arial" w:hAnsi="Arial" w:cs="Arial"/>
          <w:i/>
          <w:color w:val="00B0F0"/>
          <w:sz w:val="22"/>
          <w:szCs w:val="22"/>
        </w:rPr>
        <w:t xml:space="preserve"> ma, l’obbligo d</w:t>
      </w:r>
      <w:r>
        <w:rPr>
          <w:rFonts w:ascii="Arial" w:hAnsi="Arial" w:cs="Arial"/>
          <w:i/>
          <w:color w:val="00B0F0"/>
          <w:sz w:val="22"/>
          <w:szCs w:val="22"/>
        </w:rPr>
        <w:t>i applicazione decorre dal 2019 e</w:t>
      </w:r>
      <w:r w:rsidR="00193C38" w:rsidRPr="00475715">
        <w:rPr>
          <w:rFonts w:ascii="Arial" w:hAnsi="Arial" w:cs="Arial"/>
          <w:i/>
          <w:color w:val="00B0F0"/>
          <w:sz w:val="22"/>
          <w:szCs w:val="22"/>
        </w:rPr>
        <w:t xml:space="preserve"> verranno utilizzati per la prima volta a partire dagli adempimenti relativi al rendiconto della gestione 2018 e del bilancio di previsione 2020/2022</w:t>
      </w:r>
      <w:r>
        <w:rPr>
          <w:rFonts w:ascii="Arial" w:hAnsi="Arial" w:cs="Arial"/>
          <w:i/>
          <w:color w:val="00B0F0"/>
          <w:sz w:val="22"/>
          <w:szCs w:val="22"/>
        </w:rPr>
        <w:t>)</w:t>
      </w:r>
    </w:p>
    <w:p w:rsidR="00264EAF" w:rsidRPr="002A54B8" w:rsidRDefault="00202FC9" w:rsidP="002A54B8">
      <w:pPr>
        <w:pStyle w:val="Paragrafoelenco"/>
        <w:tabs>
          <w:tab w:val="left" w:pos="360"/>
          <w:tab w:val="left" w:pos="426"/>
        </w:tabs>
        <w:spacing w:after="120"/>
        <w:ind w:left="851"/>
        <w:jc w:val="both"/>
        <w:rPr>
          <w:rFonts w:ascii="Arial" w:hAnsi="Arial" w:cs="Arial"/>
          <w:sz w:val="22"/>
          <w:szCs w:val="22"/>
        </w:rPr>
      </w:pPr>
      <w:r>
        <w:rPr>
          <w:rFonts w:ascii="Arial" w:hAnsi="Arial" w:cs="Arial"/>
          <w:sz w:val="22"/>
          <w:szCs w:val="22"/>
        </w:rPr>
        <w:t xml:space="preserve">- </w:t>
      </w:r>
      <w:r w:rsidR="00264EAF" w:rsidRPr="00AF1D75">
        <w:rPr>
          <w:rFonts w:ascii="Arial" w:hAnsi="Arial" w:cs="Arial"/>
          <w:sz w:val="22"/>
          <w:szCs w:val="22"/>
        </w:rPr>
        <w:t xml:space="preserve">il prospetto della concordanza tra bilancio di previsione e rispetto degli equilibri di bilancio secondo lo schema allegato al </w:t>
      </w:r>
      <w:hyperlink r:id="rId14" w:history="1">
        <w:r w:rsidR="00264EAF" w:rsidRPr="00D53252">
          <w:rPr>
            <w:rStyle w:val="Collegamentoipertestuale"/>
            <w:rFonts w:ascii="Arial" w:hAnsi="Arial" w:cs="Arial"/>
            <w:color w:val="auto"/>
            <w:sz w:val="22"/>
            <w:szCs w:val="22"/>
            <w:u w:val="none"/>
          </w:rPr>
          <w:t>D. Lgs. n.118/2011</w:t>
        </w:r>
      </w:hyperlink>
      <w:r w:rsidR="00264EAF" w:rsidRPr="00AF1D75">
        <w:t>;</w:t>
      </w:r>
    </w:p>
    <w:p w:rsidR="00202FC9" w:rsidRPr="00AF1D75" w:rsidRDefault="00202FC9" w:rsidP="002A54B8">
      <w:pPr>
        <w:pStyle w:val="Paragrafoelenco"/>
        <w:tabs>
          <w:tab w:val="left" w:pos="360"/>
          <w:tab w:val="left" w:pos="426"/>
        </w:tabs>
        <w:spacing w:after="120"/>
        <w:ind w:left="851"/>
        <w:jc w:val="both"/>
        <w:rPr>
          <w:rFonts w:ascii="Arial" w:hAnsi="Arial" w:cs="Arial"/>
          <w:sz w:val="22"/>
          <w:szCs w:val="22"/>
        </w:rPr>
      </w:pPr>
      <w:r>
        <w:rPr>
          <w:rFonts w:ascii="Arial" w:hAnsi="Arial" w:cs="Arial"/>
          <w:sz w:val="22"/>
          <w:szCs w:val="22"/>
        </w:rPr>
        <w:t xml:space="preserve">- il </w:t>
      </w:r>
      <w:r w:rsidRPr="002A54B8">
        <w:rPr>
          <w:rFonts w:ascii="Arial" w:hAnsi="Arial" w:cs="Arial"/>
          <w:sz w:val="22"/>
          <w:szCs w:val="22"/>
        </w:rPr>
        <w:t xml:space="preserve">«Piano degli indicatori e dei risultati attesi di bilancio» </w:t>
      </w:r>
      <w:r>
        <w:rPr>
          <w:rFonts w:ascii="Arial" w:hAnsi="Arial" w:cs="Arial"/>
          <w:sz w:val="22"/>
          <w:szCs w:val="22"/>
        </w:rPr>
        <w:t>previsto dal</w:t>
      </w:r>
      <w:r w:rsidRPr="002A54B8">
        <w:rPr>
          <w:rFonts w:ascii="Arial" w:hAnsi="Arial" w:cs="Arial"/>
          <w:sz w:val="22"/>
          <w:szCs w:val="22"/>
        </w:rPr>
        <w:t>l’articolo 18-bis del decreto legislativo n. 118 del 2011</w:t>
      </w:r>
      <w:r>
        <w:rPr>
          <w:rFonts w:ascii="Arial" w:hAnsi="Arial" w:cs="Arial"/>
          <w:sz w:val="22"/>
          <w:szCs w:val="22"/>
        </w:rPr>
        <w:t>;</w:t>
      </w:r>
    </w:p>
    <w:p w:rsidR="00264EAF" w:rsidRPr="00D80990" w:rsidRDefault="00264EAF" w:rsidP="00264EAF">
      <w:pPr>
        <w:numPr>
          <w:ilvl w:val="0"/>
          <w:numId w:val="1"/>
        </w:numPr>
        <w:tabs>
          <w:tab w:val="left" w:pos="360"/>
          <w:tab w:val="left" w:pos="426"/>
        </w:tabs>
        <w:spacing w:after="120"/>
        <w:ind w:firstLine="207"/>
        <w:jc w:val="both"/>
        <w:rPr>
          <w:rFonts w:ascii="Arial" w:hAnsi="Arial" w:cs="Arial"/>
          <w:sz w:val="22"/>
          <w:szCs w:val="22"/>
        </w:rPr>
      </w:pPr>
      <w:r w:rsidRPr="00D80990">
        <w:rPr>
          <w:rFonts w:ascii="Arial" w:hAnsi="Arial" w:cs="Arial"/>
          <w:sz w:val="22"/>
          <w:szCs w:val="22"/>
          <w:u w:val="single"/>
        </w:rPr>
        <w:t>necessari per l’espressione del parere</w:t>
      </w:r>
      <w:r w:rsidRPr="00D80990">
        <w:rPr>
          <w:rFonts w:ascii="Arial" w:hAnsi="Arial" w:cs="Arial"/>
          <w:sz w:val="22"/>
          <w:szCs w:val="22"/>
        </w:rPr>
        <w:t>:</w:t>
      </w:r>
    </w:p>
    <w:p w:rsidR="00264EAF" w:rsidRPr="00D80990" w:rsidRDefault="00264EAF" w:rsidP="00264EAF">
      <w:pPr>
        <w:pStyle w:val="Paragrafoelenco"/>
        <w:numPr>
          <w:ilvl w:val="0"/>
          <w:numId w:val="37"/>
        </w:numPr>
        <w:tabs>
          <w:tab w:val="left" w:pos="851"/>
        </w:tabs>
        <w:spacing w:after="120"/>
        <w:ind w:left="1134" w:hanging="283"/>
        <w:jc w:val="both"/>
        <w:rPr>
          <w:rFonts w:ascii="Arial" w:hAnsi="Arial" w:cs="Arial"/>
          <w:sz w:val="22"/>
          <w:szCs w:val="22"/>
        </w:rPr>
      </w:pPr>
      <w:r w:rsidRPr="00D80990">
        <w:rPr>
          <w:rFonts w:ascii="Arial" w:hAnsi="Arial" w:cs="Arial"/>
          <w:sz w:val="22"/>
          <w:szCs w:val="22"/>
        </w:rPr>
        <w:t>il documento unico di programmazione (DUP) e la nota di aggiornamento dello stesso predisposti conformemente all’art.170 del D.Lgs.267/2000 dalla Giunta;</w:t>
      </w:r>
    </w:p>
    <w:p w:rsidR="00264EAF" w:rsidRPr="00D80990" w:rsidRDefault="00264EAF" w:rsidP="00264EAF">
      <w:pPr>
        <w:pStyle w:val="Corpodeltesto21"/>
        <w:numPr>
          <w:ilvl w:val="0"/>
          <w:numId w:val="37"/>
        </w:numPr>
        <w:ind w:left="1134" w:hanging="283"/>
        <w:rPr>
          <w:rFonts w:cs="Arial"/>
          <w:b w:val="0"/>
          <w:i w:val="0"/>
          <w:sz w:val="22"/>
          <w:szCs w:val="22"/>
        </w:rPr>
      </w:pPr>
      <w:r w:rsidRPr="00D80990">
        <w:rPr>
          <w:rFonts w:cs="Arial"/>
          <w:b w:val="0"/>
          <w:sz w:val="22"/>
          <w:szCs w:val="22"/>
        </w:rPr>
        <w:t>(</w:t>
      </w:r>
      <w:r w:rsidRPr="00AF1D75">
        <w:rPr>
          <w:rFonts w:cs="Arial"/>
          <w:b w:val="0"/>
          <w:sz w:val="22"/>
          <w:szCs w:val="22"/>
        </w:rPr>
        <w:t>se non contenuto nel DUP</w:t>
      </w:r>
      <w:r w:rsidRPr="00D80990">
        <w:rPr>
          <w:rFonts w:cs="Arial"/>
          <w:b w:val="0"/>
          <w:sz w:val="22"/>
          <w:szCs w:val="22"/>
        </w:rPr>
        <w:t xml:space="preserve">) </w:t>
      </w:r>
      <w:r w:rsidRPr="00D80990">
        <w:rPr>
          <w:rFonts w:cs="Arial"/>
          <w:b w:val="0"/>
          <w:i w:val="0"/>
          <w:sz w:val="22"/>
          <w:szCs w:val="22"/>
        </w:rPr>
        <w:t>il programma triennale dei lavori pubblici e l’elenco annuale dei lavori pubblici di cui all’art.21</w:t>
      </w:r>
      <w:r w:rsidRPr="00D80990">
        <w:rPr>
          <w:rStyle w:val="Collegamentoipertestuale"/>
          <w:rFonts w:cs="Arial"/>
          <w:b w:val="0"/>
          <w:i w:val="0"/>
          <w:color w:val="auto"/>
          <w:sz w:val="22"/>
          <w:szCs w:val="22"/>
          <w:u w:val="none"/>
        </w:rPr>
        <w:t xml:space="preserve"> del D. Lgs. 50/2016secondo lo schema approvato con Decreto del Ministero delle Infrastrutture e dei Trasporti n. 14 del 16 gennaio 2018</w:t>
      </w:r>
      <w:r w:rsidRPr="00D80990">
        <w:rPr>
          <w:rFonts w:cs="Arial"/>
          <w:b w:val="0"/>
          <w:i w:val="0"/>
          <w:sz w:val="22"/>
          <w:szCs w:val="22"/>
        </w:rPr>
        <w:t>;</w:t>
      </w:r>
    </w:p>
    <w:p w:rsidR="00264EAF" w:rsidRPr="00D80990" w:rsidRDefault="00264EAF" w:rsidP="00264EAF">
      <w:pPr>
        <w:pStyle w:val="Corpodeltesto"/>
        <w:numPr>
          <w:ilvl w:val="0"/>
          <w:numId w:val="37"/>
        </w:numPr>
        <w:ind w:left="1134" w:hanging="283"/>
        <w:rPr>
          <w:rFonts w:cs="Arial"/>
          <w:sz w:val="22"/>
          <w:szCs w:val="22"/>
        </w:rPr>
      </w:pPr>
      <w:r w:rsidRPr="00D80990">
        <w:rPr>
          <w:rFonts w:cs="Arial"/>
          <w:i/>
          <w:sz w:val="22"/>
          <w:szCs w:val="22"/>
        </w:rPr>
        <w:t>(</w:t>
      </w:r>
      <w:r w:rsidRPr="00AF1D75">
        <w:rPr>
          <w:rFonts w:cs="Arial"/>
          <w:i/>
          <w:sz w:val="22"/>
          <w:szCs w:val="22"/>
        </w:rPr>
        <w:t>se non contenuta nel DUP</w:t>
      </w:r>
      <w:r w:rsidRPr="00D80990">
        <w:rPr>
          <w:rFonts w:cs="Arial"/>
          <w:i/>
          <w:sz w:val="22"/>
          <w:szCs w:val="22"/>
        </w:rPr>
        <w:t xml:space="preserve">) </w:t>
      </w:r>
      <w:r w:rsidRPr="00D80990">
        <w:rPr>
          <w:rFonts w:cs="Arial"/>
          <w:sz w:val="22"/>
          <w:szCs w:val="22"/>
        </w:rPr>
        <w:t>la delibera di approvazione della programmazione triennale del fabbisogno di personale (</w:t>
      </w:r>
      <w:r w:rsidR="00D53252">
        <w:rPr>
          <w:rFonts w:cs="Arial"/>
          <w:kern w:val="0"/>
          <w:sz w:val="22"/>
          <w:szCs w:val="22"/>
        </w:rPr>
        <w:t xml:space="preserve">art. 91 </w:t>
      </w:r>
      <w:r w:rsidR="00E90960">
        <w:rPr>
          <w:rFonts w:cs="Arial"/>
          <w:kern w:val="0"/>
          <w:sz w:val="22"/>
          <w:szCs w:val="22"/>
        </w:rPr>
        <w:t xml:space="preserve">del </w:t>
      </w:r>
      <w:r w:rsidR="005D5C5F">
        <w:rPr>
          <w:rFonts w:cs="Arial"/>
          <w:kern w:val="0"/>
          <w:sz w:val="22"/>
          <w:szCs w:val="22"/>
        </w:rPr>
        <w:t>D.</w:t>
      </w:r>
      <w:r w:rsidR="00D53252">
        <w:rPr>
          <w:rFonts w:cs="Arial"/>
          <w:kern w:val="0"/>
          <w:sz w:val="22"/>
          <w:szCs w:val="22"/>
        </w:rPr>
        <w:t xml:space="preserve">Lgs. 267/2000, </w:t>
      </w:r>
      <w:r w:rsidRPr="00D80990">
        <w:rPr>
          <w:rFonts w:cs="Arial"/>
          <w:kern w:val="0"/>
          <w:sz w:val="22"/>
          <w:szCs w:val="22"/>
        </w:rPr>
        <w:t xml:space="preserve">art. 6 ter </w:t>
      </w:r>
      <w:r w:rsidR="00E90960">
        <w:rPr>
          <w:rFonts w:cs="Arial"/>
          <w:kern w:val="0"/>
          <w:sz w:val="22"/>
          <w:szCs w:val="22"/>
        </w:rPr>
        <w:t xml:space="preserve">del </w:t>
      </w:r>
      <w:r w:rsidRPr="00D80990">
        <w:rPr>
          <w:rFonts w:cs="Arial"/>
          <w:kern w:val="0"/>
          <w:sz w:val="22"/>
          <w:szCs w:val="22"/>
        </w:rPr>
        <w:t xml:space="preserve">D.Lgs. 165/2001, art. 35 comma 4 </w:t>
      </w:r>
      <w:r w:rsidR="00E90960">
        <w:rPr>
          <w:rFonts w:cs="Arial"/>
          <w:kern w:val="0"/>
          <w:sz w:val="22"/>
          <w:szCs w:val="22"/>
        </w:rPr>
        <w:t xml:space="preserve">del </w:t>
      </w:r>
      <w:r w:rsidRPr="00D80990">
        <w:rPr>
          <w:rFonts w:cs="Arial"/>
          <w:kern w:val="0"/>
          <w:sz w:val="22"/>
          <w:szCs w:val="22"/>
        </w:rPr>
        <w:t xml:space="preserve">D.Lgs. 165/2001 e art. 19 </w:t>
      </w:r>
      <w:r w:rsidRPr="00AF1D75">
        <w:rPr>
          <w:rFonts w:cs="Arial"/>
          <w:kern w:val="0"/>
          <w:sz w:val="22"/>
          <w:szCs w:val="22"/>
        </w:rPr>
        <w:t xml:space="preserve">comma 8 </w:t>
      </w:r>
      <w:r w:rsidR="00E90960">
        <w:rPr>
          <w:rFonts w:cs="Arial"/>
          <w:kern w:val="0"/>
          <w:sz w:val="22"/>
          <w:szCs w:val="22"/>
        </w:rPr>
        <w:t>della Legge</w:t>
      </w:r>
      <w:r w:rsidR="00D0382F">
        <w:rPr>
          <w:rFonts w:cs="Arial"/>
          <w:kern w:val="0"/>
          <w:sz w:val="22"/>
          <w:szCs w:val="22"/>
        </w:rPr>
        <w:t xml:space="preserve">n. </w:t>
      </w:r>
      <w:r w:rsidRPr="00AF1D75">
        <w:rPr>
          <w:rFonts w:cs="Arial"/>
          <w:kern w:val="0"/>
          <w:sz w:val="22"/>
          <w:szCs w:val="22"/>
        </w:rPr>
        <w:t>448/2001) secondo le "Linee di indirizzo per la predisposizione dei piani dei fabbisogni di personale da parte della PA" emanate in data 08 maggio 2018 da parte del Ministro per la semplificazione e la pubblica amministrazione, registrate dalla Corte dei Conti – Reg.ne – Prev. n. 1477 del 09/07/2018 – nota avviso n. 0026020 del 9 luglio 2018;</w:t>
      </w:r>
    </w:p>
    <w:p w:rsidR="00264EAF" w:rsidRPr="00D80990" w:rsidRDefault="00264EAF" w:rsidP="00264EAF">
      <w:pPr>
        <w:pStyle w:val="Corpodeltesto21"/>
        <w:numPr>
          <w:ilvl w:val="0"/>
          <w:numId w:val="38"/>
        </w:numPr>
        <w:ind w:left="1134" w:hanging="283"/>
        <w:rPr>
          <w:rFonts w:cs="Arial"/>
          <w:b w:val="0"/>
          <w:i w:val="0"/>
          <w:sz w:val="22"/>
          <w:szCs w:val="22"/>
        </w:rPr>
      </w:pPr>
      <w:r w:rsidRPr="00D80990">
        <w:rPr>
          <w:rFonts w:cs="Arial"/>
          <w:b w:val="0"/>
          <w:i w:val="0"/>
          <w:sz w:val="22"/>
          <w:szCs w:val="22"/>
        </w:rPr>
        <w:t>la delibera di Giunta di destinazione della parte vincolata dei proventi per sanzioni alle norme del codice della strada;</w:t>
      </w:r>
    </w:p>
    <w:p w:rsidR="00264EAF" w:rsidRPr="00D80990" w:rsidRDefault="00264EAF" w:rsidP="00264EAF">
      <w:pPr>
        <w:pStyle w:val="Paragrafoelenco"/>
        <w:numPr>
          <w:ilvl w:val="0"/>
          <w:numId w:val="38"/>
        </w:numPr>
        <w:tabs>
          <w:tab w:val="left" w:pos="851"/>
        </w:tabs>
        <w:spacing w:after="120"/>
        <w:ind w:left="1134" w:hanging="283"/>
        <w:jc w:val="both"/>
        <w:rPr>
          <w:rFonts w:ascii="Arial" w:hAnsi="Arial" w:cs="Arial"/>
          <w:sz w:val="22"/>
          <w:szCs w:val="22"/>
        </w:rPr>
      </w:pPr>
      <w:r w:rsidRPr="00D80990">
        <w:rPr>
          <w:rFonts w:ascii="Arial" w:hAnsi="Arial" w:cs="Arial"/>
          <w:sz w:val="22"/>
          <w:szCs w:val="22"/>
        </w:rPr>
        <w:t xml:space="preserve">la proposta delibera del Consiglio di conferma o variazione delle aliquote e tariffe per i tributi locali; </w:t>
      </w:r>
    </w:p>
    <w:p w:rsidR="00264EAF" w:rsidRPr="00AF1D75" w:rsidRDefault="00264EAF" w:rsidP="00264EAF">
      <w:pPr>
        <w:pStyle w:val="Corpodeltesto21"/>
        <w:numPr>
          <w:ilvl w:val="0"/>
          <w:numId w:val="38"/>
        </w:numPr>
        <w:ind w:left="1134" w:hanging="283"/>
        <w:rPr>
          <w:rFonts w:cs="Arial"/>
          <w:b w:val="0"/>
          <w:i w:val="0"/>
          <w:sz w:val="22"/>
          <w:szCs w:val="22"/>
        </w:rPr>
      </w:pPr>
      <w:r w:rsidRPr="00AF1D75">
        <w:rPr>
          <w:rFonts w:cs="Arial"/>
          <w:b w:val="0"/>
          <w:sz w:val="22"/>
          <w:szCs w:val="22"/>
        </w:rPr>
        <w:t xml:space="preserve">(se non contenuto nel DUP) </w:t>
      </w:r>
      <w:r w:rsidRPr="00AF1D75">
        <w:rPr>
          <w:rFonts w:cs="Arial"/>
          <w:b w:val="0"/>
          <w:i w:val="0"/>
          <w:sz w:val="22"/>
          <w:szCs w:val="22"/>
        </w:rPr>
        <w:t xml:space="preserve">ilpiano triennale di contenimento delle spese di cui all’art. 2 commi 594 e 599 </w:t>
      </w:r>
      <w:r w:rsidR="00E90960">
        <w:rPr>
          <w:rFonts w:cs="Arial"/>
          <w:b w:val="0"/>
          <w:i w:val="0"/>
          <w:sz w:val="22"/>
          <w:szCs w:val="22"/>
        </w:rPr>
        <w:t xml:space="preserve">della </w:t>
      </w:r>
      <w:r w:rsidRPr="00AF1D75">
        <w:rPr>
          <w:rFonts w:cs="Arial"/>
          <w:b w:val="0"/>
          <w:i w:val="0"/>
          <w:sz w:val="22"/>
          <w:szCs w:val="22"/>
        </w:rPr>
        <w:t>L</w:t>
      </w:r>
      <w:r w:rsidR="00E90960">
        <w:rPr>
          <w:rFonts w:cs="Arial"/>
          <w:b w:val="0"/>
          <w:i w:val="0"/>
          <w:sz w:val="22"/>
          <w:szCs w:val="22"/>
        </w:rPr>
        <w:t xml:space="preserve">egge </w:t>
      </w:r>
      <w:r w:rsidR="00D0382F">
        <w:rPr>
          <w:rFonts w:cs="Arial"/>
          <w:b w:val="0"/>
          <w:i w:val="0"/>
          <w:sz w:val="22"/>
          <w:szCs w:val="22"/>
        </w:rPr>
        <w:t>n.</w:t>
      </w:r>
      <w:r w:rsidRPr="00AF1D75">
        <w:rPr>
          <w:rFonts w:cs="Arial"/>
          <w:b w:val="0"/>
          <w:i w:val="0"/>
          <w:sz w:val="22"/>
          <w:szCs w:val="22"/>
        </w:rPr>
        <w:t>244/2007;</w:t>
      </w:r>
    </w:p>
    <w:p w:rsidR="00264EAF" w:rsidRPr="00AF1D75" w:rsidRDefault="00264EAF" w:rsidP="00264EAF">
      <w:pPr>
        <w:pStyle w:val="Corpodeltesto21"/>
        <w:numPr>
          <w:ilvl w:val="0"/>
          <w:numId w:val="38"/>
        </w:numPr>
        <w:tabs>
          <w:tab w:val="left" w:pos="862"/>
        </w:tabs>
        <w:ind w:left="1134" w:hanging="283"/>
        <w:rPr>
          <w:rFonts w:cs="Arial"/>
          <w:b w:val="0"/>
          <w:i w:val="0"/>
          <w:sz w:val="22"/>
          <w:szCs w:val="22"/>
        </w:rPr>
      </w:pPr>
      <w:r w:rsidRPr="00AF1D75">
        <w:rPr>
          <w:rFonts w:cs="Arial"/>
          <w:b w:val="0"/>
          <w:sz w:val="22"/>
          <w:szCs w:val="22"/>
        </w:rPr>
        <w:t xml:space="preserve">(se non contenuto nel DUP) </w:t>
      </w:r>
      <w:r w:rsidRPr="00AF1D75">
        <w:rPr>
          <w:rFonts w:cs="Arial"/>
          <w:b w:val="0"/>
          <w:i w:val="0"/>
          <w:sz w:val="22"/>
          <w:szCs w:val="22"/>
        </w:rPr>
        <w:t xml:space="preserve">il piano delle alienazioni e valorizzazioni immobiliari (art.58, comma 1 </w:t>
      </w:r>
      <w:r w:rsidR="00D0382F">
        <w:rPr>
          <w:rFonts w:cs="Arial"/>
          <w:b w:val="0"/>
          <w:i w:val="0"/>
          <w:sz w:val="22"/>
          <w:szCs w:val="22"/>
        </w:rPr>
        <w:t xml:space="preserve">del </w:t>
      </w:r>
      <w:r w:rsidRPr="00AF1D75">
        <w:rPr>
          <w:rFonts w:cs="Arial"/>
          <w:b w:val="0"/>
          <w:i w:val="0"/>
          <w:sz w:val="22"/>
          <w:szCs w:val="22"/>
        </w:rPr>
        <w:t>D.L.112/2008);</w:t>
      </w:r>
    </w:p>
    <w:p w:rsidR="00264EAF" w:rsidRPr="00AF1D75" w:rsidRDefault="00264EAF" w:rsidP="00264EAF">
      <w:pPr>
        <w:pStyle w:val="Corpodeltesto21"/>
        <w:numPr>
          <w:ilvl w:val="0"/>
          <w:numId w:val="38"/>
        </w:numPr>
        <w:ind w:left="1134" w:hanging="283"/>
        <w:rPr>
          <w:rFonts w:cs="Arial"/>
          <w:b w:val="0"/>
          <w:i w:val="0"/>
          <w:sz w:val="22"/>
          <w:szCs w:val="22"/>
        </w:rPr>
      </w:pPr>
      <w:r w:rsidRPr="00AF1D75">
        <w:rPr>
          <w:rFonts w:cs="Arial"/>
          <w:b w:val="0"/>
          <w:sz w:val="22"/>
          <w:szCs w:val="22"/>
        </w:rPr>
        <w:t xml:space="preserve">(se non contenuto nel DUP) </w:t>
      </w:r>
      <w:r w:rsidRPr="00AF1D75">
        <w:rPr>
          <w:rFonts w:cs="Arial"/>
          <w:b w:val="0"/>
          <w:i w:val="0"/>
          <w:sz w:val="22"/>
          <w:szCs w:val="22"/>
        </w:rPr>
        <w:t xml:space="preserve">il programma biennale forniture servizi 2019-2020 di cui all’art. 21 comma 6 </w:t>
      </w:r>
      <w:r w:rsidR="00D0382F">
        <w:rPr>
          <w:rFonts w:cs="Arial"/>
          <w:b w:val="0"/>
          <w:i w:val="0"/>
          <w:sz w:val="22"/>
          <w:szCs w:val="22"/>
        </w:rPr>
        <w:t xml:space="preserve">del </w:t>
      </w:r>
      <w:r w:rsidRPr="00AF1D75">
        <w:rPr>
          <w:rFonts w:cs="Arial"/>
          <w:b w:val="0"/>
          <w:i w:val="0"/>
          <w:sz w:val="22"/>
          <w:szCs w:val="22"/>
        </w:rPr>
        <w:t>D.Lgs. n.50/2016;</w:t>
      </w:r>
    </w:p>
    <w:p w:rsidR="00264EAF" w:rsidRPr="00AF1D75" w:rsidRDefault="00264EAF" w:rsidP="00264EAF">
      <w:pPr>
        <w:pStyle w:val="Corpodeltesto21"/>
        <w:numPr>
          <w:ilvl w:val="0"/>
          <w:numId w:val="38"/>
        </w:numPr>
        <w:ind w:left="1134" w:hanging="283"/>
        <w:rPr>
          <w:rFonts w:cs="Arial"/>
          <w:b w:val="0"/>
          <w:sz w:val="22"/>
          <w:szCs w:val="22"/>
        </w:rPr>
      </w:pPr>
      <w:r w:rsidRPr="00AF1D75">
        <w:rPr>
          <w:rFonts w:cs="Arial"/>
          <w:b w:val="0"/>
          <w:i w:val="0"/>
          <w:sz w:val="22"/>
          <w:szCs w:val="22"/>
        </w:rPr>
        <w:t xml:space="preserve">il programma delle collaborazioni autonome di cui all’art. 46 </w:t>
      </w:r>
      <w:r w:rsidR="00D0382F">
        <w:rPr>
          <w:rFonts w:cs="Arial"/>
          <w:b w:val="0"/>
          <w:i w:val="0"/>
          <w:sz w:val="22"/>
          <w:szCs w:val="22"/>
        </w:rPr>
        <w:t xml:space="preserve">del </w:t>
      </w:r>
      <w:r w:rsidR="005D5C5F">
        <w:rPr>
          <w:rFonts w:cs="Arial"/>
          <w:b w:val="0"/>
          <w:i w:val="0"/>
          <w:sz w:val="22"/>
          <w:szCs w:val="22"/>
        </w:rPr>
        <w:t>D.</w:t>
      </w:r>
      <w:r w:rsidRPr="00AF1D75">
        <w:rPr>
          <w:rFonts w:cs="Arial"/>
          <w:b w:val="0"/>
          <w:i w:val="0"/>
          <w:sz w:val="22"/>
          <w:szCs w:val="22"/>
        </w:rPr>
        <w:t>L. n.112/2008;</w:t>
      </w:r>
    </w:p>
    <w:p w:rsidR="00264EAF" w:rsidRPr="00AF1D75" w:rsidRDefault="00264EAF" w:rsidP="00264EAF">
      <w:pPr>
        <w:pStyle w:val="Corpodeltesto21"/>
        <w:numPr>
          <w:ilvl w:val="0"/>
          <w:numId w:val="38"/>
        </w:numPr>
        <w:ind w:left="1134" w:hanging="283"/>
        <w:rPr>
          <w:rFonts w:cs="Arial"/>
          <w:b w:val="0"/>
          <w:i w:val="0"/>
          <w:sz w:val="22"/>
          <w:szCs w:val="22"/>
        </w:rPr>
      </w:pPr>
      <w:r w:rsidRPr="00AF1D75">
        <w:rPr>
          <w:rFonts w:cs="Arial"/>
          <w:b w:val="0"/>
          <w:i w:val="0"/>
          <w:sz w:val="22"/>
          <w:szCs w:val="22"/>
        </w:rPr>
        <w:t xml:space="preserve">il limite massimo delle spese per incarichi di collaborazione di cui all’art. 46 comma 3 </w:t>
      </w:r>
      <w:r w:rsidR="00D0382F">
        <w:rPr>
          <w:rFonts w:cs="Arial"/>
          <w:b w:val="0"/>
          <w:i w:val="0"/>
          <w:sz w:val="22"/>
          <w:szCs w:val="22"/>
        </w:rPr>
        <w:t xml:space="preserve">del </w:t>
      </w:r>
      <w:r w:rsidRPr="00AF1D75">
        <w:rPr>
          <w:rFonts w:cs="Arial"/>
          <w:b w:val="0"/>
          <w:i w:val="0"/>
          <w:sz w:val="22"/>
          <w:szCs w:val="22"/>
        </w:rPr>
        <w:t xml:space="preserve">D.L. 112/2008; </w:t>
      </w:r>
    </w:p>
    <w:p w:rsidR="00264EAF" w:rsidRPr="00AF1D75" w:rsidRDefault="00264EAF" w:rsidP="00264EAF">
      <w:pPr>
        <w:pStyle w:val="Corpodeltesto21"/>
        <w:numPr>
          <w:ilvl w:val="0"/>
          <w:numId w:val="38"/>
        </w:numPr>
        <w:ind w:left="1134" w:hanging="283"/>
        <w:rPr>
          <w:rFonts w:cs="Arial"/>
          <w:b w:val="0"/>
          <w:i w:val="0"/>
          <w:sz w:val="22"/>
          <w:szCs w:val="22"/>
        </w:rPr>
      </w:pPr>
      <w:r w:rsidRPr="00AF1D75">
        <w:rPr>
          <w:rFonts w:cs="Arial"/>
          <w:b w:val="0"/>
          <w:i w:val="0"/>
          <w:sz w:val="22"/>
          <w:szCs w:val="22"/>
        </w:rPr>
        <w:t>il limite massimo delle spese per personale a tempo determinato, con convenzione e con collaborazioni coordinate e continuative, di cui all’art. 9 comma 28 del D.L.78/2010;</w:t>
      </w:r>
    </w:p>
    <w:p w:rsidR="00264EAF" w:rsidRPr="00D80990" w:rsidRDefault="00264EAF" w:rsidP="00264EAF">
      <w:pPr>
        <w:pStyle w:val="Corpodeltesto21"/>
        <w:numPr>
          <w:ilvl w:val="0"/>
          <w:numId w:val="38"/>
        </w:numPr>
        <w:ind w:left="1134" w:hanging="283"/>
        <w:rPr>
          <w:rFonts w:cs="Arial"/>
          <w:b w:val="0"/>
          <w:i w:val="0"/>
          <w:sz w:val="22"/>
          <w:szCs w:val="22"/>
        </w:rPr>
      </w:pPr>
      <w:r w:rsidRPr="00D80990">
        <w:rPr>
          <w:rFonts w:cs="Arial"/>
          <w:b w:val="0"/>
          <w:i w:val="0"/>
          <w:sz w:val="22"/>
          <w:szCs w:val="22"/>
        </w:rPr>
        <w:t xml:space="preserve">i limiti massimi di spesa disposti dagli art. 6 e 9 del D.L.78/2010 e da successive norme di finanza pubblica; </w:t>
      </w:r>
    </w:p>
    <w:p w:rsidR="00264EAF" w:rsidRPr="005D790B" w:rsidRDefault="00264EAF" w:rsidP="00264EAF">
      <w:pPr>
        <w:pStyle w:val="Corpodeltesto21"/>
        <w:numPr>
          <w:ilvl w:val="0"/>
          <w:numId w:val="38"/>
        </w:numPr>
        <w:ind w:left="1134" w:hanging="283"/>
        <w:rPr>
          <w:rFonts w:cs="Arial"/>
          <w:b w:val="0"/>
          <w:i w:val="0"/>
          <w:sz w:val="22"/>
          <w:szCs w:val="22"/>
        </w:rPr>
      </w:pPr>
      <w:r w:rsidRPr="00D80990">
        <w:rPr>
          <w:rFonts w:cs="Arial"/>
          <w:b w:val="0"/>
          <w:i w:val="0"/>
          <w:sz w:val="22"/>
          <w:szCs w:val="22"/>
        </w:rPr>
        <w:t xml:space="preserve">la sussistenza dei presupposti per le condizioni di cui </w:t>
      </w:r>
      <w:r w:rsidR="00D72940" w:rsidRPr="005D790B">
        <w:rPr>
          <w:rFonts w:cs="Arial"/>
          <w:b w:val="0"/>
          <w:i w:val="0"/>
          <w:sz w:val="22"/>
          <w:szCs w:val="22"/>
        </w:rPr>
        <w:t xml:space="preserve">all’articolo 1, </w:t>
      </w:r>
      <w:r w:rsidRPr="005D790B">
        <w:rPr>
          <w:rFonts w:cs="Arial"/>
          <w:b w:val="0"/>
          <w:i w:val="0"/>
          <w:sz w:val="22"/>
          <w:szCs w:val="22"/>
        </w:rPr>
        <w:t>commi 138,146 e 147della L</w:t>
      </w:r>
      <w:r w:rsidR="00D0382F" w:rsidRPr="005D790B">
        <w:rPr>
          <w:rFonts w:cs="Arial"/>
          <w:b w:val="0"/>
          <w:i w:val="0"/>
          <w:sz w:val="22"/>
          <w:szCs w:val="22"/>
        </w:rPr>
        <w:t>egge</w:t>
      </w:r>
      <w:r w:rsidRPr="005D790B">
        <w:rPr>
          <w:rFonts w:cs="Arial"/>
          <w:b w:val="0"/>
          <w:i w:val="0"/>
          <w:sz w:val="22"/>
          <w:szCs w:val="22"/>
        </w:rPr>
        <w:t xml:space="preserve"> n. 228/2012; </w:t>
      </w:r>
    </w:p>
    <w:p w:rsidR="00264EAF" w:rsidRPr="00D80990" w:rsidRDefault="00264EAF" w:rsidP="00264EAF">
      <w:pPr>
        <w:pStyle w:val="Corpodeltesto21"/>
        <w:numPr>
          <w:ilvl w:val="0"/>
          <w:numId w:val="38"/>
        </w:numPr>
        <w:ind w:left="1134" w:hanging="283"/>
        <w:rPr>
          <w:rFonts w:cs="Arial"/>
          <w:b w:val="0"/>
          <w:i w:val="0"/>
          <w:sz w:val="22"/>
          <w:szCs w:val="22"/>
        </w:rPr>
      </w:pPr>
      <w:r w:rsidRPr="00D80990">
        <w:rPr>
          <w:rFonts w:cs="Arial"/>
          <w:b w:val="0"/>
          <w:i w:val="0"/>
          <w:sz w:val="22"/>
          <w:szCs w:val="22"/>
        </w:rPr>
        <w:t xml:space="preserve">l’elenco delle spese finanziate con i proventi dei titoli abilitativi edilizi e relative sanzioni di cui all’art. 1 comma 460 </w:t>
      </w:r>
      <w:r w:rsidR="00D0382F">
        <w:rPr>
          <w:rFonts w:cs="Arial"/>
          <w:b w:val="0"/>
          <w:i w:val="0"/>
          <w:sz w:val="22"/>
          <w:szCs w:val="22"/>
        </w:rPr>
        <w:t>della Legge n.</w:t>
      </w:r>
      <w:r w:rsidRPr="00D80990">
        <w:rPr>
          <w:rFonts w:cs="Arial"/>
          <w:b w:val="0"/>
          <w:i w:val="0"/>
          <w:sz w:val="22"/>
          <w:szCs w:val="22"/>
        </w:rPr>
        <w:t>232/2016;</w:t>
      </w:r>
    </w:p>
    <w:p w:rsidR="00264EAF" w:rsidRPr="00D80990" w:rsidRDefault="00264EAF" w:rsidP="00264EAF">
      <w:pPr>
        <w:pStyle w:val="Corpodeltesto21"/>
        <w:numPr>
          <w:ilvl w:val="0"/>
          <w:numId w:val="38"/>
        </w:numPr>
        <w:ind w:left="1134" w:hanging="283"/>
        <w:rPr>
          <w:rFonts w:cs="Arial"/>
          <w:b w:val="0"/>
          <w:i w:val="0"/>
          <w:sz w:val="22"/>
          <w:szCs w:val="22"/>
        </w:rPr>
      </w:pPr>
      <w:r w:rsidRPr="00D80990">
        <w:rPr>
          <w:rFonts w:cs="Arial"/>
          <w:b w:val="0"/>
          <w:i w:val="0"/>
          <w:sz w:val="22"/>
          <w:szCs w:val="22"/>
        </w:rPr>
        <w:lastRenderedPageBreak/>
        <w:t>l’elenco delle entrate e spese non ricorrenti.</w:t>
      </w:r>
    </w:p>
    <w:p w:rsidR="00264EAF" w:rsidRPr="00D80990" w:rsidRDefault="00264EAF" w:rsidP="00264EAF">
      <w:pPr>
        <w:pStyle w:val="Corpodeltesto"/>
        <w:spacing w:before="240"/>
        <w:rPr>
          <w:rFonts w:cs="Arial"/>
          <w:sz w:val="22"/>
          <w:szCs w:val="22"/>
        </w:rPr>
      </w:pPr>
      <w:r w:rsidRPr="00D80990">
        <w:rPr>
          <w:rFonts w:cs="Arial"/>
          <w:sz w:val="22"/>
          <w:szCs w:val="22"/>
        </w:rPr>
        <w:t xml:space="preserve">  e i seguenti </w:t>
      </w:r>
      <w:r w:rsidRPr="00D80990">
        <w:rPr>
          <w:rFonts w:cs="Arial"/>
          <w:sz w:val="22"/>
          <w:szCs w:val="22"/>
          <w:u w:val="single"/>
        </w:rPr>
        <w:t>documenti</w:t>
      </w:r>
      <w:r w:rsidRPr="00D80990">
        <w:rPr>
          <w:rFonts w:cs="Arial"/>
          <w:sz w:val="22"/>
          <w:szCs w:val="22"/>
        </w:rPr>
        <w:t xml:space="preserve"> messi a disposizione:</w:t>
      </w:r>
    </w:p>
    <w:p w:rsidR="00264EAF" w:rsidRPr="00D80990" w:rsidRDefault="00264EAF" w:rsidP="00264EAF">
      <w:pPr>
        <w:pStyle w:val="Paragrafoelenco"/>
        <w:numPr>
          <w:ilvl w:val="0"/>
          <w:numId w:val="39"/>
        </w:numPr>
        <w:spacing w:after="120"/>
        <w:ind w:left="1134" w:hanging="283"/>
        <w:jc w:val="both"/>
        <w:rPr>
          <w:rFonts w:ascii="Arial" w:hAnsi="Arial" w:cs="Arial"/>
          <w:sz w:val="22"/>
          <w:szCs w:val="22"/>
        </w:rPr>
      </w:pPr>
      <w:r w:rsidRPr="00D80990">
        <w:rPr>
          <w:rFonts w:ascii="Arial" w:hAnsi="Arial" w:cs="Arial"/>
          <w:sz w:val="22"/>
          <w:szCs w:val="22"/>
        </w:rPr>
        <w:t>documenti e prospetti previsti dallo statuto e dal regolamento di contabilità;</w:t>
      </w:r>
    </w:p>
    <w:p w:rsidR="00264EAF" w:rsidRPr="00AF1D75" w:rsidRDefault="00D53252" w:rsidP="00264EAF">
      <w:pPr>
        <w:pStyle w:val="Paragrafoelenco"/>
        <w:numPr>
          <w:ilvl w:val="0"/>
          <w:numId w:val="39"/>
        </w:numPr>
        <w:spacing w:after="120"/>
        <w:ind w:left="1134" w:hanging="283"/>
        <w:jc w:val="both"/>
        <w:rPr>
          <w:rFonts w:ascii="Arial" w:hAnsi="Arial" w:cs="Arial"/>
          <w:sz w:val="22"/>
          <w:szCs w:val="22"/>
        </w:rPr>
      </w:pPr>
      <w:r>
        <w:rPr>
          <w:rFonts w:ascii="Arial" w:hAnsi="Arial" w:cs="Arial"/>
          <w:sz w:val="22"/>
          <w:szCs w:val="22"/>
        </w:rPr>
        <w:t xml:space="preserve">il </w:t>
      </w:r>
      <w:r w:rsidR="00264EAF" w:rsidRPr="00AF1D75">
        <w:rPr>
          <w:rFonts w:ascii="Arial" w:hAnsi="Arial" w:cs="Arial"/>
          <w:sz w:val="22"/>
          <w:szCs w:val="22"/>
        </w:rPr>
        <w:t>prospetto analitico delle spese di personale previste in bilancio come individuate dal comma 557 dell’art.1 della Legge</w:t>
      </w:r>
      <w:r w:rsidR="00D0382F">
        <w:rPr>
          <w:rFonts w:ascii="Arial" w:hAnsi="Arial" w:cs="Arial"/>
          <w:sz w:val="22"/>
          <w:szCs w:val="22"/>
        </w:rPr>
        <w:t xml:space="preserve"> n.</w:t>
      </w:r>
      <w:r w:rsidR="00264EAF" w:rsidRPr="00AF1D75">
        <w:rPr>
          <w:rFonts w:ascii="Arial" w:hAnsi="Arial" w:cs="Arial"/>
          <w:sz w:val="22"/>
          <w:szCs w:val="22"/>
        </w:rPr>
        <w:t xml:space="preserve"> 296/2006;</w:t>
      </w:r>
    </w:p>
    <w:p w:rsidR="00264EAF" w:rsidRPr="00D80990" w:rsidRDefault="00D53252" w:rsidP="00264EAF">
      <w:pPr>
        <w:tabs>
          <w:tab w:val="left" w:pos="360"/>
          <w:tab w:val="left" w:pos="426"/>
        </w:tabs>
        <w:spacing w:after="120"/>
        <w:jc w:val="both"/>
        <w:rPr>
          <w:rFonts w:ascii="Arial" w:hAnsi="Arial" w:cs="Arial"/>
          <w:sz w:val="22"/>
          <w:szCs w:val="22"/>
        </w:rPr>
      </w:pPr>
      <w:r>
        <w:rPr>
          <w:rFonts w:ascii="Arial" w:hAnsi="Arial" w:cs="Arial"/>
          <w:sz w:val="22"/>
          <w:szCs w:val="22"/>
        </w:rPr>
        <w:t>- v</w:t>
      </w:r>
      <w:r w:rsidR="00264EAF" w:rsidRPr="00D80990">
        <w:rPr>
          <w:rFonts w:ascii="Arial" w:hAnsi="Arial" w:cs="Arial"/>
          <w:sz w:val="22"/>
          <w:szCs w:val="22"/>
        </w:rPr>
        <w:t xml:space="preserve">iste le disposizioni di Legge che regolano la finanza locale, in particolare il </w:t>
      </w:r>
      <w:hyperlink r:id="rId15" w:history="1">
        <w:r w:rsidR="00264EAF" w:rsidRPr="00D80990">
          <w:rPr>
            <w:rFonts w:ascii="Arial" w:hAnsi="Arial" w:cs="Arial"/>
            <w:sz w:val="22"/>
            <w:szCs w:val="22"/>
          </w:rPr>
          <w:t>TUEL</w:t>
        </w:r>
      </w:hyperlink>
      <w:r w:rsidR="00264EAF" w:rsidRPr="00D80990">
        <w:rPr>
          <w:rFonts w:ascii="Arial" w:hAnsi="Arial" w:cs="Arial"/>
          <w:sz w:val="22"/>
          <w:szCs w:val="22"/>
        </w:rPr>
        <w:t>;</w:t>
      </w:r>
    </w:p>
    <w:p w:rsidR="00264EAF" w:rsidRPr="00D80990" w:rsidRDefault="00D53252" w:rsidP="00264EAF">
      <w:pPr>
        <w:tabs>
          <w:tab w:val="left" w:pos="360"/>
          <w:tab w:val="left" w:pos="426"/>
        </w:tabs>
        <w:spacing w:after="120"/>
        <w:jc w:val="both"/>
        <w:rPr>
          <w:rFonts w:ascii="Arial" w:hAnsi="Arial" w:cs="Arial"/>
          <w:sz w:val="22"/>
          <w:szCs w:val="22"/>
        </w:rPr>
      </w:pPr>
      <w:r>
        <w:rPr>
          <w:rFonts w:ascii="Arial" w:hAnsi="Arial" w:cs="Arial"/>
          <w:sz w:val="22"/>
          <w:szCs w:val="22"/>
        </w:rPr>
        <w:t>- v</w:t>
      </w:r>
      <w:r w:rsidR="00264EAF" w:rsidRPr="00D80990">
        <w:rPr>
          <w:rFonts w:ascii="Arial" w:hAnsi="Arial" w:cs="Arial"/>
          <w:sz w:val="22"/>
          <w:szCs w:val="22"/>
        </w:rPr>
        <w:t>isto lo statuto dell’ente, con particolare riferimento alle funzioni attribuite all’organo di revisione;</w:t>
      </w:r>
    </w:p>
    <w:p w:rsidR="00264EAF" w:rsidRPr="00D80990" w:rsidRDefault="00D53252" w:rsidP="00264EAF">
      <w:pPr>
        <w:tabs>
          <w:tab w:val="left" w:pos="360"/>
          <w:tab w:val="left" w:pos="426"/>
        </w:tabs>
        <w:spacing w:after="120"/>
        <w:jc w:val="both"/>
        <w:rPr>
          <w:rFonts w:ascii="Arial" w:hAnsi="Arial" w:cs="Arial"/>
          <w:sz w:val="22"/>
          <w:szCs w:val="22"/>
        </w:rPr>
      </w:pPr>
      <w:r>
        <w:rPr>
          <w:rFonts w:ascii="Arial" w:hAnsi="Arial" w:cs="Arial"/>
          <w:sz w:val="22"/>
          <w:szCs w:val="22"/>
        </w:rPr>
        <w:t>- v</w:t>
      </w:r>
      <w:r w:rsidR="00264EAF" w:rsidRPr="00D80990">
        <w:rPr>
          <w:rFonts w:ascii="Arial" w:hAnsi="Arial" w:cs="Arial"/>
          <w:sz w:val="22"/>
          <w:szCs w:val="22"/>
        </w:rPr>
        <w:t>isto lo Statuto ed il regolamento di contabilità;</w:t>
      </w:r>
    </w:p>
    <w:p w:rsidR="00264EAF" w:rsidRPr="00D80990" w:rsidRDefault="00D53252" w:rsidP="00264EAF">
      <w:pPr>
        <w:tabs>
          <w:tab w:val="left" w:pos="360"/>
          <w:tab w:val="left" w:pos="426"/>
        </w:tabs>
        <w:spacing w:after="120"/>
        <w:jc w:val="both"/>
        <w:rPr>
          <w:rFonts w:ascii="Arial" w:hAnsi="Arial" w:cs="Arial"/>
          <w:sz w:val="22"/>
          <w:szCs w:val="22"/>
        </w:rPr>
      </w:pPr>
      <w:r>
        <w:rPr>
          <w:rFonts w:ascii="Arial" w:hAnsi="Arial" w:cs="Arial"/>
          <w:sz w:val="22"/>
          <w:szCs w:val="22"/>
        </w:rPr>
        <w:t>- v</w:t>
      </w:r>
      <w:r w:rsidR="00264EAF" w:rsidRPr="00D80990">
        <w:rPr>
          <w:rFonts w:ascii="Arial" w:hAnsi="Arial" w:cs="Arial"/>
          <w:sz w:val="22"/>
          <w:szCs w:val="22"/>
        </w:rPr>
        <w:t>isti i regolamenti relativi ai tributi comunali;</w:t>
      </w:r>
    </w:p>
    <w:p w:rsidR="00264EAF" w:rsidRPr="00D80990" w:rsidRDefault="00D53252" w:rsidP="00264EAF">
      <w:pPr>
        <w:tabs>
          <w:tab w:val="left" w:pos="360"/>
          <w:tab w:val="left" w:pos="426"/>
        </w:tabs>
        <w:spacing w:after="120"/>
        <w:jc w:val="both"/>
        <w:rPr>
          <w:rFonts w:ascii="Arial" w:hAnsi="Arial" w:cs="Arial"/>
          <w:sz w:val="22"/>
          <w:szCs w:val="22"/>
        </w:rPr>
      </w:pPr>
      <w:r>
        <w:rPr>
          <w:rFonts w:ascii="Arial" w:hAnsi="Arial" w:cs="Arial"/>
          <w:sz w:val="22"/>
          <w:szCs w:val="22"/>
        </w:rPr>
        <w:t xml:space="preserve">  v</w:t>
      </w:r>
      <w:r w:rsidR="00264EAF" w:rsidRPr="00D80990">
        <w:rPr>
          <w:rFonts w:ascii="Arial" w:hAnsi="Arial" w:cs="Arial"/>
          <w:sz w:val="22"/>
          <w:szCs w:val="22"/>
        </w:rPr>
        <w:t>isto il parere espresso dal responsabile del servizio finanziario, ai sensi de</w:t>
      </w:r>
      <w:r w:rsidR="005D5C5F">
        <w:rPr>
          <w:rFonts w:ascii="Arial" w:hAnsi="Arial" w:cs="Arial"/>
          <w:sz w:val="22"/>
          <w:szCs w:val="22"/>
        </w:rPr>
        <w:t>ll’art.153, comma 4 del D.</w:t>
      </w:r>
      <w:r w:rsidR="00264EAF" w:rsidRPr="00D80990">
        <w:rPr>
          <w:rFonts w:ascii="Arial" w:hAnsi="Arial" w:cs="Arial"/>
          <w:sz w:val="22"/>
          <w:szCs w:val="22"/>
        </w:rPr>
        <w:t xml:space="preserve">Lgs. </w:t>
      </w:r>
      <w:r w:rsidR="00D0382F">
        <w:rPr>
          <w:rFonts w:ascii="Arial" w:hAnsi="Arial" w:cs="Arial"/>
          <w:sz w:val="22"/>
          <w:szCs w:val="22"/>
        </w:rPr>
        <w:t xml:space="preserve">n. </w:t>
      </w:r>
      <w:r w:rsidR="00264EAF" w:rsidRPr="00D80990">
        <w:rPr>
          <w:rFonts w:ascii="Arial" w:hAnsi="Arial" w:cs="Arial"/>
          <w:sz w:val="22"/>
          <w:szCs w:val="22"/>
        </w:rPr>
        <w:t xml:space="preserve">267/2000, in data ………. in merito alla veridicità delle previsioni di entrata e di compatibilità delle previsioni di spesa, avanzate dai vari servizi, iscritte nel bilancio di previsione </w:t>
      </w:r>
      <w:r>
        <w:rPr>
          <w:rFonts w:ascii="Arial" w:hAnsi="Arial" w:cs="Arial"/>
          <w:sz w:val="22"/>
          <w:szCs w:val="22"/>
        </w:rPr>
        <w:t>2019-</w:t>
      </w:r>
      <w:r w:rsidR="00264EAF">
        <w:rPr>
          <w:rFonts w:ascii="Arial" w:hAnsi="Arial" w:cs="Arial"/>
          <w:sz w:val="22"/>
          <w:szCs w:val="22"/>
        </w:rPr>
        <w:t>2021</w:t>
      </w:r>
      <w:r w:rsidR="00264EAF" w:rsidRPr="00D80990">
        <w:rPr>
          <w:rFonts w:ascii="Arial" w:hAnsi="Arial" w:cs="Arial"/>
          <w:sz w:val="22"/>
          <w:szCs w:val="22"/>
        </w:rPr>
        <w:t>;</w:t>
      </w:r>
    </w:p>
    <w:p w:rsidR="00264EAF" w:rsidRPr="00D80990" w:rsidRDefault="00D0382F" w:rsidP="00264EAF">
      <w:pPr>
        <w:tabs>
          <w:tab w:val="left" w:pos="360"/>
          <w:tab w:val="left" w:pos="426"/>
        </w:tabs>
        <w:spacing w:after="120"/>
        <w:jc w:val="both"/>
        <w:rPr>
          <w:rFonts w:ascii="Arial" w:hAnsi="Arial" w:cs="Arial"/>
          <w:sz w:val="22"/>
          <w:szCs w:val="22"/>
        </w:rPr>
      </w:pPr>
      <w:r>
        <w:rPr>
          <w:rFonts w:ascii="Arial" w:hAnsi="Arial" w:cs="Arial"/>
          <w:sz w:val="22"/>
          <w:szCs w:val="22"/>
        </w:rPr>
        <w:t xml:space="preserve">l’organo di revisione </w:t>
      </w:r>
      <w:r w:rsidR="00264EAF" w:rsidRPr="00D80990">
        <w:rPr>
          <w:rFonts w:ascii="Arial" w:hAnsi="Arial" w:cs="Arial"/>
          <w:sz w:val="22"/>
          <w:szCs w:val="22"/>
        </w:rPr>
        <w:t xml:space="preserve">haeffettuato le seguenti verifiche al fine di esprimere un motivato giudizio di coerenza, attendibilità e congruità contabile delle previsioni di bilancio e dei programmi e progetti, come richiesto dall’art. 239, comma 1, lettera b) del </w:t>
      </w:r>
      <w:r>
        <w:rPr>
          <w:rFonts w:ascii="Arial" w:hAnsi="Arial" w:cs="Arial"/>
          <w:sz w:val="22"/>
          <w:szCs w:val="22"/>
        </w:rPr>
        <w:t>D.Lgs.n. 267/2000</w:t>
      </w:r>
      <w:r w:rsidR="00264EAF" w:rsidRPr="00D80990">
        <w:rPr>
          <w:rFonts w:ascii="Arial" w:hAnsi="Arial" w:cs="Arial"/>
          <w:sz w:val="22"/>
          <w:szCs w:val="22"/>
        </w:rPr>
        <w:t>.</w:t>
      </w:r>
    </w:p>
    <w:p w:rsidR="00264EAF" w:rsidRPr="00D80990" w:rsidRDefault="00264EAF" w:rsidP="00264EAF">
      <w:pPr>
        <w:tabs>
          <w:tab w:val="left" w:pos="360"/>
          <w:tab w:val="left" w:pos="426"/>
        </w:tabs>
        <w:spacing w:after="120"/>
        <w:jc w:val="both"/>
        <w:rPr>
          <w:rFonts w:ascii="Arial" w:hAnsi="Arial" w:cs="Arial"/>
        </w:rPr>
      </w:pPr>
    </w:p>
    <w:p w:rsidR="00264EAF" w:rsidRPr="00D80990" w:rsidRDefault="00264EAF" w:rsidP="00264EAF">
      <w:pPr>
        <w:pStyle w:val="Titolo1"/>
        <w:shd w:val="clear" w:color="auto" w:fill="B6DDE8" w:themeFill="accent5" w:themeFillTint="66"/>
      </w:pPr>
      <w:bookmarkStart w:id="4" w:name="_Toc535487597"/>
      <w:r w:rsidRPr="00D80990">
        <w:t>ACCERTAMENTI PRELIMINARI</w:t>
      </w:r>
      <w:bookmarkEnd w:id="4"/>
    </w:p>
    <w:p w:rsidR="00264EAF" w:rsidRPr="00D80990" w:rsidRDefault="00264EAF" w:rsidP="00264EAF">
      <w:pPr>
        <w:spacing w:before="120"/>
        <w:jc w:val="both"/>
        <w:rPr>
          <w:rFonts w:ascii="Arial" w:hAnsi="Arial" w:cs="Arial"/>
          <w:sz w:val="22"/>
          <w:szCs w:val="22"/>
        </w:rPr>
      </w:pPr>
      <w:r w:rsidRPr="00D80990">
        <w:rPr>
          <w:rFonts w:ascii="Arial" w:hAnsi="Arial" w:cs="Arial"/>
          <w:sz w:val="22"/>
          <w:szCs w:val="22"/>
        </w:rPr>
        <w:t>L’Ente entro il 30 novembre 2018</w:t>
      </w:r>
      <w:r w:rsidRPr="00D80990">
        <w:rPr>
          <w:rFonts w:ascii="Arial" w:hAnsi="Arial" w:cs="Arial"/>
          <w:b/>
          <w:i/>
          <w:sz w:val="22"/>
          <w:szCs w:val="22"/>
        </w:rPr>
        <w:t>ha/non</w:t>
      </w:r>
      <w:r w:rsidRPr="00D80990">
        <w:rPr>
          <w:rFonts w:ascii="Arial" w:hAnsi="Arial" w:cs="Arial"/>
          <w:sz w:val="22"/>
          <w:szCs w:val="22"/>
        </w:rPr>
        <w:t xml:space="preserve"> ha aggiornato gli stanziamenti 2018 del bilancio di previsione 2018-2020.</w:t>
      </w:r>
    </w:p>
    <w:p w:rsidR="00264EAF" w:rsidRPr="00D80990" w:rsidRDefault="00264EAF" w:rsidP="00264EAF">
      <w:pPr>
        <w:spacing w:before="120"/>
        <w:jc w:val="both"/>
        <w:rPr>
          <w:rFonts w:ascii="Arial" w:hAnsi="Arial" w:cs="Arial"/>
          <w:sz w:val="22"/>
          <w:szCs w:val="22"/>
        </w:rPr>
      </w:pPr>
    </w:p>
    <w:p w:rsidR="00264EAF" w:rsidRPr="00D80990" w:rsidRDefault="00264EAF" w:rsidP="00264EAF">
      <w:pPr>
        <w:pStyle w:val="PreformattatoHTML"/>
        <w:jc w:val="both"/>
        <w:rPr>
          <w:rFonts w:ascii="Arial" w:hAnsi="Arial" w:cs="Arial"/>
          <w:i/>
          <w:sz w:val="22"/>
          <w:szCs w:val="22"/>
        </w:rPr>
      </w:pPr>
      <w:r w:rsidRPr="00D80990">
        <w:rPr>
          <w:rFonts w:ascii="Arial" w:hAnsi="Arial" w:cs="Arial"/>
          <w:i/>
          <w:sz w:val="22"/>
          <w:szCs w:val="22"/>
        </w:rPr>
        <w:t>(eventuale - per chi delibera il bilancio dopo il 1/1/2019)</w:t>
      </w:r>
    </w:p>
    <w:p w:rsidR="00264EAF" w:rsidRPr="00D80990" w:rsidRDefault="00264EAF" w:rsidP="00264EAF">
      <w:pPr>
        <w:pStyle w:val="PreformattatoHTML"/>
        <w:jc w:val="both"/>
        <w:rPr>
          <w:rFonts w:ascii="Arial" w:hAnsi="Arial" w:cs="Arial"/>
          <w:i/>
          <w:sz w:val="22"/>
          <w:szCs w:val="22"/>
        </w:rPr>
      </w:pPr>
    </w:p>
    <w:p w:rsidR="00264EAF" w:rsidRPr="00D80990" w:rsidRDefault="00264EAF" w:rsidP="00264EAF">
      <w:pPr>
        <w:pStyle w:val="PreformattatoHTML"/>
        <w:jc w:val="both"/>
        <w:rPr>
          <w:rFonts w:ascii="Arial" w:hAnsi="Arial" w:cs="Arial"/>
          <w:sz w:val="22"/>
          <w:szCs w:val="22"/>
        </w:rPr>
      </w:pPr>
      <w:r w:rsidRPr="00D80990">
        <w:rPr>
          <w:rFonts w:ascii="Arial" w:hAnsi="Arial" w:cs="Arial"/>
          <w:sz w:val="22"/>
          <w:szCs w:val="22"/>
        </w:rPr>
        <w:t xml:space="preserve">Essendo in esercizio provvisorio, l’Ente </w:t>
      </w:r>
      <w:r w:rsidRPr="00D80990">
        <w:rPr>
          <w:rFonts w:ascii="Arial" w:hAnsi="Arial" w:cs="Arial"/>
          <w:b/>
          <w:i/>
          <w:sz w:val="22"/>
          <w:szCs w:val="22"/>
        </w:rPr>
        <w:t>ha/non ha</w:t>
      </w:r>
      <w:r w:rsidRPr="00D80990">
        <w:rPr>
          <w:rFonts w:ascii="Arial" w:hAnsi="Arial" w:cs="Arial"/>
          <w:sz w:val="22"/>
          <w:szCs w:val="22"/>
        </w:rPr>
        <w:t xml:space="preserve"> trasmesso al Tesoriere l’elenco dei residui presunti alla data del 1° gennaio 2019 e gli stanziamenti di competenza 2019 del bilancio</w:t>
      </w:r>
      <w:r w:rsidR="00D53252">
        <w:rPr>
          <w:rFonts w:ascii="Arial" w:hAnsi="Arial" w:cs="Arial"/>
          <w:sz w:val="22"/>
          <w:szCs w:val="22"/>
        </w:rPr>
        <w:t xml:space="preserve"> di previsione pluriennale 2018-</w:t>
      </w:r>
      <w:r w:rsidRPr="00D80990">
        <w:rPr>
          <w:rFonts w:ascii="Arial" w:hAnsi="Arial" w:cs="Arial"/>
          <w:sz w:val="22"/>
          <w:szCs w:val="22"/>
        </w:rPr>
        <w:t>2020 aggiornati alle variazioni deliberate nel corso dell’esercizio 2018, indicanti – per ciascuna missione, programma e titolo - gli impegni già assunti e l’importo del fondo pluriennale vincolato.</w:t>
      </w:r>
    </w:p>
    <w:p w:rsidR="00264EAF" w:rsidRPr="00D80990" w:rsidRDefault="00264EAF" w:rsidP="00264EAF">
      <w:pPr>
        <w:pStyle w:val="PreformattatoHTML"/>
        <w:jc w:val="both"/>
        <w:rPr>
          <w:rFonts w:ascii="Arial" w:hAnsi="Arial" w:cs="Arial"/>
          <w:sz w:val="22"/>
          <w:szCs w:val="22"/>
        </w:rPr>
      </w:pPr>
    </w:p>
    <w:p w:rsidR="00264EAF" w:rsidRPr="00D80990" w:rsidRDefault="00264EAF" w:rsidP="00264EAF">
      <w:pPr>
        <w:pStyle w:val="Titolo1"/>
        <w:shd w:val="clear" w:color="auto" w:fill="B6DDE8" w:themeFill="accent5" w:themeFillTint="66"/>
        <w:tabs>
          <w:tab w:val="left" w:pos="610"/>
          <w:tab w:val="left" w:pos="2320"/>
          <w:tab w:val="center" w:pos="4864"/>
        </w:tabs>
        <w:jc w:val="left"/>
      </w:pPr>
      <w:r w:rsidRPr="00D80990">
        <w:tab/>
      </w:r>
      <w:r w:rsidRPr="00D80990">
        <w:tab/>
      </w:r>
      <w:r w:rsidRPr="00D80990">
        <w:tab/>
      </w:r>
      <w:bookmarkStart w:id="5" w:name="_Toc346838816"/>
      <w:bookmarkStart w:id="6" w:name="_Toc535487598"/>
      <w:r w:rsidRPr="00D80990">
        <w:t>VERIFICHE DEGLI EQUILIBRI</w:t>
      </w:r>
      <w:bookmarkEnd w:id="5"/>
      <w:bookmarkEnd w:id="6"/>
    </w:p>
    <w:p w:rsidR="00264EAF" w:rsidRPr="00D80990" w:rsidRDefault="00264EAF" w:rsidP="00264EAF">
      <w:pPr>
        <w:pStyle w:val="Titolo2"/>
        <w:jc w:val="left"/>
      </w:pPr>
      <w:bookmarkStart w:id="7" w:name="_GESTIONE_DELL’ESERCIZIO_2008"/>
      <w:bookmarkStart w:id="8" w:name="_Toc346838817"/>
      <w:bookmarkStart w:id="9" w:name="_Toc535487599"/>
      <w:bookmarkEnd w:id="7"/>
      <w:r w:rsidRPr="00D80990">
        <w:t xml:space="preserve">GESTIONE DELL’ESERCIZIO </w:t>
      </w:r>
      <w:bookmarkEnd w:id="8"/>
      <w:r w:rsidRPr="00D80990">
        <w:t>2018</w:t>
      </w:r>
      <w:bookmarkEnd w:id="9"/>
    </w:p>
    <w:p w:rsidR="00264EAF" w:rsidRPr="00D80990" w:rsidRDefault="00264EAF" w:rsidP="00264EAF">
      <w:pPr>
        <w:spacing w:before="120"/>
        <w:jc w:val="both"/>
        <w:rPr>
          <w:rFonts w:ascii="Arial" w:hAnsi="Arial" w:cs="Arial"/>
          <w:sz w:val="22"/>
          <w:szCs w:val="22"/>
        </w:rPr>
      </w:pPr>
      <w:r w:rsidRPr="00D80990">
        <w:rPr>
          <w:rFonts w:ascii="Arial" w:hAnsi="Arial" w:cs="Arial"/>
          <w:sz w:val="22"/>
          <w:szCs w:val="22"/>
        </w:rPr>
        <w:t>L’organo consiliare ha approvato con delibera n. ….del……. la proposta di rendiconto per l’esercizio 2017.</w:t>
      </w:r>
    </w:p>
    <w:p w:rsidR="00264EAF" w:rsidRPr="00D80990" w:rsidRDefault="00264EAF" w:rsidP="00264EAF">
      <w:pPr>
        <w:spacing w:before="120" w:line="240" w:lineRule="exact"/>
        <w:jc w:val="both"/>
        <w:rPr>
          <w:rFonts w:ascii="Arial" w:hAnsi="Arial" w:cs="Arial"/>
          <w:sz w:val="22"/>
          <w:szCs w:val="22"/>
        </w:rPr>
      </w:pPr>
      <w:r w:rsidRPr="00D80990">
        <w:rPr>
          <w:rFonts w:ascii="Arial" w:hAnsi="Arial" w:cs="Arial"/>
          <w:sz w:val="22"/>
          <w:szCs w:val="22"/>
        </w:rPr>
        <w:t xml:space="preserve">Da tale rendiconto, come indicato nella relazione dell’organo di revisione formulata con verbale n…..  in data ……….. </w:t>
      </w:r>
      <w:r w:rsidR="003F07BD">
        <w:rPr>
          <w:rFonts w:ascii="Arial" w:hAnsi="Arial" w:cs="Arial"/>
          <w:sz w:val="22"/>
          <w:szCs w:val="22"/>
        </w:rPr>
        <w:t xml:space="preserve">si </w:t>
      </w:r>
      <w:r>
        <w:rPr>
          <w:rFonts w:ascii="Arial" w:hAnsi="Arial" w:cs="Arial"/>
          <w:sz w:val="22"/>
          <w:szCs w:val="22"/>
        </w:rPr>
        <w:t>evidenzia</w:t>
      </w:r>
      <w:r w:rsidRPr="00D80990">
        <w:rPr>
          <w:rFonts w:ascii="Arial" w:hAnsi="Arial" w:cs="Arial"/>
          <w:sz w:val="22"/>
          <w:szCs w:val="22"/>
        </w:rPr>
        <w:t xml:space="preserve"> che:</w:t>
      </w:r>
    </w:p>
    <w:p w:rsidR="00264EAF" w:rsidRPr="00D80990" w:rsidRDefault="00264EAF" w:rsidP="00264EAF">
      <w:pPr>
        <w:numPr>
          <w:ilvl w:val="0"/>
          <w:numId w:val="8"/>
        </w:numPr>
        <w:spacing w:before="120" w:line="240" w:lineRule="exact"/>
        <w:jc w:val="both"/>
        <w:rPr>
          <w:rFonts w:ascii="Arial" w:hAnsi="Arial" w:cs="Arial"/>
          <w:sz w:val="22"/>
          <w:szCs w:val="22"/>
        </w:rPr>
      </w:pPr>
      <w:r w:rsidRPr="00D80990">
        <w:rPr>
          <w:rFonts w:ascii="Arial" w:hAnsi="Arial" w:cs="Arial"/>
          <w:sz w:val="22"/>
          <w:szCs w:val="22"/>
        </w:rPr>
        <w:t>sono salvaguardati gli equilibri di bilancio;</w:t>
      </w:r>
    </w:p>
    <w:p w:rsidR="00264EAF" w:rsidRPr="00D80990" w:rsidRDefault="00264EAF" w:rsidP="00264EAF">
      <w:pPr>
        <w:numPr>
          <w:ilvl w:val="0"/>
          <w:numId w:val="8"/>
        </w:numPr>
        <w:spacing w:before="120" w:line="240" w:lineRule="exact"/>
        <w:jc w:val="both"/>
        <w:rPr>
          <w:rFonts w:ascii="Arial" w:hAnsi="Arial" w:cs="Arial"/>
          <w:sz w:val="22"/>
          <w:szCs w:val="22"/>
        </w:rPr>
      </w:pPr>
      <w:r w:rsidRPr="00D80990">
        <w:rPr>
          <w:rFonts w:ascii="Arial" w:hAnsi="Arial" w:cs="Arial"/>
          <w:sz w:val="22"/>
          <w:szCs w:val="22"/>
        </w:rPr>
        <w:t>non risultano debiti fuori bilancio o passività probabili da finanziare;</w:t>
      </w:r>
    </w:p>
    <w:p w:rsidR="00264EAF" w:rsidRPr="00D80990" w:rsidRDefault="00264EAF" w:rsidP="00264EAF">
      <w:pPr>
        <w:numPr>
          <w:ilvl w:val="0"/>
          <w:numId w:val="8"/>
        </w:numPr>
        <w:spacing w:before="120" w:line="240" w:lineRule="exact"/>
        <w:jc w:val="both"/>
        <w:rPr>
          <w:rFonts w:ascii="Arial" w:hAnsi="Arial" w:cs="Arial"/>
          <w:sz w:val="22"/>
          <w:szCs w:val="22"/>
        </w:rPr>
      </w:pPr>
      <w:r w:rsidRPr="00D80990">
        <w:rPr>
          <w:rFonts w:ascii="Arial" w:hAnsi="Arial" w:cs="Arial"/>
          <w:sz w:val="22"/>
          <w:szCs w:val="22"/>
        </w:rPr>
        <w:t xml:space="preserve">è stato rispettato l’obiettivo del pareggio di bilancio; </w:t>
      </w:r>
    </w:p>
    <w:p w:rsidR="00264EAF" w:rsidRPr="00D80990" w:rsidRDefault="00264EAF" w:rsidP="00264EAF">
      <w:pPr>
        <w:numPr>
          <w:ilvl w:val="0"/>
          <w:numId w:val="8"/>
        </w:numPr>
        <w:spacing w:before="120" w:line="240" w:lineRule="exact"/>
        <w:jc w:val="both"/>
        <w:rPr>
          <w:rFonts w:ascii="Arial" w:hAnsi="Arial" w:cs="Arial"/>
          <w:sz w:val="22"/>
          <w:szCs w:val="22"/>
        </w:rPr>
      </w:pPr>
      <w:r w:rsidRPr="00D80990">
        <w:rPr>
          <w:rFonts w:ascii="Arial" w:hAnsi="Arial" w:cs="Arial"/>
          <w:sz w:val="22"/>
          <w:szCs w:val="22"/>
        </w:rPr>
        <w:t>sono state rispettate le disposizioni sul contenimento delle spese di personale;</w:t>
      </w:r>
    </w:p>
    <w:p w:rsidR="00264EAF" w:rsidRDefault="00264EAF" w:rsidP="00264EAF">
      <w:pPr>
        <w:numPr>
          <w:ilvl w:val="0"/>
          <w:numId w:val="8"/>
        </w:numPr>
        <w:spacing w:before="120" w:line="240" w:lineRule="exact"/>
        <w:jc w:val="both"/>
        <w:rPr>
          <w:rFonts w:ascii="Arial" w:hAnsi="Arial" w:cs="Arial"/>
          <w:sz w:val="22"/>
          <w:szCs w:val="22"/>
        </w:rPr>
      </w:pPr>
      <w:r w:rsidRPr="00D80990">
        <w:rPr>
          <w:rFonts w:ascii="Arial" w:hAnsi="Arial" w:cs="Arial"/>
          <w:sz w:val="22"/>
          <w:szCs w:val="22"/>
        </w:rPr>
        <w:t>non sono richiesti finanziamenti straordi</w:t>
      </w:r>
      <w:r>
        <w:rPr>
          <w:rFonts w:ascii="Arial" w:hAnsi="Arial" w:cs="Arial"/>
          <w:sz w:val="22"/>
          <w:szCs w:val="22"/>
        </w:rPr>
        <w:t>nari agli organismi partecipati;</w:t>
      </w:r>
    </w:p>
    <w:p w:rsidR="00264EAF" w:rsidRDefault="00264EAF" w:rsidP="00264EAF">
      <w:pPr>
        <w:numPr>
          <w:ilvl w:val="0"/>
          <w:numId w:val="8"/>
        </w:numPr>
        <w:spacing w:before="120" w:line="240" w:lineRule="exact"/>
        <w:jc w:val="both"/>
        <w:rPr>
          <w:rFonts w:ascii="Arial" w:hAnsi="Arial" w:cs="Arial"/>
          <w:sz w:val="22"/>
          <w:szCs w:val="22"/>
        </w:rPr>
      </w:pPr>
      <w:r>
        <w:rPr>
          <w:rFonts w:ascii="Arial" w:hAnsi="Arial" w:cs="Arial"/>
          <w:sz w:val="22"/>
          <w:szCs w:val="22"/>
        </w:rPr>
        <w:t>è stato conseguito un risultato di amministrazione disponibile (lett. E) positivo;</w:t>
      </w:r>
    </w:p>
    <w:p w:rsidR="00264EAF" w:rsidRPr="00D80990" w:rsidRDefault="00264EAF" w:rsidP="00264EAF">
      <w:pPr>
        <w:numPr>
          <w:ilvl w:val="0"/>
          <w:numId w:val="8"/>
        </w:numPr>
        <w:spacing w:before="120" w:line="240" w:lineRule="exact"/>
        <w:jc w:val="both"/>
        <w:rPr>
          <w:rFonts w:ascii="Arial" w:hAnsi="Arial" w:cs="Arial"/>
          <w:sz w:val="22"/>
          <w:szCs w:val="22"/>
        </w:rPr>
      </w:pPr>
      <w:r>
        <w:rPr>
          <w:rFonts w:ascii="Arial" w:hAnsi="Arial" w:cs="Arial"/>
          <w:sz w:val="22"/>
          <w:szCs w:val="22"/>
        </w:rPr>
        <w:t>gli accantonamenti risultano congrui.</w:t>
      </w:r>
    </w:p>
    <w:p w:rsidR="00264EAF" w:rsidRDefault="00264EAF" w:rsidP="00264EAF">
      <w:pPr>
        <w:spacing w:before="120" w:line="240" w:lineRule="exact"/>
        <w:jc w:val="both"/>
        <w:rPr>
          <w:rFonts w:ascii="Arial" w:hAnsi="Arial" w:cs="Arial"/>
          <w:sz w:val="22"/>
          <w:szCs w:val="22"/>
        </w:rPr>
      </w:pPr>
    </w:p>
    <w:p w:rsidR="005D5C5F" w:rsidRPr="00D80990" w:rsidRDefault="005D5C5F" w:rsidP="00264EAF">
      <w:pPr>
        <w:spacing w:before="120" w:line="240" w:lineRule="exact"/>
        <w:jc w:val="both"/>
        <w:rPr>
          <w:rFonts w:ascii="Arial" w:hAnsi="Arial" w:cs="Arial"/>
          <w:sz w:val="22"/>
          <w:szCs w:val="22"/>
        </w:rPr>
      </w:pPr>
    </w:p>
    <w:p w:rsidR="00264EAF" w:rsidRPr="00D80990" w:rsidRDefault="00264EAF" w:rsidP="00264EAF">
      <w:pPr>
        <w:spacing w:before="120" w:line="240" w:lineRule="exact"/>
        <w:jc w:val="both"/>
        <w:rPr>
          <w:rFonts w:ascii="Arial" w:hAnsi="Arial" w:cs="Arial"/>
          <w:i/>
          <w:sz w:val="22"/>
          <w:szCs w:val="22"/>
        </w:rPr>
      </w:pPr>
      <w:r w:rsidRPr="00D80990">
        <w:rPr>
          <w:rFonts w:ascii="Arial" w:hAnsi="Arial" w:cs="Arial"/>
          <w:i/>
          <w:sz w:val="22"/>
          <w:szCs w:val="22"/>
        </w:rPr>
        <w:t>Oppure:</w:t>
      </w:r>
    </w:p>
    <w:p w:rsidR="003F07BD" w:rsidRDefault="00264EAF" w:rsidP="00264EAF">
      <w:pPr>
        <w:spacing w:before="120" w:line="240" w:lineRule="exact"/>
        <w:jc w:val="both"/>
        <w:rPr>
          <w:rFonts w:ascii="Arial" w:hAnsi="Arial" w:cs="Arial"/>
          <w:i/>
          <w:color w:val="00B0F0"/>
          <w:sz w:val="22"/>
          <w:szCs w:val="22"/>
        </w:rPr>
      </w:pPr>
      <w:r w:rsidRPr="003F07BD">
        <w:rPr>
          <w:rFonts w:ascii="Arial" w:hAnsi="Arial" w:cs="Arial"/>
          <w:i/>
          <w:color w:val="00B0F0"/>
          <w:sz w:val="22"/>
          <w:szCs w:val="22"/>
        </w:rPr>
        <w:t>indicare le criticità riscontrate</w:t>
      </w:r>
    </w:p>
    <w:p w:rsidR="00264EAF" w:rsidRPr="003F07BD" w:rsidRDefault="003F07BD" w:rsidP="00264EAF">
      <w:pPr>
        <w:spacing w:before="120" w:line="240" w:lineRule="exact"/>
        <w:jc w:val="both"/>
        <w:rPr>
          <w:rFonts w:ascii="Arial" w:hAnsi="Arial" w:cs="Arial"/>
          <w:i/>
          <w:color w:val="00B0F0"/>
          <w:sz w:val="22"/>
          <w:szCs w:val="22"/>
        </w:rPr>
      </w:pPr>
      <w:r>
        <w:rPr>
          <w:rFonts w:ascii="Arial" w:hAnsi="Arial" w:cs="Arial"/>
          <w:i/>
          <w:color w:val="00B0F0"/>
          <w:sz w:val="22"/>
          <w:szCs w:val="22"/>
        </w:rPr>
        <w:t>……..</w:t>
      </w:r>
    </w:p>
    <w:p w:rsidR="00264EAF" w:rsidRPr="00D80990" w:rsidRDefault="00264EAF" w:rsidP="00264EAF">
      <w:pPr>
        <w:spacing w:before="120" w:after="60"/>
        <w:jc w:val="both"/>
        <w:rPr>
          <w:rFonts w:ascii="Arial" w:hAnsi="Arial" w:cs="Arial"/>
          <w:sz w:val="22"/>
          <w:szCs w:val="22"/>
        </w:rPr>
      </w:pPr>
    </w:p>
    <w:p w:rsidR="00001A14" w:rsidRDefault="00001A14" w:rsidP="00001A14">
      <w:pPr>
        <w:spacing w:before="120" w:after="60"/>
        <w:jc w:val="both"/>
        <w:rPr>
          <w:rFonts w:ascii="Arial" w:hAnsi="Arial" w:cs="Arial"/>
          <w:sz w:val="22"/>
          <w:szCs w:val="22"/>
        </w:rPr>
      </w:pPr>
      <w:r w:rsidRPr="00D80990">
        <w:rPr>
          <w:rFonts w:ascii="Arial" w:hAnsi="Arial" w:cs="Arial"/>
          <w:sz w:val="22"/>
          <w:szCs w:val="22"/>
        </w:rPr>
        <w:t>La gestione dell’anno 2017 (</w:t>
      </w:r>
      <w:r w:rsidRPr="00D80990">
        <w:rPr>
          <w:rFonts w:ascii="Arial" w:hAnsi="Arial" w:cs="Arial"/>
          <w:i/>
          <w:sz w:val="22"/>
          <w:szCs w:val="22"/>
        </w:rPr>
        <w:t>oppure: anno 2018 se deliberato il rendiconto</w:t>
      </w:r>
      <w:r w:rsidRPr="00D80990">
        <w:rPr>
          <w:rFonts w:ascii="Arial" w:hAnsi="Arial" w:cs="Arial"/>
          <w:sz w:val="22"/>
          <w:szCs w:val="22"/>
        </w:rPr>
        <w:t>) si è chiusa con un risultato di amministrazione al 31/12/2017 (oppure: al 31/12/2018 se deliberato il rendiconto) così distinto ai sensi dell’art.187 del TUEL:</w:t>
      </w:r>
    </w:p>
    <w:bookmarkStart w:id="10" w:name="_MON_1609225565"/>
    <w:bookmarkEnd w:id="10"/>
    <w:p w:rsidR="006A7CBA" w:rsidRPr="00D80990" w:rsidRDefault="0068516A" w:rsidP="00062BED">
      <w:pPr>
        <w:spacing w:before="120" w:after="60"/>
        <w:jc w:val="center"/>
        <w:rPr>
          <w:rFonts w:ascii="Arial" w:hAnsi="Arial" w:cs="Arial"/>
          <w:sz w:val="22"/>
          <w:szCs w:val="22"/>
        </w:rPr>
      </w:pPr>
      <w:r w:rsidRPr="00213664">
        <w:rPr>
          <w:rFonts w:ascii="Arial" w:hAnsi="Arial" w:cs="Arial"/>
          <w:sz w:val="22"/>
          <w:szCs w:val="22"/>
        </w:rPr>
        <w:object w:dxaOrig="6706" w:dyaOrig="22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38.25pt;height:115.5pt" o:ole="">
            <v:imagedata r:id="rId16" o:title=""/>
          </v:shape>
          <o:OLEObject Type="Embed" ProgID="Excel.Sheet.12" ShapeID="_x0000_i1026" DrawAspect="Content" ObjectID="_1610733389" r:id="rId17"/>
        </w:object>
      </w:r>
    </w:p>
    <w:p w:rsidR="00001A14" w:rsidRDefault="00001A14" w:rsidP="00001A14">
      <w:pPr>
        <w:spacing w:before="120" w:after="60"/>
        <w:ind w:left="142"/>
        <w:jc w:val="center"/>
        <w:rPr>
          <w:rFonts w:ascii="Arial" w:hAnsi="Arial" w:cs="Arial"/>
          <w:sz w:val="22"/>
          <w:szCs w:val="22"/>
        </w:rPr>
      </w:pPr>
      <w:bookmarkStart w:id="11" w:name="RANGE!A2:B9"/>
      <w:bookmarkEnd w:id="11"/>
    </w:p>
    <w:p w:rsidR="006E10DF" w:rsidRDefault="006E10DF" w:rsidP="00001A14">
      <w:pPr>
        <w:spacing w:before="120" w:after="60"/>
        <w:ind w:left="142"/>
        <w:jc w:val="center"/>
        <w:rPr>
          <w:rFonts w:ascii="Arial" w:hAnsi="Arial" w:cs="Arial"/>
          <w:sz w:val="22"/>
          <w:szCs w:val="22"/>
        </w:rPr>
      </w:pPr>
    </w:p>
    <w:p w:rsidR="00001A14" w:rsidRDefault="00001A14" w:rsidP="00001A14">
      <w:pPr>
        <w:spacing w:before="120" w:after="60"/>
        <w:ind w:left="142"/>
        <w:rPr>
          <w:rFonts w:ascii="Arial" w:hAnsi="Arial" w:cs="Arial"/>
          <w:i/>
          <w:sz w:val="22"/>
          <w:szCs w:val="22"/>
          <w:u w:val="single"/>
        </w:rPr>
      </w:pPr>
      <w:r w:rsidRPr="005C55B7">
        <w:rPr>
          <w:rFonts w:ascii="Arial" w:hAnsi="Arial" w:cs="Arial"/>
          <w:i/>
          <w:sz w:val="22"/>
          <w:szCs w:val="22"/>
        </w:rPr>
        <w:t xml:space="preserve">Oppure </w:t>
      </w:r>
      <w:r w:rsidRPr="00615F65">
        <w:rPr>
          <w:rFonts w:ascii="Arial" w:hAnsi="Arial" w:cs="Arial"/>
          <w:i/>
          <w:sz w:val="22"/>
          <w:szCs w:val="22"/>
          <w:u w:val="single"/>
        </w:rPr>
        <w:t>in caso di disavanzo</w:t>
      </w:r>
    </w:p>
    <w:bookmarkStart w:id="12" w:name="_MON_1609225612"/>
    <w:bookmarkEnd w:id="12"/>
    <w:p w:rsidR="006E10DF" w:rsidRDefault="0068516A" w:rsidP="00062BED">
      <w:pPr>
        <w:spacing w:before="120" w:after="60"/>
        <w:ind w:left="142"/>
        <w:jc w:val="center"/>
        <w:rPr>
          <w:rFonts w:ascii="Arial" w:hAnsi="Arial" w:cs="Arial"/>
          <w:i/>
          <w:sz w:val="22"/>
          <w:szCs w:val="22"/>
        </w:rPr>
      </w:pPr>
      <w:r w:rsidRPr="00213664">
        <w:rPr>
          <w:rFonts w:ascii="Arial" w:hAnsi="Arial" w:cs="Arial"/>
          <w:i/>
          <w:sz w:val="22"/>
          <w:szCs w:val="22"/>
        </w:rPr>
        <w:object w:dxaOrig="6706" w:dyaOrig="1994">
          <v:shape id="_x0000_i1027" type="#_x0000_t75" style="width:338.25pt;height:100.5pt" o:ole="">
            <v:imagedata r:id="rId18" o:title=""/>
          </v:shape>
          <o:OLEObject Type="Embed" ProgID="Excel.Sheet.12" ShapeID="_x0000_i1027" DrawAspect="Content" ObjectID="_1610733390" r:id="rId19"/>
        </w:object>
      </w:r>
    </w:p>
    <w:p w:rsidR="006E10DF" w:rsidRPr="005C55B7" w:rsidRDefault="006E10DF" w:rsidP="00001A14">
      <w:pPr>
        <w:spacing w:before="120" w:after="60"/>
        <w:ind w:left="142"/>
        <w:rPr>
          <w:rFonts w:ascii="Arial" w:hAnsi="Arial" w:cs="Arial"/>
          <w:i/>
          <w:sz w:val="22"/>
          <w:szCs w:val="22"/>
        </w:rPr>
      </w:pPr>
    </w:p>
    <w:p w:rsidR="00F71A88" w:rsidRDefault="00F71A88" w:rsidP="004C602C">
      <w:pPr>
        <w:jc w:val="both"/>
        <w:rPr>
          <w:rFonts w:ascii="Arial" w:hAnsi="Arial" w:cs="Arial"/>
          <w:i/>
          <w:color w:val="00B0F0"/>
          <w:sz w:val="22"/>
          <w:szCs w:val="22"/>
        </w:rPr>
      </w:pPr>
    </w:p>
    <w:p w:rsidR="004C602C" w:rsidRPr="00CA3141" w:rsidRDefault="004C602C" w:rsidP="004C602C">
      <w:pPr>
        <w:jc w:val="both"/>
        <w:rPr>
          <w:rFonts w:ascii="Arial" w:hAnsi="Arial" w:cs="Arial"/>
          <w:i/>
          <w:color w:val="00B0F0"/>
          <w:sz w:val="22"/>
          <w:szCs w:val="22"/>
        </w:rPr>
      </w:pPr>
      <w:r w:rsidRPr="00CA3141">
        <w:rPr>
          <w:rFonts w:ascii="Arial" w:hAnsi="Arial" w:cs="Arial"/>
          <w:i/>
          <w:color w:val="00B0F0"/>
          <w:sz w:val="22"/>
          <w:szCs w:val="22"/>
        </w:rPr>
        <w:t>L’articolo 4, comma 6, decreto del Ministero dell’economia e delle finanze, di concerto con il Ministero dell’interno, del 2 aprile 2015, concernente i criteri e le modalità di ripiano dell’eventuale maggiore disavanzo al 1° gennaio 2015, prevede "La nota integrativa al bilancio di previsione indica le modalità di copertura dell’eventuale disavanzo applicato al bilancio distintamente per la quota derivante dal riaccertamento straordinario rispetto a quella derivante dalla gestione ordinaria. La nota integrativa indica altresì le modalità di copertura contabile dell’eventuale disavanzo tecnico di cui all’articolo 3, comma 13, del decreto legislativo n. 118 del 2011."</w:t>
      </w:r>
    </w:p>
    <w:p w:rsidR="004C602C" w:rsidRPr="00CA3141" w:rsidRDefault="004C602C" w:rsidP="004C602C">
      <w:pPr>
        <w:jc w:val="both"/>
        <w:rPr>
          <w:rFonts w:ascii="Arial" w:hAnsi="Arial" w:cs="Arial"/>
          <w:i/>
          <w:color w:val="00B0F0"/>
          <w:sz w:val="22"/>
          <w:szCs w:val="22"/>
        </w:rPr>
      </w:pPr>
      <w:r w:rsidRPr="00CA3141">
        <w:rPr>
          <w:rFonts w:ascii="Arial" w:hAnsi="Arial" w:cs="Arial"/>
          <w:i/>
          <w:color w:val="00B0F0"/>
          <w:sz w:val="22"/>
          <w:szCs w:val="22"/>
        </w:rPr>
        <w:t xml:space="preserve">Pertanto, la nota integrativa descrive la composizione del risultato di amministrazione presunto individuato nell’allegato a) al bilancio di previsione (lettera E), se negativo e, per ciascuna componente del disavanzo, indica le modalità di ripiano definite in attuazione delle rispettive discipline e l’importo da ripianare per ciascuno degli esercizi considerati nel bilancio di previsione.  </w:t>
      </w:r>
    </w:p>
    <w:p w:rsidR="004C602C" w:rsidRPr="0036485D" w:rsidRDefault="004C602C" w:rsidP="004C602C">
      <w:pPr>
        <w:jc w:val="both"/>
        <w:rPr>
          <w:rFonts w:ascii="Arial" w:hAnsi="Arial" w:cs="Arial"/>
          <w:b/>
          <w:i/>
          <w:color w:val="00B0F0"/>
          <w:sz w:val="22"/>
          <w:szCs w:val="22"/>
        </w:rPr>
      </w:pPr>
      <w:r w:rsidRPr="0036485D">
        <w:rPr>
          <w:rFonts w:ascii="Arial" w:hAnsi="Arial" w:cs="Arial"/>
          <w:b/>
          <w:i/>
          <w:color w:val="00B0F0"/>
          <w:sz w:val="22"/>
          <w:szCs w:val="22"/>
        </w:rPr>
        <w:t xml:space="preserve">Tali indicazioni sono sinteticamente riepilogate nelle </w:t>
      </w:r>
      <w:r w:rsidR="0036485D" w:rsidRPr="0036485D">
        <w:rPr>
          <w:rFonts w:ascii="Arial" w:hAnsi="Arial" w:cs="Arial"/>
          <w:b/>
          <w:i/>
          <w:color w:val="00B0F0"/>
          <w:sz w:val="22"/>
          <w:szCs w:val="22"/>
        </w:rPr>
        <w:t>tabelle riportate al punto 9.11.7 del principio contabile 4/1</w:t>
      </w:r>
      <w:r w:rsidR="0036485D">
        <w:rPr>
          <w:rFonts w:ascii="Arial" w:hAnsi="Arial" w:cs="Arial"/>
          <w:b/>
          <w:i/>
          <w:color w:val="00B0F0"/>
          <w:sz w:val="22"/>
          <w:szCs w:val="22"/>
        </w:rPr>
        <w:t>.</w:t>
      </w:r>
    </w:p>
    <w:p w:rsidR="00001A14" w:rsidRDefault="00001A14" w:rsidP="00001A14">
      <w:pPr>
        <w:spacing w:before="120" w:after="60"/>
        <w:ind w:left="142"/>
        <w:jc w:val="center"/>
        <w:rPr>
          <w:rFonts w:ascii="Arial" w:hAnsi="Arial" w:cs="Arial"/>
          <w:sz w:val="22"/>
          <w:szCs w:val="22"/>
        </w:rPr>
      </w:pPr>
    </w:p>
    <w:p w:rsidR="005B6DB5" w:rsidRDefault="005B6DB5" w:rsidP="00001A14">
      <w:pPr>
        <w:spacing w:before="120" w:after="60"/>
        <w:ind w:left="142"/>
        <w:jc w:val="center"/>
        <w:rPr>
          <w:rFonts w:ascii="Arial" w:hAnsi="Arial" w:cs="Arial"/>
          <w:sz w:val="22"/>
          <w:szCs w:val="22"/>
        </w:rPr>
      </w:pPr>
    </w:p>
    <w:p w:rsidR="005B6DB5" w:rsidRDefault="005B6DB5" w:rsidP="00001A14">
      <w:pPr>
        <w:spacing w:before="120" w:after="60"/>
        <w:ind w:left="142"/>
        <w:jc w:val="center"/>
        <w:rPr>
          <w:rFonts w:ascii="Arial" w:hAnsi="Arial" w:cs="Arial"/>
          <w:sz w:val="22"/>
          <w:szCs w:val="22"/>
        </w:rPr>
      </w:pPr>
    </w:p>
    <w:p w:rsidR="005B6DB5" w:rsidRDefault="005B6DB5" w:rsidP="00001A14">
      <w:pPr>
        <w:spacing w:before="120" w:after="60"/>
        <w:ind w:left="142"/>
        <w:jc w:val="center"/>
        <w:rPr>
          <w:rFonts w:ascii="Arial" w:hAnsi="Arial" w:cs="Arial"/>
          <w:sz w:val="22"/>
          <w:szCs w:val="22"/>
        </w:rPr>
      </w:pPr>
    </w:p>
    <w:p w:rsidR="005B6DB5" w:rsidRDefault="005B6DB5" w:rsidP="00001A14">
      <w:pPr>
        <w:spacing w:before="120" w:after="60"/>
        <w:ind w:left="142"/>
        <w:jc w:val="center"/>
        <w:rPr>
          <w:rFonts w:ascii="Arial" w:hAnsi="Arial" w:cs="Arial"/>
          <w:sz w:val="22"/>
          <w:szCs w:val="22"/>
        </w:rPr>
      </w:pPr>
    </w:p>
    <w:p w:rsidR="005B6DB5" w:rsidRDefault="005B6DB5" w:rsidP="00001A14">
      <w:pPr>
        <w:spacing w:before="120" w:after="60"/>
        <w:ind w:left="142"/>
        <w:jc w:val="center"/>
        <w:rPr>
          <w:rFonts w:ascii="Arial" w:hAnsi="Arial" w:cs="Arial"/>
          <w:sz w:val="22"/>
          <w:szCs w:val="22"/>
        </w:rPr>
      </w:pPr>
    </w:p>
    <w:p w:rsidR="005B6DB5" w:rsidRDefault="005B6DB5" w:rsidP="00001A14">
      <w:pPr>
        <w:spacing w:before="120" w:after="60"/>
        <w:ind w:left="142"/>
        <w:jc w:val="center"/>
        <w:rPr>
          <w:rFonts w:ascii="Arial" w:hAnsi="Arial" w:cs="Arial"/>
          <w:sz w:val="22"/>
          <w:szCs w:val="22"/>
        </w:rPr>
      </w:pPr>
    </w:p>
    <w:p w:rsidR="00264EAF" w:rsidRPr="00D80990" w:rsidRDefault="00264EAF" w:rsidP="00264EAF">
      <w:pPr>
        <w:spacing w:before="120" w:after="60"/>
        <w:jc w:val="both"/>
        <w:rPr>
          <w:rFonts w:ascii="Arial" w:hAnsi="Arial" w:cs="Arial"/>
          <w:sz w:val="22"/>
          <w:szCs w:val="22"/>
        </w:rPr>
      </w:pPr>
      <w:r w:rsidRPr="00D80990">
        <w:rPr>
          <w:rFonts w:ascii="Arial" w:hAnsi="Arial" w:cs="Arial"/>
          <w:sz w:val="22"/>
          <w:szCs w:val="22"/>
        </w:rPr>
        <w:t>L’eventuale disavanzo d’amministrazione di importo corrispondente al disavanzo individuato in sede di rendiconto è stato ripianato secondo le modalità dell’art.188 del TUEL, con atto consiliare sul quale l’organo di revisione ha espresso parere, come segue:</w:t>
      </w:r>
    </w:p>
    <w:p w:rsidR="00264EAF" w:rsidRPr="00D80990" w:rsidRDefault="00264EAF" w:rsidP="00264EAF">
      <w:pPr>
        <w:pStyle w:val="Paragrafoelenco"/>
        <w:numPr>
          <w:ilvl w:val="0"/>
          <w:numId w:val="12"/>
        </w:numPr>
        <w:spacing w:before="120" w:after="60"/>
        <w:jc w:val="both"/>
        <w:rPr>
          <w:rFonts w:ascii="Arial" w:hAnsi="Arial" w:cs="Arial"/>
          <w:sz w:val="22"/>
          <w:szCs w:val="22"/>
        </w:rPr>
      </w:pPr>
      <w:r w:rsidRPr="00D80990">
        <w:rPr>
          <w:rFonts w:ascii="Arial" w:hAnsi="Arial" w:cs="Arial"/>
          <w:sz w:val="22"/>
          <w:szCs w:val="22"/>
        </w:rPr>
        <w:t xml:space="preserve">applicato all’esercizio in corso contestualmente alla delibera di approvazione del rendiconto; </w:t>
      </w:r>
    </w:p>
    <w:p w:rsidR="00264EAF" w:rsidRPr="00D80990" w:rsidRDefault="00264EAF" w:rsidP="00264EAF">
      <w:pPr>
        <w:pStyle w:val="Paragrafoelenco"/>
        <w:numPr>
          <w:ilvl w:val="0"/>
          <w:numId w:val="12"/>
        </w:numPr>
        <w:spacing w:before="120" w:after="60"/>
        <w:jc w:val="both"/>
        <w:rPr>
          <w:rFonts w:ascii="Arial" w:hAnsi="Arial" w:cs="Arial"/>
          <w:sz w:val="22"/>
          <w:szCs w:val="22"/>
        </w:rPr>
      </w:pPr>
      <w:r w:rsidRPr="00D80990">
        <w:rPr>
          <w:rFonts w:ascii="Arial" w:hAnsi="Arial" w:cs="Arial"/>
          <w:sz w:val="22"/>
          <w:szCs w:val="22"/>
        </w:rPr>
        <w:t>ripianato negli esercizi successivi non oltre la data della consiliatura con l’adozione di un piano di rientro che individua i mezzi per il ripiano.</w:t>
      </w:r>
    </w:p>
    <w:p w:rsidR="00264EAF" w:rsidRPr="00D80990" w:rsidRDefault="00264EAF" w:rsidP="00264EAF">
      <w:pPr>
        <w:pStyle w:val="Paragrafoelenco"/>
        <w:spacing w:before="120" w:after="60"/>
        <w:ind w:left="360"/>
        <w:jc w:val="both"/>
        <w:rPr>
          <w:rFonts w:ascii="Arial" w:hAnsi="Arial" w:cs="Arial"/>
          <w:sz w:val="22"/>
          <w:szCs w:val="22"/>
        </w:rPr>
      </w:pPr>
    </w:p>
    <w:p w:rsidR="00264EAF" w:rsidRPr="00D80990" w:rsidRDefault="00264EAF" w:rsidP="00264EAF">
      <w:pPr>
        <w:jc w:val="both"/>
        <w:rPr>
          <w:rFonts w:ascii="Arial" w:hAnsi="Arial" w:cs="Arial"/>
          <w:sz w:val="22"/>
          <w:szCs w:val="22"/>
        </w:rPr>
      </w:pPr>
      <w:r w:rsidRPr="00D80990">
        <w:rPr>
          <w:rFonts w:ascii="Arial" w:hAnsi="Arial" w:cs="Arial"/>
          <w:sz w:val="22"/>
          <w:szCs w:val="22"/>
        </w:rPr>
        <w:t>Con delibera consiliare n…….. del ……. sulla quale l’organo di revisione ha espresso parere in data………………. con verbale n………………per il maggior disavanzo determinato nel rispetto del Decreto del Min. Economia del 2/4/2015, è stato disposto il ripiano in ………esercizi (</w:t>
      </w:r>
      <w:r w:rsidRPr="00F2580C">
        <w:rPr>
          <w:rFonts w:ascii="Arial" w:hAnsi="Arial" w:cs="Arial"/>
          <w:i/>
          <w:color w:val="00B0F0"/>
          <w:sz w:val="22"/>
          <w:szCs w:val="22"/>
        </w:rPr>
        <w:t>non più di trenta anni</w:t>
      </w:r>
      <w:r w:rsidRPr="00D80990">
        <w:rPr>
          <w:rFonts w:ascii="Arial" w:hAnsi="Arial" w:cs="Arial"/>
          <w:color w:val="365F91" w:themeColor="accent1" w:themeShade="BF"/>
          <w:sz w:val="22"/>
          <w:szCs w:val="22"/>
        </w:rPr>
        <w:t xml:space="preserve">) </w:t>
      </w:r>
      <w:r w:rsidRPr="00D80990">
        <w:rPr>
          <w:rFonts w:ascii="Arial" w:hAnsi="Arial" w:cs="Arial"/>
          <w:sz w:val="22"/>
          <w:szCs w:val="22"/>
        </w:rPr>
        <w:t>a quote annuali costanti di euro…………………..</w:t>
      </w:r>
    </w:p>
    <w:p w:rsidR="00264EAF" w:rsidRPr="00D80990" w:rsidRDefault="00264EAF" w:rsidP="00264EAF">
      <w:pPr>
        <w:jc w:val="both"/>
        <w:rPr>
          <w:rFonts w:ascii="Arial" w:hAnsi="Arial" w:cs="Arial"/>
          <w:sz w:val="22"/>
          <w:szCs w:val="22"/>
        </w:rPr>
      </w:pPr>
    </w:p>
    <w:p w:rsidR="00264EAF" w:rsidRDefault="00264EAF" w:rsidP="00264EAF">
      <w:pPr>
        <w:jc w:val="both"/>
        <w:rPr>
          <w:rFonts w:ascii="Arial" w:hAnsi="Arial" w:cs="Arial"/>
          <w:sz w:val="22"/>
          <w:szCs w:val="22"/>
        </w:rPr>
      </w:pPr>
      <w:r w:rsidRPr="00D80990">
        <w:rPr>
          <w:rFonts w:ascii="Arial" w:hAnsi="Arial" w:cs="Arial"/>
          <w:sz w:val="22"/>
          <w:szCs w:val="22"/>
        </w:rPr>
        <w:t>(</w:t>
      </w:r>
      <w:r w:rsidRPr="00D80990">
        <w:rPr>
          <w:rFonts w:ascii="Arial" w:hAnsi="Arial" w:cs="Arial"/>
          <w:i/>
          <w:sz w:val="22"/>
          <w:szCs w:val="22"/>
        </w:rPr>
        <w:t>nel caso di piano di rientro</w:t>
      </w:r>
      <w:r w:rsidRPr="00D80990">
        <w:rPr>
          <w:rFonts w:ascii="Arial" w:hAnsi="Arial" w:cs="Arial"/>
          <w:sz w:val="22"/>
          <w:szCs w:val="22"/>
        </w:rPr>
        <w:t xml:space="preserve">) </w:t>
      </w:r>
    </w:p>
    <w:p w:rsidR="00CF15CD" w:rsidRPr="00D80990" w:rsidRDefault="00CF15CD" w:rsidP="00264EAF">
      <w:pPr>
        <w:jc w:val="both"/>
        <w:rPr>
          <w:rFonts w:ascii="Arial" w:hAnsi="Arial" w:cs="Arial"/>
          <w:sz w:val="22"/>
          <w:szCs w:val="22"/>
        </w:rPr>
      </w:pPr>
    </w:p>
    <w:p w:rsidR="00264EAF" w:rsidRPr="00D80990" w:rsidRDefault="00264EAF" w:rsidP="00264EAF">
      <w:pPr>
        <w:jc w:val="both"/>
        <w:rPr>
          <w:rFonts w:ascii="Arial" w:hAnsi="Arial" w:cs="Arial"/>
          <w:sz w:val="22"/>
          <w:szCs w:val="22"/>
        </w:rPr>
      </w:pPr>
      <w:r w:rsidRPr="00D80990">
        <w:rPr>
          <w:rFonts w:ascii="Arial" w:hAnsi="Arial" w:cs="Arial"/>
          <w:sz w:val="22"/>
          <w:szCs w:val="22"/>
        </w:rPr>
        <w:t>L’organo di revisione ha verificato il rispetto del piano di rientro formulando sulla relazione semestrale del Sinda</w:t>
      </w:r>
      <w:r w:rsidR="00F2580C">
        <w:rPr>
          <w:rFonts w:ascii="Arial" w:hAnsi="Arial" w:cs="Arial"/>
          <w:sz w:val="22"/>
          <w:szCs w:val="22"/>
        </w:rPr>
        <w:t>co parere favorevole con verbale</w:t>
      </w:r>
      <w:r w:rsidRPr="00D80990">
        <w:rPr>
          <w:rFonts w:ascii="Arial" w:hAnsi="Arial" w:cs="Arial"/>
          <w:sz w:val="22"/>
          <w:szCs w:val="22"/>
        </w:rPr>
        <w:t xml:space="preserve"> n…… del …..</w:t>
      </w:r>
    </w:p>
    <w:p w:rsidR="00CF15CD" w:rsidRDefault="00CF15CD" w:rsidP="00264EAF">
      <w:pPr>
        <w:jc w:val="both"/>
        <w:rPr>
          <w:rFonts w:ascii="Arial" w:hAnsi="Arial" w:cs="Arial"/>
          <w:i/>
          <w:sz w:val="22"/>
          <w:szCs w:val="22"/>
        </w:rPr>
      </w:pPr>
    </w:p>
    <w:p w:rsidR="00264EAF" w:rsidRDefault="00264EAF" w:rsidP="00264EAF">
      <w:pPr>
        <w:jc w:val="both"/>
        <w:rPr>
          <w:rFonts w:ascii="Arial" w:hAnsi="Arial" w:cs="Arial"/>
          <w:i/>
          <w:sz w:val="22"/>
          <w:szCs w:val="22"/>
        </w:rPr>
      </w:pPr>
      <w:r w:rsidRPr="00D80990">
        <w:rPr>
          <w:rFonts w:ascii="Arial" w:hAnsi="Arial" w:cs="Arial"/>
          <w:i/>
          <w:sz w:val="22"/>
          <w:szCs w:val="22"/>
        </w:rPr>
        <w:t>(oppure)</w:t>
      </w:r>
    </w:p>
    <w:p w:rsidR="00FC302C" w:rsidRPr="00D80990" w:rsidRDefault="00FC302C" w:rsidP="00264EAF">
      <w:pPr>
        <w:jc w:val="both"/>
        <w:rPr>
          <w:rFonts w:ascii="Arial" w:hAnsi="Arial" w:cs="Arial"/>
          <w:sz w:val="22"/>
          <w:szCs w:val="22"/>
        </w:rPr>
      </w:pPr>
    </w:p>
    <w:p w:rsidR="00264EAF" w:rsidRPr="00D80990" w:rsidRDefault="00264EAF" w:rsidP="00264EAF">
      <w:pPr>
        <w:jc w:val="both"/>
        <w:rPr>
          <w:rFonts w:ascii="Arial" w:hAnsi="Arial" w:cs="Arial"/>
          <w:sz w:val="22"/>
          <w:szCs w:val="22"/>
        </w:rPr>
      </w:pPr>
      <w:r w:rsidRPr="00D80990">
        <w:rPr>
          <w:rFonts w:ascii="Arial" w:hAnsi="Arial" w:cs="Arial"/>
          <w:sz w:val="22"/>
          <w:szCs w:val="22"/>
        </w:rPr>
        <w:t>L’organo di revisione ha rilevato, come indicato ne</w:t>
      </w:r>
      <w:r w:rsidR="00F2580C">
        <w:rPr>
          <w:rFonts w:ascii="Arial" w:hAnsi="Arial" w:cs="Arial"/>
          <w:sz w:val="22"/>
          <w:szCs w:val="22"/>
        </w:rPr>
        <w:t>i</w:t>
      </w:r>
      <w:r w:rsidRPr="00D80990">
        <w:rPr>
          <w:rFonts w:ascii="Arial" w:hAnsi="Arial" w:cs="Arial"/>
          <w:sz w:val="22"/>
          <w:szCs w:val="22"/>
        </w:rPr>
        <w:t xml:space="preserve"> verbali n……. del……., il mancato rispetto del piano di rientro e a tal fine ritiene necessario che nelle previsioni 2019-2021 sia data copertura al mancato rientro.</w:t>
      </w:r>
    </w:p>
    <w:p w:rsidR="00264EAF" w:rsidRPr="00D80990" w:rsidRDefault="00264EAF" w:rsidP="00264EAF">
      <w:pPr>
        <w:jc w:val="both"/>
        <w:rPr>
          <w:rFonts w:ascii="Arial" w:hAnsi="Arial" w:cs="Arial"/>
          <w:sz w:val="22"/>
          <w:szCs w:val="22"/>
        </w:rPr>
      </w:pPr>
      <w:r w:rsidRPr="00D80990">
        <w:rPr>
          <w:rFonts w:ascii="Arial" w:hAnsi="Arial" w:cs="Arial"/>
          <w:sz w:val="22"/>
          <w:szCs w:val="22"/>
        </w:rPr>
        <w:t>Dalle comunicazioni ricevute non risultano debiti fuori bilancio da riconoscere e finanziare.</w:t>
      </w:r>
    </w:p>
    <w:p w:rsidR="00F2580C" w:rsidRDefault="00F2580C" w:rsidP="00264EAF">
      <w:pPr>
        <w:jc w:val="both"/>
        <w:rPr>
          <w:rFonts w:ascii="Arial" w:hAnsi="Arial" w:cs="Arial"/>
          <w:i/>
          <w:sz w:val="22"/>
          <w:szCs w:val="22"/>
        </w:rPr>
      </w:pPr>
    </w:p>
    <w:p w:rsidR="00264EAF" w:rsidRDefault="00CF15CD" w:rsidP="00264EAF">
      <w:pPr>
        <w:jc w:val="both"/>
        <w:rPr>
          <w:rFonts w:ascii="Arial" w:hAnsi="Arial" w:cs="Arial"/>
          <w:i/>
          <w:sz w:val="22"/>
          <w:szCs w:val="22"/>
        </w:rPr>
      </w:pPr>
      <w:r>
        <w:rPr>
          <w:rFonts w:ascii="Arial" w:hAnsi="Arial" w:cs="Arial"/>
          <w:i/>
          <w:sz w:val="22"/>
          <w:szCs w:val="22"/>
        </w:rPr>
        <w:t>(oppure)</w:t>
      </w:r>
    </w:p>
    <w:p w:rsidR="00CF15CD" w:rsidRPr="00D80990" w:rsidRDefault="00CF15CD" w:rsidP="00264EAF">
      <w:pPr>
        <w:jc w:val="both"/>
        <w:rPr>
          <w:rFonts w:ascii="Arial" w:hAnsi="Arial" w:cs="Arial"/>
          <w:sz w:val="22"/>
          <w:szCs w:val="22"/>
        </w:rPr>
      </w:pPr>
    </w:p>
    <w:p w:rsidR="00264EAF" w:rsidRPr="00D80990" w:rsidRDefault="00264EAF" w:rsidP="00264EAF">
      <w:pPr>
        <w:jc w:val="both"/>
        <w:rPr>
          <w:rFonts w:ascii="Arial" w:hAnsi="Arial" w:cs="Arial"/>
          <w:sz w:val="22"/>
          <w:szCs w:val="22"/>
        </w:rPr>
      </w:pPr>
      <w:r w:rsidRPr="00D80990">
        <w:rPr>
          <w:rFonts w:ascii="Arial" w:hAnsi="Arial" w:cs="Arial"/>
          <w:sz w:val="22"/>
          <w:szCs w:val="22"/>
        </w:rPr>
        <w:t>Dalle comunicazioni ricevute risultano debiti fuori bilancio e a tal fine ritiene necessario che nelle previsioni 2019-2021 sia data copertura.</w:t>
      </w:r>
    </w:p>
    <w:p w:rsidR="00264EAF" w:rsidRPr="00D80990" w:rsidRDefault="00264EAF" w:rsidP="00264EAF">
      <w:pPr>
        <w:rPr>
          <w:rFonts w:ascii="Arial" w:hAnsi="Arial" w:cs="Arial"/>
          <w:sz w:val="22"/>
          <w:szCs w:val="22"/>
        </w:rPr>
      </w:pPr>
    </w:p>
    <w:p w:rsidR="00264EAF" w:rsidRPr="00D80990" w:rsidRDefault="00264EAF" w:rsidP="00264EAF">
      <w:pPr>
        <w:jc w:val="both"/>
        <w:rPr>
          <w:rFonts w:ascii="Arial" w:hAnsi="Arial" w:cs="Arial"/>
          <w:sz w:val="22"/>
          <w:szCs w:val="22"/>
        </w:rPr>
      </w:pPr>
      <w:r w:rsidRPr="00D80990">
        <w:rPr>
          <w:rFonts w:ascii="Arial" w:hAnsi="Arial" w:cs="Arial"/>
          <w:sz w:val="22"/>
          <w:szCs w:val="22"/>
        </w:rPr>
        <w:t xml:space="preserve">Dalle comunicazioni ricevute e dalle verifiche effettuate non risultano passività potenziali probabili per una entità superiore al fondo accantonato nel risultato d’amministrazione. </w:t>
      </w:r>
    </w:p>
    <w:p w:rsidR="00F2580C" w:rsidRDefault="00F2580C" w:rsidP="00264EAF">
      <w:pPr>
        <w:jc w:val="both"/>
        <w:rPr>
          <w:rFonts w:ascii="Arial" w:hAnsi="Arial" w:cs="Arial"/>
          <w:i/>
          <w:sz w:val="22"/>
          <w:szCs w:val="22"/>
        </w:rPr>
      </w:pPr>
    </w:p>
    <w:p w:rsidR="00264EAF" w:rsidRPr="00D80990" w:rsidRDefault="00264EAF" w:rsidP="00264EAF">
      <w:pPr>
        <w:jc w:val="both"/>
        <w:rPr>
          <w:rFonts w:ascii="Arial" w:hAnsi="Arial" w:cs="Arial"/>
          <w:sz w:val="22"/>
          <w:szCs w:val="22"/>
        </w:rPr>
      </w:pPr>
      <w:r w:rsidRPr="00D80990">
        <w:rPr>
          <w:rFonts w:ascii="Arial" w:hAnsi="Arial" w:cs="Arial"/>
          <w:i/>
          <w:sz w:val="22"/>
          <w:szCs w:val="22"/>
        </w:rPr>
        <w:t>(oppure</w:t>
      </w:r>
      <w:r w:rsidRPr="00D80990">
        <w:rPr>
          <w:rFonts w:ascii="Arial" w:hAnsi="Arial" w:cs="Arial"/>
          <w:sz w:val="22"/>
          <w:szCs w:val="22"/>
        </w:rPr>
        <w:t xml:space="preserve">): </w:t>
      </w:r>
    </w:p>
    <w:p w:rsidR="00FC302C" w:rsidRDefault="00FC302C" w:rsidP="00264EAF">
      <w:pPr>
        <w:jc w:val="both"/>
        <w:rPr>
          <w:rFonts w:ascii="Arial" w:hAnsi="Arial" w:cs="Arial"/>
          <w:sz w:val="22"/>
          <w:szCs w:val="22"/>
        </w:rPr>
      </w:pPr>
    </w:p>
    <w:p w:rsidR="00264EAF" w:rsidRPr="00D80990" w:rsidRDefault="00264EAF" w:rsidP="00264EAF">
      <w:pPr>
        <w:jc w:val="both"/>
        <w:rPr>
          <w:rFonts w:ascii="Arial" w:hAnsi="Arial" w:cs="Arial"/>
          <w:sz w:val="22"/>
          <w:szCs w:val="22"/>
        </w:rPr>
      </w:pPr>
      <w:r w:rsidRPr="00D80990">
        <w:rPr>
          <w:rFonts w:ascii="Arial" w:hAnsi="Arial" w:cs="Arial"/>
          <w:sz w:val="22"/>
          <w:szCs w:val="22"/>
        </w:rPr>
        <w:t>Dalle comunicazioni ricevute e dalle verifiche effettuate risultano passività potenziali probabili di entità superiore al fondo accantonato nel risultato di amministrazione per cui si rende necessario provvedere al finanziamento nel bilancio di previsione 2019-2021.</w:t>
      </w:r>
    </w:p>
    <w:p w:rsidR="00264EAF" w:rsidRPr="00D80990" w:rsidRDefault="00264EAF" w:rsidP="00264EAF">
      <w:pPr>
        <w:rPr>
          <w:rFonts w:ascii="Arial" w:hAnsi="Arial" w:cs="Arial"/>
          <w:sz w:val="22"/>
          <w:szCs w:val="22"/>
        </w:rPr>
      </w:pPr>
    </w:p>
    <w:p w:rsidR="00264EAF" w:rsidRPr="00D80990" w:rsidRDefault="00264EAF" w:rsidP="00264EAF">
      <w:pPr>
        <w:tabs>
          <w:tab w:val="num" w:pos="1260"/>
        </w:tabs>
        <w:rPr>
          <w:rFonts w:ascii="Arial" w:hAnsi="Arial" w:cs="Arial"/>
          <w:sz w:val="22"/>
          <w:szCs w:val="22"/>
        </w:rPr>
      </w:pPr>
      <w:r w:rsidRPr="00D80990">
        <w:rPr>
          <w:rFonts w:ascii="Arial" w:hAnsi="Arial" w:cs="Arial"/>
          <w:sz w:val="22"/>
          <w:szCs w:val="22"/>
        </w:rPr>
        <w:t xml:space="preserve">La </w:t>
      </w:r>
      <w:r w:rsidRPr="00D80990">
        <w:rPr>
          <w:rFonts w:ascii="Arial" w:hAnsi="Arial" w:cs="Arial"/>
          <w:bCs/>
          <w:sz w:val="22"/>
          <w:szCs w:val="22"/>
        </w:rPr>
        <w:t>situazione di cassa</w:t>
      </w:r>
      <w:r w:rsidRPr="00D80990">
        <w:rPr>
          <w:rFonts w:ascii="Arial" w:hAnsi="Arial" w:cs="Arial"/>
          <w:sz w:val="22"/>
          <w:szCs w:val="22"/>
        </w:rPr>
        <w:t xml:space="preserve"> dell´ Ente al 31 dicembre degli ultimi tre esercizi presenta i seguenti risultati: </w:t>
      </w:r>
    </w:p>
    <w:p w:rsidR="00264EAF" w:rsidRPr="00D80990" w:rsidRDefault="00264EAF" w:rsidP="00264EAF">
      <w:pPr>
        <w:tabs>
          <w:tab w:val="num" w:pos="1260"/>
        </w:tabs>
        <w:rPr>
          <w:rFonts w:ascii="Arial" w:hAnsi="Arial" w:cs="Arial"/>
          <w:sz w:val="22"/>
          <w:szCs w:val="22"/>
        </w:rPr>
      </w:pPr>
    </w:p>
    <w:bookmarkStart w:id="13" w:name="_MON_1609225794"/>
    <w:bookmarkEnd w:id="13"/>
    <w:p w:rsidR="00264EAF" w:rsidRDefault="0068516A" w:rsidP="00FC302C">
      <w:pPr>
        <w:tabs>
          <w:tab w:val="num" w:pos="1260"/>
        </w:tabs>
        <w:jc w:val="center"/>
        <w:rPr>
          <w:rFonts w:ascii="Arial" w:hAnsi="Arial" w:cs="Arial"/>
          <w:sz w:val="22"/>
          <w:szCs w:val="22"/>
        </w:rPr>
      </w:pPr>
      <w:r w:rsidRPr="00213664">
        <w:rPr>
          <w:rFonts w:ascii="Arial" w:hAnsi="Arial" w:cs="Arial"/>
          <w:sz w:val="22"/>
          <w:szCs w:val="22"/>
        </w:rPr>
        <w:object w:dxaOrig="8265" w:dyaOrig="1007">
          <v:shape id="_x0000_i1028" type="#_x0000_t75" style="width:410.25pt;height:50.25pt" o:ole="">
            <v:imagedata r:id="rId20" o:title=""/>
          </v:shape>
          <o:OLEObject Type="Embed" ProgID="Excel.Sheet.12" ShapeID="_x0000_i1028" DrawAspect="Content" ObjectID="_1610733391" r:id="rId21"/>
        </w:object>
      </w:r>
    </w:p>
    <w:p w:rsidR="00FC302C" w:rsidRDefault="00FC302C" w:rsidP="00264EAF">
      <w:pPr>
        <w:tabs>
          <w:tab w:val="num" w:pos="1260"/>
        </w:tabs>
        <w:jc w:val="both"/>
        <w:rPr>
          <w:rFonts w:ascii="Arial" w:hAnsi="Arial" w:cs="Arial"/>
          <w:sz w:val="22"/>
          <w:szCs w:val="22"/>
        </w:rPr>
      </w:pPr>
    </w:p>
    <w:p w:rsidR="00264EAF" w:rsidRDefault="00264EAF" w:rsidP="00264EAF">
      <w:pPr>
        <w:jc w:val="both"/>
        <w:rPr>
          <w:rFonts w:ascii="Arial" w:hAnsi="Arial" w:cs="Arial"/>
          <w:bCs/>
          <w:sz w:val="22"/>
          <w:szCs w:val="22"/>
        </w:rPr>
      </w:pPr>
      <w:r w:rsidRPr="00D80990">
        <w:rPr>
          <w:rFonts w:ascii="Arial" w:hAnsi="Arial" w:cs="Arial"/>
          <w:bCs/>
          <w:sz w:val="22"/>
          <w:szCs w:val="22"/>
        </w:rPr>
        <w:t xml:space="preserve">L’ente </w:t>
      </w:r>
      <w:r w:rsidRPr="00D80990">
        <w:rPr>
          <w:rFonts w:ascii="Arial" w:hAnsi="Arial" w:cs="Arial"/>
          <w:b/>
          <w:bCs/>
          <w:i/>
          <w:sz w:val="22"/>
          <w:szCs w:val="22"/>
        </w:rPr>
        <w:t>si è/ non si è</w:t>
      </w:r>
      <w:r w:rsidRPr="00D80990">
        <w:rPr>
          <w:rFonts w:ascii="Arial" w:hAnsi="Arial" w:cs="Arial"/>
          <w:bCs/>
          <w:sz w:val="22"/>
          <w:szCs w:val="22"/>
        </w:rPr>
        <w:t xml:space="preserve"> dotato di scritture contabili atte a determinare in ogni momento l’entità della giacenza della cassa vincolata per rendere possibile la conciliazione con la cassa vincolata del tesoriere.</w:t>
      </w:r>
    </w:p>
    <w:p w:rsidR="000D5C03" w:rsidRDefault="000D5C03">
      <w:pPr>
        <w:rPr>
          <w:rFonts w:ascii="Arial" w:hAnsi="Arial" w:cs="Arial"/>
          <w:bCs/>
          <w:sz w:val="22"/>
          <w:szCs w:val="22"/>
        </w:rPr>
      </w:pPr>
      <w:r>
        <w:rPr>
          <w:rFonts w:ascii="Arial" w:hAnsi="Arial" w:cs="Arial"/>
          <w:bCs/>
          <w:sz w:val="22"/>
          <w:szCs w:val="22"/>
        </w:rPr>
        <w:br w:type="page"/>
      </w:r>
    </w:p>
    <w:p w:rsidR="009F6E3E" w:rsidRPr="00D80990" w:rsidRDefault="007F766F">
      <w:pPr>
        <w:pStyle w:val="Titolo1"/>
        <w:shd w:val="clear" w:color="auto" w:fill="B6DDE8" w:themeFill="accent5" w:themeFillTint="66"/>
      </w:pPr>
      <w:bookmarkStart w:id="14" w:name="_Toc535487600"/>
      <w:r w:rsidRPr="00D80990">
        <w:lastRenderedPageBreak/>
        <w:t xml:space="preserve">BILANCIO DI PREVISIONE </w:t>
      </w:r>
      <w:bookmarkEnd w:id="3"/>
      <w:r w:rsidR="00CB26F7" w:rsidRPr="00D80990">
        <w:t>2019</w:t>
      </w:r>
      <w:r w:rsidRPr="00D80990">
        <w:t>-202</w:t>
      </w:r>
      <w:r w:rsidR="00CB26F7" w:rsidRPr="00D80990">
        <w:t>1</w:t>
      </w:r>
      <w:bookmarkEnd w:id="14"/>
    </w:p>
    <w:p w:rsidR="00E453A3" w:rsidRPr="00D80990" w:rsidRDefault="00E453A3" w:rsidP="00E453A3">
      <w:pPr>
        <w:autoSpaceDE w:val="0"/>
        <w:autoSpaceDN w:val="0"/>
        <w:adjustRightInd w:val="0"/>
        <w:jc w:val="both"/>
        <w:rPr>
          <w:rFonts w:ascii="Arial" w:hAnsi="Arial" w:cs="Arial"/>
          <w:sz w:val="22"/>
          <w:szCs w:val="22"/>
        </w:rPr>
      </w:pPr>
      <w:bookmarkStart w:id="15" w:name="_Toc346838819"/>
      <w:r>
        <w:rPr>
          <w:rFonts w:ascii="Arial" w:hAnsi="Arial" w:cs="Arial"/>
          <w:sz w:val="22"/>
          <w:szCs w:val="22"/>
        </w:rPr>
        <w:t>L’Organo di revisione ha verificato, mediante controlli a campione, che il sistema contabile adottato dall’ente, nell’ambito del quale è stato predisposto il bilancio di previsione, utilizza le codifiche della contabilità armonizzata.</w:t>
      </w:r>
    </w:p>
    <w:p w:rsidR="00615F65" w:rsidRDefault="00615F65" w:rsidP="00E453A3">
      <w:pPr>
        <w:autoSpaceDE w:val="0"/>
        <w:autoSpaceDN w:val="0"/>
        <w:adjustRightInd w:val="0"/>
        <w:jc w:val="both"/>
        <w:rPr>
          <w:rFonts w:ascii="Arial" w:hAnsi="Arial" w:cs="Arial"/>
          <w:sz w:val="22"/>
          <w:szCs w:val="22"/>
        </w:rPr>
      </w:pPr>
    </w:p>
    <w:p w:rsidR="00E453A3" w:rsidRPr="00D80990" w:rsidRDefault="00E453A3" w:rsidP="00E453A3">
      <w:pPr>
        <w:autoSpaceDE w:val="0"/>
        <w:autoSpaceDN w:val="0"/>
        <w:adjustRightInd w:val="0"/>
        <w:jc w:val="both"/>
        <w:rPr>
          <w:rFonts w:ascii="Arial" w:hAnsi="Arial" w:cs="Arial"/>
          <w:sz w:val="22"/>
          <w:szCs w:val="22"/>
        </w:rPr>
      </w:pPr>
      <w:r w:rsidRPr="00D80990">
        <w:rPr>
          <w:rFonts w:ascii="Arial" w:hAnsi="Arial" w:cs="Arial"/>
          <w:sz w:val="22"/>
          <w:szCs w:val="22"/>
        </w:rPr>
        <w:t>Il bilancio di previsione proposto rispett</w:t>
      </w:r>
      <w:r>
        <w:rPr>
          <w:rFonts w:ascii="Arial" w:hAnsi="Arial" w:cs="Arial"/>
          <w:sz w:val="22"/>
          <w:szCs w:val="22"/>
        </w:rPr>
        <w:t>ail</w:t>
      </w:r>
      <w:r w:rsidRPr="00D80990">
        <w:rPr>
          <w:rFonts w:ascii="Arial" w:hAnsi="Arial" w:cs="Arial"/>
          <w:sz w:val="22"/>
          <w:szCs w:val="22"/>
        </w:rPr>
        <w:t xml:space="preserve"> pareggio finanziario complessivo di competenza e </w:t>
      </w:r>
      <w:r>
        <w:rPr>
          <w:rFonts w:ascii="Arial" w:hAnsi="Arial" w:cs="Arial"/>
          <w:sz w:val="22"/>
          <w:szCs w:val="22"/>
        </w:rPr>
        <w:t>gli</w:t>
      </w:r>
      <w:r w:rsidRPr="00D80990">
        <w:rPr>
          <w:rFonts w:ascii="Arial" w:hAnsi="Arial" w:cs="Arial"/>
          <w:sz w:val="22"/>
          <w:szCs w:val="22"/>
        </w:rPr>
        <w:t xml:space="preserve"> equilibri di parte corrente e in conto capitale</w:t>
      </w:r>
      <w:r>
        <w:rPr>
          <w:rFonts w:ascii="Arial" w:hAnsi="Arial" w:cs="Arial"/>
          <w:sz w:val="22"/>
          <w:szCs w:val="22"/>
        </w:rPr>
        <w:t>, ai sensi dell’articolo 162 del Tuel.</w:t>
      </w:r>
    </w:p>
    <w:p w:rsidR="00615F65" w:rsidRDefault="00615F65" w:rsidP="00E453A3">
      <w:pPr>
        <w:autoSpaceDE w:val="0"/>
        <w:autoSpaceDN w:val="0"/>
        <w:adjustRightInd w:val="0"/>
        <w:jc w:val="both"/>
        <w:rPr>
          <w:rFonts w:ascii="Arial" w:hAnsi="Arial" w:cs="Arial"/>
          <w:sz w:val="22"/>
          <w:szCs w:val="22"/>
        </w:rPr>
      </w:pPr>
    </w:p>
    <w:p w:rsidR="00E453A3" w:rsidRDefault="00E453A3" w:rsidP="00E453A3">
      <w:pPr>
        <w:autoSpaceDE w:val="0"/>
        <w:autoSpaceDN w:val="0"/>
        <w:adjustRightInd w:val="0"/>
        <w:jc w:val="both"/>
        <w:rPr>
          <w:rFonts w:ascii="Arial" w:hAnsi="Arial" w:cs="Arial"/>
          <w:sz w:val="22"/>
          <w:szCs w:val="22"/>
        </w:rPr>
      </w:pPr>
      <w:r w:rsidRPr="00D80990">
        <w:rPr>
          <w:rFonts w:ascii="Arial" w:hAnsi="Arial" w:cs="Arial"/>
          <w:sz w:val="22"/>
          <w:szCs w:val="22"/>
        </w:rPr>
        <w:t xml:space="preserve">Le previsioni di competenza per gli anni 2019, 2020 e 2021 confrontate con le previsioni definitive per l’anno 2018 sono così formulate: </w:t>
      </w:r>
    </w:p>
    <w:p w:rsidR="0098773B" w:rsidRDefault="0098773B" w:rsidP="00E453A3">
      <w:pPr>
        <w:autoSpaceDE w:val="0"/>
        <w:autoSpaceDN w:val="0"/>
        <w:adjustRightInd w:val="0"/>
        <w:jc w:val="both"/>
        <w:rPr>
          <w:rFonts w:ascii="Arial" w:hAnsi="Arial" w:cs="Arial"/>
          <w:sz w:val="22"/>
          <w:szCs w:val="22"/>
        </w:rPr>
      </w:pPr>
    </w:p>
    <w:p w:rsidR="0098773B" w:rsidRPr="00D80990" w:rsidRDefault="0098773B" w:rsidP="00E453A3">
      <w:pPr>
        <w:autoSpaceDE w:val="0"/>
        <w:autoSpaceDN w:val="0"/>
        <w:adjustRightInd w:val="0"/>
        <w:jc w:val="both"/>
        <w:rPr>
          <w:rFonts w:ascii="Arial" w:hAnsi="Arial" w:cs="Arial"/>
          <w:sz w:val="22"/>
          <w:szCs w:val="22"/>
        </w:rPr>
      </w:pPr>
    </w:p>
    <w:p w:rsidR="00E453A3" w:rsidRPr="00D80990" w:rsidRDefault="00E453A3" w:rsidP="00E453A3">
      <w:pPr>
        <w:pStyle w:val="Titolo2"/>
      </w:pPr>
      <w:bookmarkStart w:id="16" w:name="_Toc535487601"/>
      <w:r w:rsidRPr="00D80990">
        <w:t>Riepilogo generale entrate e spese per titoli</w:t>
      </w:r>
      <w:bookmarkEnd w:id="15"/>
      <w:bookmarkEnd w:id="16"/>
    </w:p>
    <w:p w:rsidR="00E453A3" w:rsidRDefault="00E453A3" w:rsidP="00E453A3">
      <w:pPr>
        <w:rPr>
          <w:rFonts w:ascii="Arial" w:hAnsi="Arial" w:cs="Arial"/>
        </w:rPr>
      </w:pPr>
    </w:p>
    <w:p w:rsidR="005D790B" w:rsidRDefault="005D790B" w:rsidP="00B531CC">
      <w:pPr>
        <w:tabs>
          <w:tab w:val="left" w:pos="2325"/>
          <w:tab w:val="left" w:pos="5387"/>
        </w:tabs>
        <w:rPr>
          <w:rFonts w:ascii="Arial" w:hAnsi="Arial" w:cs="Arial"/>
          <w:b/>
          <w:u w:val="single"/>
        </w:rPr>
      </w:pPr>
      <w:r>
        <w:br w:type="page"/>
      </w:r>
      <w:bookmarkStart w:id="17" w:name="_MON_1609225884"/>
      <w:bookmarkEnd w:id="17"/>
      <w:r w:rsidR="00B531CC">
        <w:object w:dxaOrig="18272" w:dyaOrig="21622">
          <v:shape id="_x0000_i1029" type="#_x0000_t75" style="width:474.75pt;height:568.5pt" o:ole="">
            <v:imagedata r:id="rId22" o:title=""/>
          </v:shape>
          <o:OLEObject Type="Embed" ProgID="Excel.Sheet.12" ShapeID="_x0000_i1029" DrawAspect="Content" ObjectID="_1610733392" r:id="rId23"/>
        </w:object>
      </w:r>
    </w:p>
    <w:p w:rsidR="00662097" w:rsidRDefault="00062BED" w:rsidP="00E453A3">
      <w:pPr>
        <w:pStyle w:val="Corpodeltesto2"/>
        <w:spacing w:before="120"/>
        <w:jc w:val="both"/>
        <w:rPr>
          <w:szCs w:val="22"/>
        </w:rPr>
      </w:pPr>
      <w:r w:rsidRPr="00213664">
        <w:rPr>
          <w:szCs w:val="22"/>
        </w:rPr>
        <w:object w:dxaOrig="18932" w:dyaOrig="16235">
          <v:shape id="_x0000_i1030" type="#_x0000_t75" style="width:497.25pt;height:424.5pt" o:ole="">
            <v:imagedata r:id="rId24" o:title=""/>
          </v:shape>
          <o:OLEObject Type="Embed" ProgID="Excel.Sheet.12" ShapeID="_x0000_i1030" DrawAspect="Content" ObjectID="_1610733393" r:id="rId25"/>
        </w:object>
      </w:r>
    </w:p>
    <w:p w:rsidR="00E453A3" w:rsidRPr="00D80990" w:rsidRDefault="00E453A3" w:rsidP="00E453A3">
      <w:pPr>
        <w:pStyle w:val="Corpodeltesto2"/>
        <w:spacing w:before="120"/>
        <w:jc w:val="both"/>
        <w:rPr>
          <w:szCs w:val="22"/>
        </w:rPr>
      </w:pPr>
      <w:r w:rsidRPr="00D80990">
        <w:rPr>
          <w:szCs w:val="22"/>
        </w:rPr>
        <w:t xml:space="preserve">Le previsioni di competenza rispettano il </w:t>
      </w:r>
      <w:r w:rsidRPr="0068516A">
        <w:rPr>
          <w:rStyle w:val="Collegamentoipertestuale"/>
          <w:rFonts w:cs="Arial"/>
          <w:color w:val="auto"/>
          <w:szCs w:val="22"/>
          <w:u w:val="none"/>
        </w:rPr>
        <w:t>principio generale n.16</w:t>
      </w:r>
      <w:r>
        <w:rPr>
          <w:szCs w:val="22"/>
        </w:rPr>
        <w:t xml:space="preserve">e i principi contabili </w:t>
      </w:r>
      <w:r w:rsidRPr="00D80990">
        <w:rPr>
          <w:szCs w:val="22"/>
        </w:rPr>
        <w:t>e rappresentano le entrate e le spese che si prevede saranno esigibili in ciascuno degli esercizi considerati anche se l’obbligazione giuridica è sorta in esercizi precedenti.</w:t>
      </w:r>
    </w:p>
    <w:p w:rsidR="00E453A3" w:rsidRPr="00D80990" w:rsidRDefault="00E453A3" w:rsidP="00E453A3">
      <w:pPr>
        <w:pStyle w:val="Corpodeltesto2"/>
        <w:spacing w:before="120"/>
        <w:jc w:val="both"/>
        <w:rPr>
          <w:szCs w:val="22"/>
        </w:rPr>
      </w:pPr>
    </w:p>
    <w:p w:rsidR="00E453A3" w:rsidRPr="00D80990" w:rsidRDefault="00E453A3" w:rsidP="00E453A3">
      <w:pPr>
        <w:rPr>
          <w:rFonts w:ascii="Arial" w:hAnsi="Arial" w:cs="Arial"/>
          <w:i/>
          <w:sz w:val="22"/>
          <w:szCs w:val="22"/>
        </w:rPr>
      </w:pPr>
      <w:r w:rsidRPr="00D80990">
        <w:rPr>
          <w:rFonts w:ascii="Arial" w:hAnsi="Arial" w:cs="Arial"/>
          <w:i/>
          <w:sz w:val="22"/>
          <w:szCs w:val="22"/>
        </w:rPr>
        <w:t>(eventuale)</w:t>
      </w:r>
    </w:p>
    <w:p w:rsidR="00E453A3" w:rsidRPr="00D80990" w:rsidRDefault="00E453A3" w:rsidP="00E453A3">
      <w:pPr>
        <w:rPr>
          <w:rFonts w:ascii="Arial" w:hAnsi="Arial" w:cs="Arial"/>
          <w:b/>
          <w:sz w:val="22"/>
          <w:szCs w:val="22"/>
          <w:u w:val="single"/>
        </w:rPr>
      </w:pPr>
      <w:r w:rsidRPr="00D80990">
        <w:rPr>
          <w:rFonts w:ascii="Arial" w:hAnsi="Arial" w:cs="Arial"/>
          <w:b/>
          <w:sz w:val="22"/>
          <w:szCs w:val="22"/>
          <w:u w:val="single"/>
        </w:rPr>
        <w:t>Disavanzo o avanzo tecnico</w:t>
      </w:r>
    </w:p>
    <w:p w:rsidR="00E453A3" w:rsidRPr="00D80990" w:rsidRDefault="00E453A3" w:rsidP="00E453A3">
      <w:pPr>
        <w:pStyle w:val="provvr0"/>
        <w:rPr>
          <w:rFonts w:ascii="Arial" w:hAnsi="Arial" w:cs="Arial"/>
          <w:color w:val="000000"/>
          <w:sz w:val="22"/>
          <w:szCs w:val="22"/>
        </w:rPr>
      </w:pPr>
      <w:r w:rsidRPr="00D80990">
        <w:rPr>
          <w:rFonts w:ascii="Arial" w:hAnsi="Arial" w:cs="Arial"/>
          <w:sz w:val="22"/>
          <w:szCs w:val="22"/>
        </w:rPr>
        <w:t xml:space="preserve">Il totale generale delle spese previste è superiore al totale generale delle entrate per euro…………………….. Tale differenza deriva dal disavanzo tecnico come previsto dal comma 13 dell’art.3 del D.Lgs 118/2011, quando a seguito del riaccertamento straordinario i </w:t>
      </w:r>
      <w:r w:rsidRPr="00D80990">
        <w:rPr>
          <w:rFonts w:ascii="Arial" w:hAnsi="Arial" w:cs="Arial"/>
          <w:color w:val="000000"/>
          <w:sz w:val="22"/>
          <w:szCs w:val="22"/>
        </w:rPr>
        <w:t xml:space="preserve">residui passivi reimputati ad un esercizio sono di importo superiore alla somma del fondo pluriennale vincolato stanziato in entrata e dei residui attivi reimputati al medesimo esercizio. La differenza può essere finanziata con le risorse dell'esercizio o costituire un disavanzo tecnico da coprirsi, nei bilanci degli esercizi successivi con i residui attivi reimputati a tali esercizi eccedenti rispetto alla somma dei residui passivi reimputati e del fondo pluriennale vincolato di entrata. </w:t>
      </w:r>
      <w:r>
        <w:rPr>
          <w:rFonts w:ascii="Arial" w:hAnsi="Arial" w:cs="Arial"/>
          <w:color w:val="000000"/>
          <w:sz w:val="22"/>
          <w:szCs w:val="22"/>
        </w:rPr>
        <w:t>Tale disavanzo tecnico sarà coperto nell’esercizio.......</w:t>
      </w:r>
    </w:p>
    <w:p w:rsidR="00E453A3" w:rsidRPr="00D80990" w:rsidRDefault="00E453A3" w:rsidP="00E453A3">
      <w:pPr>
        <w:pStyle w:val="provvr0"/>
        <w:rPr>
          <w:rFonts w:ascii="Arial" w:hAnsi="Arial" w:cs="Arial"/>
          <w:color w:val="000000"/>
          <w:sz w:val="22"/>
          <w:szCs w:val="22"/>
        </w:rPr>
      </w:pPr>
      <w:r w:rsidRPr="00D80990">
        <w:rPr>
          <w:rFonts w:ascii="Arial" w:hAnsi="Arial" w:cs="Arial"/>
          <w:color w:val="000000"/>
          <w:sz w:val="22"/>
          <w:szCs w:val="22"/>
        </w:rPr>
        <w:t>Gli esercizi per i quali si è determinato il disavanzo tecnico possono essere approvati in disavanzo di competenza, per un importo non superiore al disavanzo tecnico.</w:t>
      </w:r>
    </w:p>
    <w:p w:rsidR="00E453A3" w:rsidRPr="00D80990" w:rsidRDefault="00E453A3" w:rsidP="00E453A3">
      <w:pPr>
        <w:spacing w:before="100" w:beforeAutospacing="1" w:after="100" w:afterAutospacing="1"/>
        <w:jc w:val="both"/>
        <w:rPr>
          <w:rFonts w:ascii="Arial" w:hAnsi="Arial" w:cs="Arial"/>
          <w:color w:val="000000"/>
          <w:sz w:val="22"/>
          <w:szCs w:val="22"/>
        </w:rPr>
      </w:pPr>
      <w:r w:rsidRPr="00D80990">
        <w:rPr>
          <w:rFonts w:ascii="Arial" w:hAnsi="Arial" w:cs="Arial"/>
          <w:sz w:val="22"/>
          <w:szCs w:val="22"/>
        </w:rPr>
        <w:lastRenderedPageBreak/>
        <w:t>Il totale generale delle spese previste è inferiore al totale generale delle entrate per euro……………………. Tale differenza deriva dall’avanzo tecnico</w:t>
      </w:r>
      <w:r w:rsidRPr="00D80990">
        <w:rPr>
          <w:rFonts w:ascii="Arial" w:hAnsi="Arial" w:cs="Arial"/>
          <w:color w:val="000000"/>
          <w:sz w:val="22"/>
          <w:szCs w:val="22"/>
        </w:rPr>
        <w:t xml:space="preserve"> come previsto dal comma 14 dell’</w:t>
      </w:r>
      <w:r w:rsidRPr="00D80990">
        <w:rPr>
          <w:rFonts w:ascii="Arial" w:hAnsi="Arial" w:cs="Arial"/>
          <w:sz w:val="22"/>
          <w:szCs w:val="22"/>
        </w:rPr>
        <w:t>art.3 del D.Lgs.118/2011</w:t>
      </w:r>
      <w:r w:rsidRPr="00D80990">
        <w:rPr>
          <w:rFonts w:ascii="Arial" w:hAnsi="Arial" w:cs="Arial"/>
          <w:color w:val="000000"/>
          <w:sz w:val="22"/>
          <w:szCs w:val="22"/>
        </w:rPr>
        <w:t>, nella ipotesi in cui a seguito del riaccertamento straordinario,  i residui attivi reimputati ad un esercizio sono di importo superiore alla somma del fondo pluriennale vincolato stanziato in entrata e dei residui passivi reimputati nel medesimo esercizio, tale differenza è vincolata alla copertura dell'eventuale eccedenza degli impegni reimputati agli esercizi successivi rispetto alla somma del fondo pluriennale vincolato di entrata e dei residui attivi. Nel bilancio di previsione dell'esercizio in cui si verifica tale differenza è effettuato un accantonamento di pari importo agli stanziamenti di spesa del fondo pluriennale vincolato.</w:t>
      </w:r>
    </w:p>
    <w:p w:rsidR="00E453A3" w:rsidRPr="00FA177C" w:rsidRDefault="00E453A3" w:rsidP="00E453A3">
      <w:pPr>
        <w:spacing w:before="100" w:beforeAutospacing="1" w:after="100" w:afterAutospacing="1"/>
        <w:jc w:val="both"/>
        <w:rPr>
          <w:rFonts w:ascii="Arial" w:hAnsi="Arial" w:cs="Arial"/>
          <w:i/>
          <w:color w:val="FF0000"/>
          <w:sz w:val="20"/>
          <w:szCs w:val="20"/>
        </w:rPr>
      </w:pPr>
      <w:r w:rsidRPr="00536A56">
        <w:rPr>
          <w:rFonts w:ascii="Arial" w:hAnsi="Arial" w:cs="Arial"/>
          <w:i/>
          <w:color w:val="00B0F0"/>
          <w:sz w:val="20"/>
          <w:szCs w:val="20"/>
        </w:rPr>
        <w:t>La nota integrativa</w:t>
      </w:r>
      <w:r>
        <w:rPr>
          <w:rFonts w:ascii="Arial" w:hAnsi="Arial" w:cs="Arial"/>
          <w:i/>
          <w:color w:val="00B0F0"/>
          <w:sz w:val="20"/>
          <w:szCs w:val="20"/>
        </w:rPr>
        <w:t xml:space="preserve"> al bilanciodeve indicare</w:t>
      </w:r>
      <w:r w:rsidRPr="00536A56">
        <w:rPr>
          <w:rFonts w:ascii="Arial" w:hAnsi="Arial" w:cs="Arial"/>
          <w:i/>
          <w:color w:val="00B0F0"/>
          <w:sz w:val="20"/>
          <w:szCs w:val="20"/>
        </w:rPr>
        <w:t xml:space="preserve"> le modalità di copertura contabile dell’eventuale disavanzo tecnico </w:t>
      </w:r>
      <w:r>
        <w:rPr>
          <w:rFonts w:ascii="Arial" w:hAnsi="Arial" w:cs="Arial"/>
          <w:i/>
          <w:color w:val="00B0F0"/>
          <w:sz w:val="20"/>
          <w:szCs w:val="20"/>
        </w:rPr>
        <w:t xml:space="preserve">di cui all’art. 3, comma 13 del D.Lgs. 118/11 </w:t>
      </w:r>
      <w:r w:rsidRPr="00536A56">
        <w:rPr>
          <w:rFonts w:ascii="Arial" w:hAnsi="Arial" w:cs="Arial"/>
          <w:i/>
          <w:color w:val="00B0F0"/>
          <w:sz w:val="20"/>
          <w:szCs w:val="20"/>
        </w:rPr>
        <w:t>o dell’eventuale disavanzo applicato al bilancio, distinguendo la quota derivante dal riaccertamento straordinario da quella derivante dalla gestione ordinaria (art. 4, co. 6, DM 2 aprile 2015)</w:t>
      </w:r>
      <w:r>
        <w:rPr>
          <w:rFonts w:ascii="Arial" w:hAnsi="Arial" w:cs="Arial"/>
          <w:i/>
          <w:color w:val="00B0F0"/>
          <w:sz w:val="20"/>
          <w:szCs w:val="20"/>
        </w:rPr>
        <w:t>.</w:t>
      </w:r>
    </w:p>
    <w:p w:rsidR="00D717C6" w:rsidRPr="00B531CC" w:rsidRDefault="00B531CC" w:rsidP="002167AE">
      <w:pPr>
        <w:jc w:val="both"/>
        <w:rPr>
          <w:rFonts w:ascii="Arial" w:hAnsi="Arial" w:cs="Arial"/>
          <w:i/>
          <w:sz w:val="22"/>
          <w:szCs w:val="22"/>
        </w:rPr>
      </w:pPr>
      <w:r>
        <w:rPr>
          <w:rFonts w:ascii="Arial" w:hAnsi="Arial" w:cs="Arial"/>
          <w:i/>
          <w:sz w:val="22"/>
          <w:szCs w:val="22"/>
        </w:rPr>
        <w:t>(</w:t>
      </w:r>
      <w:r w:rsidR="00D717C6" w:rsidRPr="00B531CC">
        <w:rPr>
          <w:rFonts w:ascii="Arial" w:hAnsi="Arial" w:cs="Arial"/>
          <w:i/>
          <w:sz w:val="22"/>
          <w:szCs w:val="22"/>
        </w:rPr>
        <w:t>eventuale</w:t>
      </w:r>
      <w:r>
        <w:rPr>
          <w:rFonts w:ascii="Arial" w:hAnsi="Arial" w:cs="Arial"/>
          <w:i/>
          <w:sz w:val="22"/>
          <w:szCs w:val="22"/>
        </w:rPr>
        <w:t>)</w:t>
      </w:r>
    </w:p>
    <w:p w:rsidR="00FA177C" w:rsidRPr="00B531CC" w:rsidRDefault="00B531CC" w:rsidP="002167AE">
      <w:pPr>
        <w:jc w:val="both"/>
        <w:rPr>
          <w:rFonts w:ascii="Arial" w:hAnsi="Arial" w:cs="Arial"/>
          <w:b/>
          <w:sz w:val="22"/>
          <w:szCs w:val="22"/>
          <w:u w:val="single"/>
        </w:rPr>
      </w:pPr>
      <w:r>
        <w:rPr>
          <w:rFonts w:ascii="Arial" w:hAnsi="Arial" w:cs="Arial"/>
          <w:b/>
          <w:sz w:val="22"/>
          <w:szCs w:val="22"/>
          <w:u w:val="single"/>
        </w:rPr>
        <w:t>Disavanzo presu</w:t>
      </w:r>
      <w:r w:rsidR="00FA177C" w:rsidRPr="00B531CC">
        <w:rPr>
          <w:rFonts w:ascii="Arial" w:hAnsi="Arial" w:cs="Arial"/>
          <w:b/>
          <w:sz w:val="22"/>
          <w:szCs w:val="22"/>
          <w:u w:val="single"/>
        </w:rPr>
        <w:t>nto</w:t>
      </w:r>
    </w:p>
    <w:p w:rsidR="00FA177C" w:rsidRPr="00B531CC" w:rsidRDefault="00FA177C" w:rsidP="002167AE">
      <w:pPr>
        <w:spacing w:before="100" w:beforeAutospacing="1" w:after="100" w:afterAutospacing="1"/>
        <w:jc w:val="both"/>
        <w:rPr>
          <w:rFonts w:ascii="Arial" w:hAnsi="Arial" w:cs="Arial"/>
          <w:i/>
          <w:color w:val="00B0F0"/>
          <w:sz w:val="20"/>
          <w:szCs w:val="20"/>
        </w:rPr>
      </w:pPr>
      <w:r w:rsidRPr="00B531CC">
        <w:rPr>
          <w:rFonts w:ascii="Arial" w:hAnsi="Arial" w:cs="Arial"/>
          <w:i/>
          <w:color w:val="00B0F0"/>
          <w:sz w:val="20"/>
          <w:szCs w:val="20"/>
        </w:rPr>
        <w:t>Il principio cont</w:t>
      </w:r>
      <w:r w:rsidR="00D717C6" w:rsidRPr="00B531CC">
        <w:rPr>
          <w:rFonts w:ascii="Arial" w:hAnsi="Arial" w:cs="Arial"/>
          <w:i/>
          <w:color w:val="00B0F0"/>
          <w:sz w:val="20"/>
          <w:szCs w:val="20"/>
        </w:rPr>
        <w:t xml:space="preserve">abile </w:t>
      </w:r>
      <w:r w:rsidRPr="00B531CC">
        <w:rPr>
          <w:rFonts w:ascii="Arial" w:hAnsi="Arial" w:cs="Arial"/>
          <w:i/>
          <w:color w:val="00B0F0"/>
          <w:sz w:val="20"/>
          <w:szCs w:val="20"/>
        </w:rPr>
        <w:t>4/1</w:t>
      </w:r>
      <w:r w:rsidR="00D717C6" w:rsidRPr="00B531CC">
        <w:rPr>
          <w:rFonts w:ascii="Arial" w:hAnsi="Arial" w:cs="Arial"/>
          <w:i/>
          <w:color w:val="00B0F0"/>
          <w:sz w:val="20"/>
          <w:szCs w:val="20"/>
        </w:rPr>
        <w:t xml:space="preserve"> prevede la descrizione della composizione del risultato di amministrazione presunto individuato nell’allegato a) al bilancio di previsione (lettera E), se negativo e, per ciascuna componente del disavanzo, indica le modalità di ripiano definite in attuazione delle rispettive discipline e l’importo da ripianare per ciascuno degli esercizi considerati nel bilancio di previsione.  </w:t>
      </w:r>
    </w:p>
    <w:p w:rsidR="00D717C6" w:rsidRPr="00B531CC" w:rsidRDefault="00D717C6" w:rsidP="002167AE">
      <w:pPr>
        <w:spacing w:before="100" w:beforeAutospacing="1" w:after="100" w:afterAutospacing="1"/>
        <w:jc w:val="both"/>
        <w:rPr>
          <w:rFonts w:ascii="Arial" w:hAnsi="Arial" w:cs="Arial"/>
          <w:i/>
          <w:color w:val="00B0F0"/>
          <w:sz w:val="20"/>
          <w:szCs w:val="20"/>
        </w:rPr>
      </w:pPr>
      <w:r w:rsidRPr="00B531CC">
        <w:rPr>
          <w:rFonts w:ascii="Arial" w:hAnsi="Arial" w:cs="Arial"/>
          <w:i/>
          <w:color w:val="00B0F0"/>
          <w:sz w:val="20"/>
          <w:szCs w:val="20"/>
        </w:rPr>
        <w:t>Tali indicazioni sono sinteticamente riepilogate nelle seguenti tabelle:</w:t>
      </w:r>
    </w:p>
    <w:bookmarkStart w:id="18" w:name="_MON_1609226003"/>
    <w:bookmarkEnd w:id="18"/>
    <w:p w:rsidR="005D790B" w:rsidRDefault="00310840" w:rsidP="00310840">
      <w:r>
        <w:object w:dxaOrig="19595" w:dyaOrig="10378">
          <v:shape id="_x0000_i1031" type="#_x0000_t75" style="width:503.25pt;height:266.25pt" o:ole="">
            <v:imagedata r:id="rId26" o:title=""/>
          </v:shape>
          <o:OLEObject Type="Embed" ProgID="Excel.Sheet.12" ShapeID="_x0000_i1031" DrawAspect="Content" ObjectID="_1610733394" r:id="rId27"/>
        </w:object>
      </w:r>
    </w:p>
    <w:p w:rsidR="002167AE" w:rsidRDefault="002167AE" w:rsidP="002167AE"/>
    <w:p w:rsidR="002167AE" w:rsidRPr="002167AE" w:rsidRDefault="002167AE" w:rsidP="002167AE"/>
    <w:p w:rsidR="00B531CC" w:rsidRDefault="00B531CC" w:rsidP="002167AE">
      <w:pPr>
        <w:jc w:val="both"/>
      </w:pPr>
    </w:p>
    <w:p w:rsidR="00B531CC" w:rsidRDefault="00B531CC" w:rsidP="00B531CC"/>
    <w:p w:rsidR="00B531CC" w:rsidRDefault="00B531CC" w:rsidP="00B531CC"/>
    <w:p w:rsidR="00B531CC" w:rsidRDefault="00B531CC">
      <w:r>
        <w:br w:type="page"/>
      </w:r>
    </w:p>
    <w:p w:rsidR="00E453A3" w:rsidRPr="00D80990" w:rsidRDefault="00E453A3" w:rsidP="00E453A3">
      <w:pPr>
        <w:pStyle w:val="Titolo2"/>
      </w:pPr>
      <w:bookmarkStart w:id="19" w:name="_Toc535487602"/>
      <w:r w:rsidRPr="00D80990">
        <w:lastRenderedPageBreak/>
        <w:t>Fondo pluriennale vincolato (FPV)</w:t>
      </w:r>
      <w:bookmarkEnd w:id="19"/>
    </w:p>
    <w:p w:rsidR="00E453A3" w:rsidRPr="00D80990" w:rsidRDefault="00E453A3" w:rsidP="00E453A3">
      <w:pPr>
        <w:pStyle w:val="Titolo2"/>
      </w:pPr>
    </w:p>
    <w:p w:rsidR="00806EFE" w:rsidRDefault="00806EFE" w:rsidP="00806EFE">
      <w:pPr>
        <w:autoSpaceDE w:val="0"/>
        <w:autoSpaceDN w:val="0"/>
        <w:adjustRightInd w:val="0"/>
        <w:jc w:val="both"/>
        <w:rPr>
          <w:rFonts w:ascii="Arial" w:hAnsi="Arial" w:cs="Arial"/>
          <w:color w:val="000000"/>
          <w:sz w:val="22"/>
          <w:szCs w:val="22"/>
        </w:rPr>
      </w:pPr>
      <w:r w:rsidRPr="00FB3680">
        <w:rPr>
          <w:rFonts w:ascii="Arial" w:hAnsi="Arial" w:cs="Arial"/>
          <w:color w:val="000000"/>
          <w:sz w:val="22"/>
          <w:szCs w:val="22"/>
        </w:rPr>
        <w:t>Il fondo pluriennale vincolato</w:t>
      </w:r>
      <w:r>
        <w:rPr>
          <w:rFonts w:ascii="Arial" w:hAnsi="Arial" w:cs="Arial"/>
          <w:color w:val="000000"/>
          <w:sz w:val="22"/>
          <w:szCs w:val="22"/>
        </w:rPr>
        <w:t xml:space="preserve">, disciplinato dal principio contabile applicato della competenza </w:t>
      </w:r>
      <w:r w:rsidRPr="00C10440">
        <w:rPr>
          <w:rFonts w:ascii="Arial" w:hAnsi="Arial" w:cs="Arial"/>
          <w:color w:val="000000"/>
          <w:sz w:val="22"/>
          <w:szCs w:val="22"/>
        </w:rPr>
        <w:t>finanziaria,</w:t>
      </w:r>
      <w:r w:rsidRPr="00FB3680">
        <w:rPr>
          <w:rFonts w:ascii="Arial" w:hAnsi="Arial" w:cs="Arial"/>
          <w:color w:val="000000"/>
          <w:sz w:val="22"/>
          <w:szCs w:val="22"/>
        </w:rPr>
        <w:t>è un saldo finanzi</w:t>
      </w:r>
      <w:r>
        <w:rPr>
          <w:rFonts w:ascii="Arial" w:hAnsi="Arial" w:cs="Arial"/>
          <w:color w:val="000000"/>
          <w:sz w:val="22"/>
          <w:szCs w:val="22"/>
        </w:rPr>
        <w:t>a</w:t>
      </w:r>
      <w:r w:rsidRPr="00FB3680">
        <w:rPr>
          <w:rFonts w:ascii="Arial" w:hAnsi="Arial" w:cs="Arial"/>
          <w:color w:val="000000"/>
          <w:sz w:val="22"/>
          <w:szCs w:val="22"/>
        </w:rPr>
        <w:t>rio, costituito da risorse già accertate destinate al finanziamento di obbligazioni passive dell’ente già impegnate, ma esigibili in esercizi successivi a quello in cui è accertata l’entrata.</w:t>
      </w:r>
    </w:p>
    <w:p w:rsidR="00806EFE" w:rsidRDefault="00806EFE" w:rsidP="00806EFE">
      <w:pPr>
        <w:autoSpaceDE w:val="0"/>
        <w:autoSpaceDN w:val="0"/>
        <w:adjustRightInd w:val="0"/>
        <w:jc w:val="both"/>
        <w:rPr>
          <w:rFonts w:ascii="Arial" w:hAnsi="Arial" w:cs="Arial"/>
          <w:color w:val="000000"/>
          <w:sz w:val="22"/>
          <w:szCs w:val="22"/>
        </w:rPr>
      </w:pPr>
    </w:p>
    <w:p w:rsidR="00806EFE" w:rsidRPr="00EC5DA2" w:rsidRDefault="00806EFE" w:rsidP="00806EFE">
      <w:pPr>
        <w:autoSpaceDE w:val="0"/>
        <w:autoSpaceDN w:val="0"/>
        <w:adjustRightInd w:val="0"/>
        <w:jc w:val="both"/>
        <w:rPr>
          <w:rFonts w:ascii="Arial" w:hAnsi="Arial" w:cs="Arial"/>
          <w:i/>
          <w:color w:val="00B0F0"/>
          <w:sz w:val="22"/>
          <w:szCs w:val="22"/>
        </w:rPr>
      </w:pPr>
      <w:r w:rsidRPr="00EA4A99">
        <w:rPr>
          <w:rFonts w:ascii="Arial" w:hAnsi="Arial" w:cs="Arial"/>
          <w:i/>
          <w:color w:val="00B0F0"/>
          <w:sz w:val="22"/>
          <w:szCs w:val="22"/>
        </w:rPr>
        <w:t>La Commissione Arconet nella seduta del 9 gennaio</w:t>
      </w:r>
      <w:r w:rsidR="00EA4A99">
        <w:rPr>
          <w:rFonts w:ascii="Arial" w:hAnsi="Arial" w:cs="Arial"/>
          <w:i/>
          <w:color w:val="00B0F0"/>
          <w:sz w:val="22"/>
          <w:szCs w:val="22"/>
        </w:rPr>
        <w:t xml:space="preserve"> 2019</w:t>
      </w:r>
      <w:r w:rsidRPr="00EA4A99">
        <w:rPr>
          <w:rFonts w:ascii="Arial" w:hAnsi="Arial" w:cs="Arial"/>
          <w:i/>
          <w:color w:val="00B0F0"/>
          <w:sz w:val="22"/>
          <w:szCs w:val="22"/>
        </w:rPr>
        <w:t xml:space="preserve"> ha </w:t>
      </w:r>
      <w:r w:rsidR="00EA4A99">
        <w:rPr>
          <w:rFonts w:ascii="Arial" w:hAnsi="Arial" w:cs="Arial"/>
          <w:i/>
          <w:color w:val="00B0F0"/>
          <w:sz w:val="22"/>
          <w:szCs w:val="22"/>
        </w:rPr>
        <w:t>condiviso</w:t>
      </w:r>
      <w:r w:rsidRPr="00EA4A99">
        <w:rPr>
          <w:rFonts w:ascii="Arial" w:hAnsi="Arial" w:cs="Arial"/>
          <w:i/>
          <w:color w:val="00B0F0"/>
          <w:sz w:val="22"/>
          <w:szCs w:val="22"/>
        </w:rPr>
        <w:t xml:space="preserve"> il decreto ministeriale di aggiornamento degli allegati al D.lgs. 118/2011</w:t>
      </w:r>
      <w:r w:rsidR="00EA4A99">
        <w:rPr>
          <w:rFonts w:ascii="Arial" w:hAnsi="Arial" w:cs="Arial"/>
          <w:i/>
          <w:color w:val="00B0F0"/>
          <w:sz w:val="22"/>
          <w:szCs w:val="22"/>
        </w:rPr>
        <w:t xml:space="preserve"> che è in corso di pubblicazione</w:t>
      </w:r>
      <w:r w:rsidRPr="00EA4A99">
        <w:rPr>
          <w:rFonts w:ascii="Arial" w:hAnsi="Arial" w:cs="Arial"/>
          <w:i/>
          <w:color w:val="00B0F0"/>
          <w:sz w:val="22"/>
          <w:szCs w:val="22"/>
        </w:rPr>
        <w:t>, chiamato a definire, dopo la legge di bilancio 2019 (articolo 1, commi 909 e 910), la modalità di con</w:t>
      </w:r>
      <w:r w:rsidR="00EA4A99">
        <w:rPr>
          <w:rFonts w:ascii="Arial" w:hAnsi="Arial" w:cs="Arial"/>
          <w:i/>
          <w:color w:val="00B0F0"/>
          <w:sz w:val="22"/>
          <w:szCs w:val="22"/>
        </w:rPr>
        <w:t>tabilizzazione delle spese per opere pubbliche</w:t>
      </w:r>
      <w:r w:rsidRPr="00EA4A99">
        <w:rPr>
          <w:rFonts w:ascii="Arial" w:hAnsi="Arial" w:cs="Arial"/>
          <w:i/>
          <w:color w:val="00B0F0"/>
          <w:sz w:val="22"/>
          <w:szCs w:val="22"/>
        </w:rPr>
        <w:t xml:space="preserve"> in linea con quanto previsto dal codice dei contratti pubblici (D.lg. 50/2016).</w:t>
      </w:r>
    </w:p>
    <w:p w:rsidR="00E453A3" w:rsidRPr="00D80990" w:rsidRDefault="00E453A3" w:rsidP="00E453A3">
      <w:pPr>
        <w:autoSpaceDE w:val="0"/>
        <w:autoSpaceDN w:val="0"/>
        <w:adjustRightInd w:val="0"/>
        <w:jc w:val="both"/>
        <w:rPr>
          <w:rFonts w:ascii="Arial" w:hAnsi="Arial" w:cs="Arial"/>
          <w:color w:val="000000"/>
          <w:sz w:val="22"/>
          <w:szCs w:val="22"/>
        </w:rPr>
      </w:pPr>
    </w:p>
    <w:p w:rsidR="00E453A3" w:rsidRDefault="00E453A3" w:rsidP="00E453A3">
      <w:pPr>
        <w:autoSpaceDE w:val="0"/>
        <w:autoSpaceDN w:val="0"/>
        <w:adjustRightInd w:val="0"/>
        <w:jc w:val="both"/>
        <w:rPr>
          <w:rFonts w:ascii="Arial" w:hAnsi="Arial" w:cs="Arial"/>
          <w:color w:val="000000"/>
          <w:sz w:val="22"/>
          <w:szCs w:val="22"/>
        </w:rPr>
      </w:pPr>
      <w:r w:rsidRPr="00D80990">
        <w:rPr>
          <w:rFonts w:ascii="Arial" w:hAnsi="Arial" w:cs="Arial"/>
          <w:color w:val="000000"/>
          <w:sz w:val="22"/>
          <w:szCs w:val="22"/>
        </w:rPr>
        <w:t>Le fonti di finanziamento del Fondo pluriennale vincolato iscritto nella parte entrata del bilancio per l’esercizio 2019 sono le seguenti:</w:t>
      </w:r>
    </w:p>
    <w:p w:rsidR="00E453A3" w:rsidRDefault="00E453A3" w:rsidP="00E453A3">
      <w:pPr>
        <w:autoSpaceDE w:val="0"/>
        <w:autoSpaceDN w:val="0"/>
        <w:adjustRightInd w:val="0"/>
        <w:jc w:val="both"/>
        <w:rPr>
          <w:rFonts w:ascii="Arial" w:hAnsi="Arial" w:cs="Arial"/>
          <w:color w:val="000000"/>
          <w:sz w:val="22"/>
          <w:szCs w:val="22"/>
        </w:rPr>
      </w:pPr>
    </w:p>
    <w:bookmarkStart w:id="20" w:name="_MON_1609226044"/>
    <w:bookmarkEnd w:id="20"/>
    <w:p w:rsidR="00190B8C" w:rsidRPr="00D80990" w:rsidRDefault="00B531CC" w:rsidP="009B7E14">
      <w:pPr>
        <w:autoSpaceDE w:val="0"/>
        <w:autoSpaceDN w:val="0"/>
        <w:adjustRightInd w:val="0"/>
        <w:jc w:val="center"/>
        <w:rPr>
          <w:rFonts w:ascii="Arial" w:hAnsi="Arial" w:cs="Arial"/>
          <w:color w:val="000000"/>
          <w:sz w:val="22"/>
          <w:szCs w:val="22"/>
        </w:rPr>
      </w:pPr>
      <w:r w:rsidRPr="00213664">
        <w:rPr>
          <w:rFonts w:ascii="Arial" w:hAnsi="Arial" w:cs="Arial"/>
          <w:sz w:val="22"/>
          <w:szCs w:val="22"/>
        </w:rPr>
        <w:object w:dxaOrig="8279" w:dyaOrig="2341">
          <v:shape id="_x0000_i1032" type="#_x0000_t75" style="width:410.25pt;height:115.5pt" o:ole="">
            <v:imagedata r:id="rId28" o:title=""/>
          </v:shape>
          <o:OLEObject Type="Embed" ProgID="Excel.Sheet.12" ShapeID="_x0000_i1032" DrawAspect="Content" ObjectID="_1610733395" r:id="rId29"/>
        </w:object>
      </w:r>
    </w:p>
    <w:p w:rsidR="00550857" w:rsidRDefault="00550857" w:rsidP="00E453A3">
      <w:pPr>
        <w:autoSpaceDE w:val="0"/>
        <w:autoSpaceDN w:val="0"/>
        <w:adjustRightInd w:val="0"/>
        <w:jc w:val="center"/>
        <w:rPr>
          <w:rFonts w:ascii="Arial" w:hAnsi="Arial" w:cs="Arial"/>
          <w:color w:val="000000"/>
          <w:sz w:val="22"/>
          <w:szCs w:val="22"/>
        </w:rPr>
      </w:pPr>
    </w:p>
    <w:p w:rsidR="00753FDD" w:rsidRPr="00D80990" w:rsidRDefault="00E453A3" w:rsidP="00E453A3">
      <w:pPr>
        <w:autoSpaceDE w:val="0"/>
        <w:autoSpaceDN w:val="0"/>
        <w:adjustRightInd w:val="0"/>
        <w:jc w:val="both"/>
        <w:rPr>
          <w:rFonts w:ascii="Arial" w:hAnsi="Arial" w:cs="Arial"/>
          <w:i/>
          <w:color w:val="00B0F0"/>
          <w:sz w:val="22"/>
          <w:szCs w:val="22"/>
        </w:rPr>
      </w:pPr>
      <w:r>
        <w:rPr>
          <w:rFonts w:ascii="Arial" w:hAnsi="Arial" w:cs="Arial"/>
          <w:color w:val="000000"/>
          <w:sz w:val="22"/>
          <w:szCs w:val="22"/>
        </w:rPr>
        <w:t>L’organo di revisione ha verificato, anche mediante</w:t>
      </w:r>
      <w:r w:rsidR="009C2E60">
        <w:rPr>
          <w:rFonts w:ascii="Arial" w:hAnsi="Arial" w:cs="Arial"/>
          <w:color w:val="000000"/>
          <w:sz w:val="22"/>
          <w:szCs w:val="22"/>
        </w:rPr>
        <w:t xml:space="preserve"> controlli a campione, i cronop</w:t>
      </w:r>
      <w:r>
        <w:rPr>
          <w:rFonts w:ascii="Arial" w:hAnsi="Arial" w:cs="Arial"/>
          <w:color w:val="000000"/>
          <w:sz w:val="22"/>
          <w:szCs w:val="22"/>
        </w:rPr>
        <w:t>rogrammi di spesa e che il Fpv di spesa corrisponda al Fpv di entrata dell’esercizio successivo.</w:t>
      </w:r>
    </w:p>
    <w:p w:rsidR="00E453A3" w:rsidRDefault="00E453A3">
      <w:pPr>
        <w:pStyle w:val="Titolo2"/>
      </w:pPr>
    </w:p>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5D790B"/>
    <w:p w:rsidR="005D790B" w:rsidRDefault="005D790B" w:rsidP="008E4E51">
      <w:pPr>
        <w:pStyle w:val="Titolo2"/>
      </w:pPr>
    </w:p>
    <w:p w:rsidR="005D790B" w:rsidRDefault="005D790B" w:rsidP="008E4E51">
      <w:pPr>
        <w:pStyle w:val="Titolo2"/>
      </w:pPr>
      <w:r>
        <w:br w:type="page"/>
      </w:r>
    </w:p>
    <w:p w:rsidR="009F6E3E" w:rsidRPr="00D80990" w:rsidRDefault="007F766F">
      <w:pPr>
        <w:pStyle w:val="Titolo2"/>
      </w:pPr>
      <w:bookmarkStart w:id="21" w:name="_Toc535487603"/>
      <w:r w:rsidRPr="00D80990">
        <w:lastRenderedPageBreak/>
        <w:t>Previsioni di cassa</w:t>
      </w:r>
      <w:bookmarkEnd w:id="21"/>
    </w:p>
    <w:p w:rsidR="009F6E3E" w:rsidRPr="00D80990" w:rsidRDefault="009F6E3E" w:rsidP="008E4E51">
      <w:pPr>
        <w:jc w:val="both"/>
        <w:rPr>
          <w:rFonts w:ascii="Arial" w:hAnsi="Arial" w:cs="Arial"/>
        </w:rPr>
      </w:pPr>
    </w:p>
    <w:bookmarkStart w:id="22" w:name="_MON_1609226088"/>
    <w:bookmarkEnd w:id="22"/>
    <w:p w:rsidR="00781E03" w:rsidRDefault="00F54464" w:rsidP="009B7E14">
      <w:pPr>
        <w:jc w:val="center"/>
        <w:rPr>
          <w:rFonts w:ascii="Arial" w:hAnsi="Arial" w:cs="Arial"/>
          <w:b/>
        </w:rPr>
      </w:pPr>
      <w:r>
        <w:rPr>
          <w:rFonts w:ascii="Arial" w:hAnsi="Arial" w:cs="Arial"/>
          <w:b/>
        </w:rPr>
        <w:object w:dxaOrig="6838" w:dyaOrig="7985">
          <v:shape id="_x0000_i1066" type="#_x0000_t75" style="width:342pt;height:399pt" o:ole="">
            <v:imagedata r:id="rId30" o:title=""/>
          </v:shape>
          <o:OLEObject Type="Embed" ProgID="Excel.Sheet.8" ShapeID="_x0000_i1066" DrawAspect="Content" ObjectID="_1610733396" r:id="rId31"/>
        </w:object>
      </w:r>
    </w:p>
    <w:p w:rsidR="00781E03" w:rsidRDefault="00781E03" w:rsidP="009B7E14">
      <w:pPr>
        <w:jc w:val="center"/>
        <w:rPr>
          <w:rFonts w:ascii="Arial" w:hAnsi="Arial" w:cs="Arial"/>
          <w:b/>
        </w:rPr>
      </w:pPr>
    </w:p>
    <w:p w:rsidR="009F6E3E" w:rsidRPr="00D80990" w:rsidRDefault="00FF131B">
      <w:pPr>
        <w:jc w:val="both"/>
        <w:rPr>
          <w:rFonts w:ascii="Arial" w:hAnsi="Arial" w:cs="Arial"/>
          <w:color w:val="000000"/>
          <w:sz w:val="22"/>
          <w:szCs w:val="22"/>
        </w:rPr>
      </w:pPr>
      <w:bookmarkStart w:id="23" w:name="_MON_1609226147"/>
      <w:bookmarkStart w:id="24" w:name="_MON_1512111425"/>
      <w:bookmarkStart w:id="25" w:name="_2._Verifica_equilibrio"/>
      <w:bookmarkStart w:id="26" w:name="_Toc346838820"/>
      <w:bookmarkEnd w:id="23"/>
      <w:bookmarkEnd w:id="24"/>
      <w:bookmarkEnd w:id="25"/>
      <w:r>
        <w:rPr>
          <w:rFonts w:ascii="Arial" w:hAnsi="Arial" w:cs="Arial"/>
          <w:color w:val="000000"/>
          <w:sz w:val="22"/>
          <w:szCs w:val="22"/>
        </w:rPr>
        <w:t>G</w:t>
      </w:r>
      <w:r w:rsidR="007F766F" w:rsidRPr="00D80990">
        <w:rPr>
          <w:rFonts w:ascii="Arial" w:hAnsi="Arial" w:cs="Arial"/>
          <w:color w:val="000000"/>
          <w:sz w:val="22"/>
          <w:szCs w:val="22"/>
        </w:rPr>
        <w:t>li stanziamenti di cassa comprendono le previsioni di riscossioni e pagamenti in conto competenza e in conto residui e sono elaborate in considerazione dei presumibili ritardi nella riscossione e nei pagamenti delle obbligazioni già esigibili.</w:t>
      </w:r>
    </w:p>
    <w:p w:rsidR="009F6E3E" w:rsidRPr="00D80990" w:rsidRDefault="007F766F">
      <w:pPr>
        <w:jc w:val="both"/>
        <w:rPr>
          <w:rFonts w:ascii="Arial" w:hAnsi="Arial" w:cs="Arial"/>
          <w:color w:val="000000"/>
          <w:sz w:val="22"/>
          <w:szCs w:val="22"/>
        </w:rPr>
      </w:pPr>
      <w:r w:rsidRPr="00D80990">
        <w:rPr>
          <w:rFonts w:ascii="Arial" w:hAnsi="Arial" w:cs="Arial"/>
          <w:color w:val="000000"/>
          <w:sz w:val="22"/>
          <w:szCs w:val="22"/>
        </w:rPr>
        <w:t>Il saldo di cassa non negativo assicura il rispetto del comma 6 dell’</w:t>
      </w:r>
      <w:r w:rsidRPr="00D80990">
        <w:rPr>
          <w:rFonts w:ascii="Arial" w:hAnsi="Arial" w:cs="Arial"/>
          <w:sz w:val="22"/>
          <w:szCs w:val="22"/>
        </w:rPr>
        <w:t>art.162 del TUEL</w:t>
      </w:r>
      <w:r w:rsidRPr="00D80990">
        <w:rPr>
          <w:rFonts w:ascii="Arial" w:hAnsi="Arial" w:cs="Arial"/>
          <w:color w:val="000000"/>
          <w:sz w:val="22"/>
          <w:szCs w:val="22"/>
        </w:rPr>
        <w:t>.</w:t>
      </w:r>
    </w:p>
    <w:p w:rsidR="00DB3EFA" w:rsidRDefault="00DB3EFA" w:rsidP="00DB3EFA">
      <w:pPr>
        <w:jc w:val="both"/>
        <w:rPr>
          <w:rFonts w:ascii="Arial" w:hAnsi="Arial" w:cs="Arial"/>
          <w:sz w:val="22"/>
          <w:szCs w:val="22"/>
        </w:rPr>
      </w:pPr>
      <w:r w:rsidRPr="00D80990">
        <w:rPr>
          <w:rFonts w:ascii="Arial" w:hAnsi="Arial" w:cs="Arial"/>
          <w:sz w:val="22"/>
          <w:szCs w:val="22"/>
        </w:rPr>
        <w:t>L’organo di revisione ha verific</w:t>
      </w:r>
      <w:r>
        <w:rPr>
          <w:rFonts w:ascii="Arial" w:hAnsi="Arial" w:cs="Arial"/>
          <w:sz w:val="22"/>
          <w:szCs w:val="22"/>
        </w:rPr>
        <w:t xml:space="preserve">ato che la previsione di cassa </w:t>
      </w:r>
      <w:r w:rsidRPr="000A2806">
        <w:rPr>
          <w:rFonts w:ascii="Arial" w:hAnsi="Arial" w:cs="Arial"/>
          <w:sz w:val="22"/>
          <w:szCs w:val="22"/>
        </w:rPr>
        <w:t>relativa all’entrata</w:t>
      </w:r>
      <w:r>
        <w:rPr>
          <w:rFonts w:ascii="Arial" w:hAnsi="Arial" w:cs="Arial"/>
          <w:sz w:val="22"/>
          <w:szCs w:val="22"/>
        </w:rPr>
        <w:t xml:space="preserve"> sia</w:t>
      </w:r>
      <w:r w:rsidRPr="00D80990">
        <w:rPr>
          <w:rFonts w:ascii="Arial" w:hAnsi="Arial" w:cs="Arial"/>
          <w:sz w:val="22"/>
          <w:szCs w:val="22"/>
        </w:rPr>
        <w:t xml:space="preserve"> stata calcolata tenendo conto del trend della riscossione nonché di quanto accantonato al Fondo Crediti dubbia esigibilità di competenza e in sede di rendiconto.</w:t>
      </w:r>
    </w:p>
    <w:p w:rsidR="00DB3EFA" w:rsidRPr="00D80990" w:rsidRDefault="00DB3EFA" w:rsidP="00DB3EFA">
      <w:pPr>
        <w:jc w:val="both"/>
        <w:rPr>
          <w:rFonts w:ascii="Arial" w:hAnsi="Arial" w:cs="Arial"/>
          <w:b/>
          <w:sz w:val="22"/>
          <w:szCs w:val="22"/>
        </w:rPr>
      </w:pPr>
      <w:r>
        <w:rPr>
          <w:rFonts w:ascii="Arial" w:hAnsi="Arial" w:cs="Arial"/>
          <w:sz w:val="22"/>
          <w:szCs w:val="22"/>
        </w:rPr>
        <w:t>In merito alla previsione di cassa spesa, l’organo di revisione ha verificato che la previsione tenga in considerazione le poste per le quali risulta prevista la reimputazione (“di cui FPV”) e che, pertanto, non possono essere oggetto di pagamento nel corso dell’esercizio.</w:t>
      </w:r>
    </w:p>
    <w:p w:rsidR="009F6E3E" w:rsidRPr="00D80990" w:rsidRDefault="009F6E3E">
      <w:pPr>
        <w:jc w:val="both"/>
        <w:rPr>
          <w:rFonts w:ascii="Arial" w:hAnsi="Arial" w:cs="Arial"/>
          <w:b/>
          <w:sz w:val="22"/>
          <w:szCs w:val="22"/>
        </w:rPr>
      </w:pPr>
    </w:p>
    <w:p w:rsidR="009F6E3E" w:rsidRPr="008B1A79" w:rsidRDefault="007F766F">
      <w:pPr>
        <w:jc w:val="both"/>
        <w:rPr>
          <w:rFonts w:ascii="Arial" w:hAnsi="Arial" w:cs="Arial"/>
          <w:i/>
          <w:color w:val="00B0F0"/>
          <w:sz w:val="22"/>
          <w:szCs w:val="22"/>
        </w:rPr>
      </w:pPr>
      <w:r w:rsidRPr="008B1A79">
        <w:rPr>
          <w:rFonts w:ascii="Arial" w:hAnsi="Arial" w:cs="Arial"/>
          <w:i/>
          <w:color w:val="00B0F0"/>
          <w:sz w:val="22"/>
          <w:szCs w:val="22"/>
        </w:rPr>
        <w:t>L’organo di revisione rammenta che i singoli dirigenti o responsabili di servizi devono partecipare alle proposte di previsione autorizzatorie di cassa anche ai fini dell’accertamento preventivo di compatibilità di cui all’art. 183, comma 8, del TUEL.</w:t>
      </w:r>
    </w:p>
    <w:p w:rsidR="00DB3EFA" w:rsidRPr="00D80990" w:rsidRDefault="00DB3EFA">
      <w:pPr>
        <w:jc w:val="both"/>
        <w:rPr>
          <w:rFonts w:ascii="Arial" w:hAnsi="Arial" w:cs="Arial"/>
          <w:sz w:val="22"/>
          <w:szCs w:val="22"/>
        </w:rPr>
      </w:pPr>
    </w:p>
    <w:p w:rsidR="009B7E14" w:rsidRDefault="007F766F" w:rsidP="008E4E51">
      <w:pPr>
        <w:jc w:val="both"/>
        <w:rPr>
          <w:rFonts w:ascii="Arial" w:hAnsi="Arial" w:cs="Arial"/>
          <w:color w:val="000000"/>
          <w:sz w:val="22"/>
          <w:szCs w:val="22"/>
        </w:rPr>
      </w:pPr>
      <w:r w:rsidRPr="00D80990">
        <w:rPr>
          <w:rFonts w:ascii="Arial" w:hAnsi="Arial" w:cs="Arial"/>
          <w:color w:val="000000"/>
          <w:sz w:val="22"/>
          <w:szCs w:val="22"/>
        </w:rPr>
        <w:t xml:space="preserve">Il fondo iniziale di cassa comprende la cassa vincolata per euro……….. </w:t>
      </w:r>
    </w:p>
    <w:p w:rsidR="009F6E3E" w:rsidRDefault="007F766F" w:rsidP="008E4E51">
      <w:pPr>
        <w:jc w:val="both"/>
        <w:rPr>
          <w:rFonts w:ascii="Arial" w:hAnsi="Arial" w:cs="Arial"/>
          <w:sz w:val="22"/>
          <w:szCs w:val="22"/>
        </w:rPr>
      </w:pPr>
      <w:r w:rsidRPr="00D80990">
        <w:rPr>
          <w:rFonts w:ascii="Arial" w:hAnsi="Arial" w:cs="Arial"/>
          <w:sz w:val="22"/>
          <w:szCs w:val="22"/>
        </w:rPr>
        <w:t>La differenza fra residui + previsione di competenza e previsione di cassa è dimostrata nel seguente prospetto:</w:t>
      </w:r>
      <w:bookmarkStart w:id="27" w:name="_MON_1513432777"/>
      <w:bookmarkEnd w:id="27"/>
    </w:p>
    <w:p w:rsidR="009B7E14" w:rsidRDefault="009B7E14" w:rsidP="008E4E51">
      <w:pPr>
        <w:jc w:val="both"/>
        <w:rPr>
          <w:rFonts w:ascii="Arial" w:hAnsi="Arial" w:cs="Arial"/>
          <w:sz w:val="22"/>
          <w:szCs w:val="22"/>
        </w:rPr>
      </w:pPr>
    </w:p>
    <w:p w:rsidR="00B353B0" w:rsidRPr="00D80990" w:rsidRDefault="00B353B0" w:rsidP="008E4E51">
      <w:pPr>
        <w:jc w:val="both"/>
        <w:rPr>
          <w:rFonts w:ascii="Arial" w:hAnsi="Arial" w:cs="Arial"/>
          <w:sz w:val="22"/>
          <w:szCs w:val="22"/>
        </w:rPr>
      </w:pPr>
    </w:p>
    <w:bookmarkStart w:id="28" w:name="_MON_1609226328"/>
    <w:bookmarkEnd w:id="28"/>
    <w:p w:rsidR="009672FA" w:rsidRDefault="00B531CC" w:rsidP="008E4E51">
      <w:pPr>
        <w:jc w:val="both"/>
        <w:rPr>
          <w:rFonts w:ascii="Arial" w:hAnsi="Arial" w:cs="Arial"/>
          <w:sz w:val="22"/>
          <w:szCs w:val="22"/>
        </w:rPr>
      </w:pPr>
      <w:r w:rsidRPr="00213664">
        <w:rPr>
          <w:rFonts w:ascii="Arial" w:hAnsi="Arial" w:cs="Arial"/>
          <w:sz w:val="22"/>
          <w:szCs w:val="22"/>
        </w:rPr>
        <w:object w:dxaOrig="10685" w:dyaOrig="5140">
          <v:shape id="_x0000_i1033" type="#_x0000_t75" style="width:482.25pt;height:230.25pt" o:ole="">
            <v:imagedata r:id="rId32" o:title=""/>
          </v:shape>
          <o:OLEObject Type="Embed" ProgID="Excel.Sheet.12" ShapeID="_x0000_i1033" DrawAspect="Content" ObjectID="_1610733397" r:id="rId33"/>
        </w:object>
      </w:r>
    </w:p>
    <w:p w:rsidR="003B58BD" w:rsidRDefault="003B58BD" w:rsidP="008E4E51">
      <w:pPr>
        <w:jc w:val="both"/>
        <w:rPr>
          <w:rFonts w:ascii="Arial" w:hAnsi="Arial" w:cs="Arial"/>
          <w:sz w:val="22"/>
          <w:szCs w:val="22"/>
        </w:rPr>
      </w:pPr>
    </w:p>
    <w:p w:rsidR="003B58BD" w:rsidRDefault="003B58BD" w:rsidP="008E4E51">
      <w:pPr>
        <w:jc w:val="both"/>
        <w:rPr>
          <w:rFonts w:ascii="Arial" w:hAnsi="Arial" w:cs="Arial"/>
          <w:sz w:val="22"/>
          <w:szCs w:val="22"/>
        </w:rPr>
      </w:pPr>
      <w:r w:rsidRPr="00213664">
        <w:rPr>
          <w:rFonts w:ascii="Arial" w:hAnsi="Arial" w:cs="Arial"/>
          <w:sz w:val="22"/>
          <w:szCs w:val="22"/>
        </w:rPr>
        <w:object w:dxaOrig="10730" w:dyaOrig="3120">
          <v:shape id="_x0000_i1034" type="#_x0000_t75" style="width:482.25pt;height:2in" o:ole="">
            <v:imagedata r:id="rId34" o:title=""/>
          </v:shape>
          <o:OLEObject Type="Embed" ProgID="Excel.Sheet.12" ShapeID="_x0000_i1034" DrawAspect="Content" ObjectID="_1610733398" r:id="rId35"/>
        </w:object>
      </w:r>
    </w:p>
    <w:p w:rsidR="003B58BD" w:rsidRDefault="003B58BD" w:rsidP="009672FA">
      <w:pPr>
        <w:ind w:right="-1"/>
        <w:jc w:val="both"/>
        <w:rPr>
          <w:rFonts w:ascii="Arial" w:hAnsi="Arial" w:cs="Arial"/>
          <w:color w:val="FF0000"/>
          <w:sz w:val="22"/>
          <w:szCs w:val="22"/>
        </w:rPr>
      </w:pPr>
    </w:p>
    <w:p w:rsidR="0036319E" w:rsidRPr="00B531CC" w:rsidRDefault="009672FA" w:rsidP="009672FA">
      <w:pPr>
        <w:ind w:right="-1"/>
        <w:jc w:val="both"/>
        <w:rPr>
          <w:rFonts w:ascii="Arial" w:hAnsi="Arial" w:cs="Arial"/>
          <w:b/>
          <w:i/>
          <w:color w:val="00B0F0"/>
          <w:sz w:val="22"/>
          <w:szCs w:val="22"/>
          <w:u w:val="single"/>
        </w:rPr>
      </w:pPr>
      <w:r w:rsidRPr="00B531CC">
        <w:rPr>
          <w:rFonts w:ascii="Arial" w:hAnsi="Arial" w:cs="Arial"/>
          <w:i/>
          <w:color w:val="00B0F0"/>
          <w:sz w:val="22"/>
          <w:szCs w:val="22"/>
        </w:rPr>
        <w:t>N.B. La Legge di Bilancio 2019 (</w:t>
      </w:r>
      <w:r w:rsidR="00B531CC">
        <w:rPr>
          <w:rFonts w:ascii="Arial" w:hAnsi="Arial" w:cs="Arial"/>
          <w:i/>
          <w:color w:val="00B0F0"/>
          <w:sz w:val="22"/>
          <w:szCs w:val="22"/>
        </w:rPr>
        <w:t xml:space="preserve">n. 145/2018) prevede al comma </w:t>
      </w:r>
      <w:r w:rsidRPr="00B531CC">
        <w:rPr>
          <w:rFonts w:ascii="Arial" w:hAnsi="Arial" w:cs="Arial"/>
          <w:i/>
          <w:color w:val="00B0F0"/>
          <w:sz w:val="22"/>
          <w:szCs w:val="22"/>
        </w:rPr>
        <w:t>906</w:t>
      </w:r>
      <w:r w:rsidR="00B531CC">
        <w:rPr>
          <w:rFonts w:ascii="Arial" w:hAnsi="Arial" w:cs="Arial"/>
          <w:i/>
          <w:color w:val="00B0F0"/>
          <w:sz w:val="22"/>
          <w:szCs w:val="22"/>
        </w:rPr>
        <w:t xml:space="preserve"> “</w:t>
      </w:r>
      <w:r w:rsidRPr="00B531CC">
        <w:rPr>
          <w:rFonts w:ascii="Arial" w:hAnsi="Arial" w:cs="Arial"/>
          <w:i/>
          <w:color w:val="00B0F0"/>
          <w:sz w:val="22"/>
          <w:szCs w:val="22"/>
        </w:rPr>
        <w:t xml:space="preserve">Al fine di agevolare il rispetto dei tempi di pagamento di cui al decreto legislativo 9 ottobre 2002, n. 231, il limite massimo di ricorso da parte degli enti locali ad anticipazioni di tesoreria, di cui al comma 1 dell’articolo 222 del testo unico di cui al decreto legislativo 18 agosto 2000, n. 267, è elevato da tre a </w:t>
      </w:r>
      <w:r w:rsidRPr="00B531CC">
        <w:rPr>
          <w:rFonts w:ascii="Arial" w:hAnsi="Arial" w:cs="Arial"/>
          <w:b/>
          <w:i/>
          <w:color w:val="00B0F0"/>
          <w:sz w:val="22"/>
          <w:szCs w:val="22"/>
        </w:rPr>
        <w:t>quattro dodicesimi</w:t>
      </w:r>
      <w:r w:rsidRPr="00B531CC">
        <w:rPr>
          <w:rFonts w:ascii="Arial" w:hAnsi="Arial" w:cs="Arial"/>
          <w:i/>
          <w:color w:val="00B0F0"/>
          <w:sz w:val="22"/>
          <w:szCs w:val="22"/>
        </w:rPr>
        <w:t xml:space="preserve"> sino alla data del 31 dicembre 2019”. </w:t>
      </w:r>
      <w:r w:rsidRPr="00B531CC">
        <w:rPr>
          <w:rFonts w:ascii="Arial" w:hAnsi="Arial" w:cs="Arial"/>
          <w:b/>
          <w:i/>
          <w:color w:val="00B0F0"/>
          <w:sz w:val="22"/>
          <w:szCs w:val="22"/>
          <w:u w:val="single"/>
        </w:rPr>
        <w:t>Non viene ripristinano il limite derogatorio dei cinque dodicesimi.</w:t>
      </w:r>
    </w:p>
    <w:p w:rsidR="0036319E" w:rsidRPr="00B531CC" w:rsidRDefault="0036319E" w:rsidP="009672FA">
      <w:pPr>
        <w:ind w:right="-1"/>
        <w:jc w:val="both"/>
        <w:rPr>
          <w:rFonts w:ascii="Arial" w:hAnsi="Arial" w:cs="Arial"/>
          <w:b/>
          <w:i/>
          <w:color w:val="00B0F0"/>
          <w:u w:val="single"/>
        </w:rPr>
      </w:pPr>
    </w:p>
    <w:p w:rsidR="00C574F8" w:rsidRPr="009672FA" w:rsidRDefault="0036319E" w:rsidP="009672FA">
      <w:pPr>
        <w:ind w:right="-1"/>
        <w:jc w:val="both"/>
        <w:rPr>
          <w:rFonts w:ascii="Arial" w:hAnsi="Arial" w:cs="Arial"/>
          <w:b/>
          <w:u w:val="single"/>
        </w:rPr>
      </w:pPr>
      <w:r w:rsidRPr="00B531CC">
        <w:rPr>
          <w:rFonts w:ascii="Arial" w:hAnsi="Arial" w:cs="Arial"/>
          <w:i/>
          <w:color w:val="00B0F0"/>
          <w:sz w:val="22"/>
          <w:szCs w:val="22"/>
        </w:rPr>
        <w:t>La legge di bilancio 2019 (n. 145/2018) introduce unaltr</w:t>
      </w:r>
      <w:r w:rsidR="00FA74C8">
        <w:rPr>
          <w:rFonts w:ascii="Arial" w:hAnsi="Arial" w:cs="Arial"/>
          <w:i/>
          <w:color w:val="00B0F0"/>
          <w:sz w:val="22"/>
          <w:szCs w:val="22"/>
        </w:rPr>
        <w:t>o</w:t>
      </w:r>
      <w:r w:rsidRPr="00B531CC">
        <w:rPr>
          <w:rFonts w:ascii="Arial" w:hAnsi="Arial" w:cs="Arial"/>
          <w:i/>
          <w:color w:val="00B0F0"/>
          <w:sz w:val="22"/>
          <w:szCs w:val="22"/>
        </w:rPr>
        <w:t xml:space="preserve"> tipo di anticipazione di liquidità. I commi da 849 a 857 introducono un dispositivo che consente a Regioni, Province, Città metropolitane e Comuni di richiedere anticipazioni di liquidità a breve termine finalizzandone l’utilizzo alla accelerazione del pagamento dei debiti commerciali. La norma consente agli istituti di credito (banche, Cdp, intermediari finanziari, istituzioni finanziarie UE) di concedere anticipazioni di liquidità agli enti, da destinare al pagamento di debiti certi, liquidi ed esigibili, maturati alla data del 31 dicembre 2018, relativi a somministrazioni, forniture, appalti e ad obbligazioni per prestazioni professionali. La misura massima concedibile per gli Enti locali, e quindi anche ai Comuni, è di 3/12 delle entrate accertate nel 2017 relativamente ai primi tre titoli delle entrat</w:t>
      </w:r>
      <w:r w:rsidR="00B531CC">
        <w:rPr>
          <w:rFonts w:ascii="Arial" w:hAnsi="Arial" w:cs="Arial"/>
          <w:i/>
          <w:color w:val="00B0F0"/>
          <w:sz w:val="22"/>
          <w:szCs w:val="22"/>
        </w:rPr>
        <w:t xml:space="preserve">e (comma 850). </w:t>
      </w:r>
      <w:r w:rsidRPr="00B531CC">
        <w:rPr>
          <w:rFonts w:ascii="Arial" w:hAnsi="Arial" w:cs="Arial"/>
          <w:i/>
          <w:color w:val="00B0F0"/>
          <w:sz w:val="22"/>
          <w:szCs w:val="22"/>
        </w:rPr>
        <w:t>Alle anticipazioni, che non costituiscono indebitamento ai sensi dell’articolo 3, comma 17, della legge 24 dicembre 2003, n. 350, non si applicano gli articoli 203, comma 1, lettera b), e 204 del testo unico di cui al decreto legislativo 18 agosto 2000, n. 267, nonché l’articolo 62 del decreto legislativo 23 giugno</w:t>
      </w:r>
      <w:r w:rsidR="00FA74C8">
        <w:rPr>
          <w:rFonts w:ascii="Arial" w:hAnsi="Arial" w:cs="Arial"/>
          <w:i/>
          <w:color w:val="00B0F0"/>
          <w:sz w:val="22"/>
          <w:szCs w:val="22"/>
        </w:rPr>
        <w:t>.</w:t>
      </w:r>
      <w:r w:rsidRPr="00B531CC">
        <w:rPr>
          <w:rFonts w:ascii="Arial" w:hAnsi="Arial" w:cs="Arial"/>
          <w:i/>
          <w:color w:val="00B0F0"/>
          <w:sz w:val="22"/>
          <w:szCs w:val="22"/>
        </w:rPr>
        <w:t xml:space="preserve"> Le anticipazioni non costituiscono indebitamento e possono essere richieste anche nel cors</w:t>
      </w:r>
      <w:r w:rsidR="00671FB2">
        <w:rPr>
          <w:rFonts w:ascii="Arial" w:hAnsi="Arial" w:cs="Arial"/>
          <w:i/>
          <w:color w:val="00B0F0"/>
          <w:sz w:val="22"/>
          <w:szCs w:val="22"/>
        </w:rPr>
        <w:t>o dell’esercizio provvisorio (comma</w:t>
      </w:r>
      <w:r w:rsidRPr="00B531CC">
        <w:rPr>
          <w:rFonts w:ascii="Arial" w:hAnsi="Arial" w:cs="Arial"/>
          <w:i/>
          <w:color w:val="00B0F0"/>
          <w:sz w:val="22"/>
          <w:szCs w:val="22"/>
        </w:rPr>
        <w:t>. 851). Possono essere finanziati anche i debiti fuori bilancio, purché riconosciuti con le modalità previste dal TUEL (art. 194).</w:t>
      </w:r>
      <w:r w:rsidR="00C574F8" w:rsidRPr="0036319E">
        <w:rPr>
          <w:rFonts w:ascii="Arial" w:hAnsi="Arial" w:cs="Arial"/>
          <w:color w:val="FF0000"/>
          <w:sz w:val="22"/>
          <w:szCs w:val="22"/>
        </w:rPr>
        <w:br w:type="page"/>
      </w:r>
    </w:p>
    <w:p w:rsidR="009F6E3E" w:rsidRPr="00D80990" w:rsidRDefault="007F766F">
      <w:pPr>
        <w:pStyle w:val="Titolo2"/>
      </w:pPr>
      <w:bookmarkStart w:id="29" w:name="_Toc529960130"/>
      <w:bookmarkStart w:id="30" w:name="_Toc535487604"/>
      <w:bookmarkEnd w:id="29"/>
      <w:r w:rsidRPr="00D80990">
        <w:lastRenderedPageBreak/>
        <w:t>Verifica equilibrio corrente anni 20</w:t>
      </w:r>
      <w:bookmarkEnd w:id="26"/>
      <w:r w:rsidR="00B31869" w:rsidRPr="00D80990">
        <w:t>19</w:t>
      </w:r>
      <w:r w:rsidRPr="00D80990">
        <w:t>-20</w:t>
      </w:r>
      <w:r w:rsidR="00B31869" w:rsidRPr="00D80990">
        <w:t>21</w:t>
      </w:r>
      <w:bookmarkEnd w:id="30"/>
    </w:p>
    <w:p w:rsidR="009F6E3E" w:rsidRPr="00D80990" w:rsidRDefault="009F6E3E">
      <w:pPr>
        <w:rPr>
          <w:rFonts w:ascii="Arial" w:hAnsi="Arial" w:cs="Arial"/>
        </w:rPr>
      </w:pPr>
    </w:p>
    <w:p w:rsidR="009F6E3E" w:rsidRDefault="007F766F">
      <w:pPr>
        <w:rPr>
          <w:rFonts w:ascii="Arial" w:hAnsi="Arial" w:cs="Arial"/>
          <w:sz w:val="22"/>
          <w:szCs w:val="22"/>
        </w:rPr>
      </w:pPr>
      <w:r w:rsidRPr="00D80990">
        <w:rPr>
          <w:rFonts w:ascii="Arial" w:hAnsi="Arial" w:cs="Arial"/>
          <w:sz w:val="22"/>
          <w:szCs w:val="22"/>
        </w:rPr>
        <w:t xml:space="preserve">Gli equilibri richiesti dal comma 6 dell’art.162 del TUEL sono così assicurati: </w:t>
      </w:r>
    </w:p>
    <w:p w:rsidR="006139FE" w:rsidRDefault="006139FE">
      <w:pPr>
        <w:rPr>
          <w:rFonts w:ascii="Arial" w:hAnsi="Arial" w:cs="Arial"/>
          <w:sz w:val="22"/>
          <w:szCs w:val="22"/>
        </w:rPr>
      </w:pPr>
    </w:p>
    <w:p w:rsidR="00671FB2" w:rsidRDefault="00671FB2" w:rsidP="00671FB2">
      <w:pPr>
        <w:rPr>
          <w:rFonts w:ascii="Arial" w:hAnsi="Arial" w:cs="Arial"/>
          <w:sz w:val="22"/>
          <w:szCs w:val="22"/>
        </w:rPr>
      </w:pPr>
      <w:r w:rsidRPr="00213664">
        <w:rPr>
          <w:rFonts w:ascii="Arial" w:hAnsi="Arial" w:cs="Arial"/>
          <w:sz w:val="22"/>
          <w:szCs w:val="22"/>
        </w:rPr>
        <w:object w:dxaOrig="15121" w:dyaOrig="13601">
          <v:shape id="_x0000_i1035" type="#_x0000_t75" style="width:510.75pt;height:461.25pt" o:ole="">
            <v:imagedata r:id="rId36" o:title=""/>
          </v:shape>
          <o:OLEObject Type="Embed" ProgID="Excel.Sheet.12" ShapeID="_x0000_i1035" DrawAspect="Content" ObjectID="_1610733399" r:id="rId37"/>
        </w:object>
      </w:r>
      <w:bookmarkStart w:id="31" w:name="_MON_1497441630"/>
      <w:bookmarkEnd w:id="31"/>
    </w:p>
    <w:p w:rsidR="009F6E3E" w:rsidRPr="00D80990" w:rsidRDefault="007F766F" w:rsidP="00671FB2">
      <w:pPr>
        <w:rPr>
          <w:rFonts w:ascii="Arial" w:hAnsi="Arial" w:cs="Arial"/>
          <w:sz w:val="22"/>
          <w:szCs w:val="22"/>
        </w:rPr>
      </w:pPr>
      <w:r w:rsidRPr="00D80990">
        <w:rPr>
          <w:rFonts w:ascii="Arial" w:hAnsi="Arial" w:cs="Arial"/>
          <w:sz w:val="22"/>
          <w:szCs w:val="22"/>
        </w:rPr>
        <w:t>L’importo di euro…….. di entrate in conto capitale destinate al ripiano del bilancio corrente sono costituite:</w:t>
      </w:r>
    </w:p>
    <w:p w:rsidR="009F6E3E" w:rsidRPr="00D80990" w:rsidRDefault="007F766F">
      <w:pPr>
        <w:jc w:val="both"/>
        <w:rPr>
          <w:rFonts w:ascii="Arial" w:hAnsi="Arial" w:cs="Arial"/>
          <w:sz w:val="22"/>
          <w:szCs w:val="22"/>
        </w:rPr>
      </w:pPr>
      <w:r w:rsidRPr="00D80990">
        <w:rPr>
          <w:rFonts w:ascii="Arial" w:hAnsi="Arial" w:cs="Arial"/>
          <w:sz w:val="22"/>
          <w:szCs w:val="22"/>
        </w:rPr>
        <w:t>………………..</w:t>
      </w:r>
    </w:p>
    <w:p w:rsidR="009F6E3E" w:rsidRPr="00D80990" w:rsidRDefault="007F766F">
      <w:pPr>
        <w:jc w:val="both"/>
        <w:rPr>
          <w:rFonts w:ascii="Arial" w:hAnsi="Arial" w:cs="Arial"/>
          <w:sz w:val="22"/>
          <w:szCs w:val="22"/>
        </w:rPr>
      </w:pPr>
      <w:r w:rsidRPr="00D80990">
        <w:rPr>
          <w:rFonts w:ascii="Arial" w:hAnsi="Arial" w:cs="Arial"/>
          <w:sz w:val="22"/>
          <w:szCs w:val="22"/>
        </w:rPr>
        <w:t>………………..</w:t>
      </w:r>
    </w:p>
    <w:p w:rsidR="009F6E3E" w:rsidRDefault="007F766F">
      <w:pPr>
        <w:jc w:val="both"/>
        <w:rPr>
          <w:rFonts w:ascii="Arial" w:hAnsi="Arial" w:cs="Arial"/>
          <w:sz w:val="22"/>
          <w:szCs w:val="22"/>
        </w:rPr>
      </w:pPr>
      <w:r w:rsidRPr="00D80990">
        <w:rPr>
          <w:rFonts w:ascii="Arial" w:hAnsi="Arial" w:cs="Arial"/>
          <w:sz w:val="22"/>
          <w:szCs w:val="22"/>
        </w:rPr>
        <w:t xml:space="preserve">……………….. </w:t>
      </w:r>
    </w:p>
    <w:p w:rsidR="00B75B67" w:rsidRPr="00D80990" w:rsidRDefault="00B75B67">
      <w:pPr>
        <w:jc w:val="both"/>
        <w:rPr>
          <w:rFonts w:ascii="Arial" w:hAnsi="Arial" w:cs="Arial"/>
          <w:sz w:val="22"/>
          <w:szCs w:val="22"/>
        </w:rPr>
      </w:pPr>
    </w:p>
    <w:p w:rsidR="009F6E3E" w:rsidRPr="00D80990" w:rsidRDefault="007F766F">
      <w:pPr>
        <w:jc w:val="both"/>
        <w:rPr>
          <w:rFonts w:ascii="Arial" w:hAnsi="Arial" w:cs="Arial"/>
          <w:sz w:val="22"/>
          <w:szCs w:val="22"/>
        </w:rPr>
      </w:pPr>
      <w:r w:rsidRPr="00D80990">
        <w:rPr>
          <w:rFonts w:ascii="Arial" w:hAnsi="Arial" w:cs="Arial"/>
          <w:sz w:val="22"/>
          <w:szCs w:val="22"/>
        </w:rPr>
        <w:t>L’importo di euro ………………. di entrate di parte corrente destinate a spese del titolo secondo sono costituite da:</w:t>
      </w:r>
    </w:p>
    <w:p w:rsidR="009F6E3E" w:rsidRPr="00D80990" w:rsidRDefault="007F766F">
      <w:pPr>
        <w:jc w:val="both"/>
        <w:rPr>
          <w:rFonts w:ascii="Arial" w:hAnsi="Arial" w:cs="Arial"/>
          <w:sz w:val="22"/>
          <w:szCs w:val="22"/>
        </w:rPr>
      </w:pPr>
      <w:r w:rsidRPr="00D80990">
        <w:rPr>
          <w:rFonts w:ascii="Arial" w:hAnsi="Arial" w:cs="Arial"/>
          <w:sz w:val="22"/>
          <w:szCs w:val="22"/>
        </w:rPr>
        <w:t xml:space="preserve">…………………….. </w:t>
      </w:r>
    </w:p>
    <w:p w:rsidR="009F6E3E" w:rsidRPr="00D80990" w:rsidRDefault="007F766F">
      <w:pPr>
        <w:jc w:val="both"/>
        <w:rPr>
          <w:rFonts w:ascii="Arial" w:hAnsi="Arial" w:cs="Arial"/>
          <w:sz w:val="22"/>
          <w:szCs w:val="22"/>
        </w:rPr>
      </w:pPr>
      <w:r w:rsidRPr="00D80990">
        <w:rPr>
          <w:rFonts w:ascii="Arial" w:hAnsi="Arial" w:cs="Arial"/>
          <w:sz w:val="22"/>
          <w:szCs w:val="22"/>
        </w:rPr>
        <w:t>……………………</w:t>
      </w:r>
    </w:p>
    <w:p w:rsidR="009F6E3E" w:rsidRPr="00D80990" w:rsidRDefault="009F6E3E">
      <w:pPr>
        <w:jc w:val="both"/>
        <w:rPr>
          <w:rFonts w:ascii="Arial" w:hAnsi="Arial" w:cs="Arial"/>
          <w:sz w:val="22"/>
          <w:szCs w:val="22"/>
        </w:rPr>
      </w:pPr>
    </w:p>
    <w:p w:rsidR="009F6E3E" w:rsidRPr="00D80990" w:rsidRDefault="007F766F">
      <w:pPr>
        <w:jc w:val="both"/>
        <w:rPr>
          <w:rFonts w:ascii="Arial" w:hAnsi="Arial" w:cs="Arial"/>
          <w:sz w:val="22"/>
          <w:szCs w:val="22"/>
        </w:rPr>
      </w:pPr>
      <w:r w:rsidRPr="00D80990">
        <w:rPr>
          <w:rFonts w:ascii="Arial" w:hAnsi="Arial" w:cs="Arial"/>
          <w:sz w:val="22"/>
          <w:szCs w:val="22"/>
        </w:rPr>
        <w:t>L’avanzo di parte corrente è destinato a:</w:t>
      </w:r>
    </w:p>
    <w:p w:rsidR="009F6E3E" w:rsidRPr="00D80990" w:rsidRDefault="007F766F">
      <w:pPr>
        <w:pStyle w:val="Paragrafoelenco"/>
        <w:numPr>
          <w:ilvl w:val="0"/>
          <w:numId w:val="8"/>
        </w:numPr>
        <w:jc w:val="both"/>
        <w:rPr>
          <w:rFonts w:ascii="Arial" w:hAnsi="Arial" w:cs="Arial"/>
          <w:sz w:val="22"/>
          <w:szCs w:val="22"/>
        </w:rPr>
      </w:pPr>
      <w:r w:rsidRPr="00D80990">
        <w:rPr>
          <w:rFonts w:ascii="Arial" w:hAnsi="Arial" w:cs="Arial"/>
          <w:sz w:val="22"/>
          <w:szCs w:val="22"/>
        </w:rPr>
        <w:t>al finanziamento del saldo negativo delle partite finanziarie;</w:t>
      </w:r>
    </w:p>
    <w:p w:rsidR="009F6E3E" w:rsidRPr="00D80990" w:rsidRDefault="007F766F">
      <w:pPr>
        <w:pStyle w:val="Paragrafoelenco"/>
        <w:numPr>
          <w:ilvl w:val="0"/>
          <w:numId w:val="8"/>
        </w:numPr>
        <w:jc w:val="both"/>
        <w:rPr>
          <w:rFonts w:ascii="Arial" w:hAnsi="Arial" w:cs="Arial"/>
          <w:sz w:val="22"/>
          <w:szCs w:val="22"/>
        </w:rPr>
      </w:pPr>
      <w:r w:rsidRPr="00D80990">
        <w:rPr>
          <w:rFonts w:ascii="Arial" w:hAnsi="Arial" w:cs="Arial"/>
          <w:sz w:val="22"/>
          <w:szCs w:val="22"/>
        </w:rPr>
        <w:t>................................................</w:t>
      </w:r>
    </w:p>
    <w:p w:rsidR="009F6E3E" w:rsidRPr="00D80990" w:rsidRDefault="00326753" w:rsidP="003D52F2">
      <w:pPr>
        <w:pStyle w:val="Nessunaspaziatura"/>
        <w:rPr>
          <w:rFonts w:ascii="Arial" w:hAnsi="Arial" w:cs="Arial"/>
          <w:i/>
          <w:sz w:val="22"/>
          <w:szCs w:val="22"/>
          <w:u w:val="single"/>
        </w:rPr>
      </w:pPr>
      <w:bookmarkStart w:id="32" w:name="_MON_1497441881"/>
      <w:bookmarkEnd w:id="32"/>
      <w:r w:rsidRPr="00D80990">
        <w:rPr>
          <w:rFonts w:ascii="Arial" w:hAnsi="Arial" w:cs="Arial"/>
          <w:i/>
          <w:sz w:val="22"/>
          <w:szCs w:val="22"/>
          <w:u w:val="single"/>
        </w:rPr>
        <w:lastRenderedPageBreak/>
        <w:t xml:space="preserve">Utilizzo </w:t>
      </w:r>
      <w:r w:rsidR="007F766F" w:rsidRPr="00D80990">
        <w:rPr>
          <w:rFonts w:ascii="Arial" w:hAnsi="Arial" w:cs="Arial"/>
          <w:i/>
          <w:sz w:val="22"/>
          <w:szCs w:val="22"/>
          <w:u w:val="single"/>
        </w:rPr>
        <w:t>proventi alienazioni</w:t>
      </w:r>
    </w:p>
    <w:p w:rsidR="009F6E3E" w:rsidRPr="00D80990" w:rsidRDefault="009F6E3E" w:rsidP="00627609">
      <w:pPr>
        <w:pStyle w:val="Nessunaspaziatura"/>
        <w:jc w:val="both"/>
        <w:rPr>
          <w:rFonts w:ascii="Arial" w:hAnsi="Arial" w:cs="Arial"/>
          <w:i/>
          <w:color w:val="00B0F0"/>
          <w:sz w:val="22"/>
          <w:szCs w:val="22"/>
        </w:rPr>
      </w:pPr>
    </w:p>
    <w:p w:rsidR="00326753" w:rsidRPr="00D80990" w:rsidRDefault="00665E61" w:rsidP="00627609">
      <w:pPr>
        <w:pStyle w:val="Nessunaspaziatura"/>
        <w:jc w:val="both"/>
        <w:rPr>
          <w:rFonts w:ascii="Arial" w:hAnsi="Arial" w:cs="Arial"/>
          <w:i/>
          <w:color w:val="00B0F0"/>
          <w:sz w:val="22"/>
          <w:szCs w:val="22"/>
        </w:rPr>
      </w:pPr>
      <w:r w:rsidRPr="00D80990">
        <w:rPr>
          <w:rFonts w:ascii="Arial" w:hAnsi="Arial" w:cs="Arial"/>
          <w:i/>
          <w:color w:val="00B0F0"/>
          <w:sz w:val="22"/>
          <w:szCs w:val="22"/>
        </w:rPr>
        <w:t xml:space="preserve">Il </w:t>
      </w:r>
      <w:r w:rsidR="007F766F" w:rsidRPr="00D80990">
        <w:rPr>
          <w:rFonts w:ascii="Arial" w:hAnsi="Arial" w:cs="Arial"/>
          <w:i/>
          <w:color w:val="00B0F0"/>
          <w:sz w:val="22"/>
          <w:szCs w:val="22"/>
        </w:rPr>
        <w:t xml:space="preserve">comma 866 </w:t>
      </w:r>
      <w:r w:rsidRPr="00D80990">
        <w:rPr>
          <w:rFonts w:ascii="Arial" w:hAnsi="Arial" w:cs="Arial"/>
          <w:i/>
          <w:color w:val="00B0F0"/>
          <w:sz w:val="22"/>
          <w:szCs w:val="22"/>
        </w:rPr>
        <w:t xml:space="preserve">dell’art.1 </w:t>
      </w:r>
      <w:r w:rsidR="00364E24" w:rsidRPr="00D80990">
        <w:rPr>
          <w:rFonts w:ascii="Arial" w:hAnsi="Arial" w:cs="Arial"/>
          <w:i/>
          <w:color w:val="00B0F0"/>
          <w:sz w:val="22"/>
          <w:szCs w:val="22"/>
        </w:rPr>
        <w:t>della L</w:t>
      </w:r>
      <w:r w:rsidR="007F766F" w:rsidRPr="00D80990">
        <w:rPr>
          <w:rFonts w:ascii="Arial" w:hAnsi="Arial" w:cs="Arial"/>
          <w:i/>
          <w:color w:val="00B0F0"/>
          <w:sz w:val="22"/>
          <w:szCs w:val="22"/>
        </w:rPr>
        <w:t xml:space="preserve">egge 205/2017 consente </w:t>
      </w:r>
      <w:r w:rsidR="00326753" w:rsidRPr="00D80990">
        <w:rPr>
          <w:rFonts w:ascii="Arial" w:hAnsi="Arial" w:cs="Arial"/>
          <w:i/>
          <w:color w:val="00B0F0"/>
          <w:sz w:val="22"/>
          <w:szCs w:val="22"/>
        </w:rPr>
        <w:t xml:space="preserve">che, per gli anni </w:t>
      </w:r>
      <w:r w:rsidR="007F766F" w:rsidRPr="00D80990">
        <w:rPr>
          <w:rFonts w:ascii="Arial" w:hAnsi="Arial" w:cs="Arial"/>
          <w:i/>
          <w:color w:val="00B0F0"/>
          <w:sz w:val="22"/>
          <w:szCs w:val="22"/>
        </w:rPr>
        <w:t>2018-2020</w:t>
      </w:r>
      <w:r w:rsidR="00326753" w:rsidRPr="00D80990">
        <w:rPr>
          <w:rFonts w:ascii="Arial" w:hAnsi="Arial" w:cs="Arial"/>
          <w:i/>
          <w:color w:val="00B0F0"/>
          <w:sz w:val="22"/>
          <w:szCs w:val="22"/>
        </w:rPr>
        <w:t xml:space="preserve">, gli enti locali possonoavvalersi della possibilità di </w:t>
      </w:r>
      <w:r w:rsidR="007F766F" w:rsidRPr="00D80990">
        <w:rPr>
          <w:rFonts w:ascii="Arial" w:hAnsi="Arial" w:cs="Arial"/>
          <w:i/>
          <w:color w:val="00B0F0"/>
          <w:sz w:val="22"/>
          <w:szCs w:val="22"/>
        </w:rPr>
        <w:t xml:space="preserve">utilizzare </w:t>
      </w:r>
      <w:r w:rsidR="00326753" w:rsidRPr="00D80990">
        <w:rPr>
          <w:rFonts w:ascii="Arial" w:hAnsi="Arial" w:cs="Arial"/>
          <w:i/>
          <w:color w:val="00B0F0"/>
          <w:sz w:val="22"/>
          <w:szCs w:val="22"/>
        </w:rPr>
        <w:t>i proventi</w:t>
      </w:r>
      <w:r w:rsidR="007F766F" w:rsidRPr="00D80990">
        <w:rPr>
          <w:rFonts w:ascii="Arial" w:hAnsi="Arial" w:cs="Arial"/>
          <w:i/>
          <w:color w:val="00B0F0"/>
          <w:sz w:val="22"/>
          <w:szCs w:val="22"/>
        </w:rPr>
        <w:t xml:space="preserve"> derivanti da</w:t>
      </w:r>
      <w:r w:rsidR="00326753" w:rsidRPr="00D80990">
        <w:rPr>
          <w:rFonts w:ascii="Arial" w:hAnsi="Arial" w:cs="Arial"/>
          <w:i/>
          <w:color w:val="00B0F0"/>
          <w:sz w:val="22"/>
          <w:szCs w:val="22"/>
        </w:rPr>
        <w:t>lle</w:t>
      </w:r>
      <w:r w:rsidR="007F766F" w:rsidRPr="00D80990">
        <w:rPr>
          <w:rFonts w:ascii="Arial" w:hAnsi="Arial" w:cs="Arial"/>
          <w:i/>
          <w:color w:val="00B0F0"/>
          <w:sz w:val="22"/>
          <w:szCs w:val="22"/>
        </w:rPr>
        <w:t xml:space="preserve"> alienazioni patrimoniali, </w:t>
      </w:r>
      <w:r w:rsidR="00326753" w:rsidRPr="00D80990">
        <w:rPr>
          <w:rFonts w:ascii="Arial" w:hAnsi="Arial" w:cs="Arial"/>
          <w:i/>
          <w:color w:val="00B0F0"/>
          <w:sz w:val="22"/>
          <w:szCs w:val="22"/>
        </w:rPr>
        <w:t>anche derivanti da azioni o piani di razionalizzazione, per finanziare le quote capitali dei mutui o dei prestiti obbligazionari in ammortamento nell'anno o in anticipo rispetto all'originario piano di ammortamento. Tale possibilit</w:t>
      </w:r>
      <w:r w:rsidR="003D52F2" w:rsidRPr="00D80990">
        <w:rPr>
          <w:rFonts w:ascii="Arial" w:hAnsi="Arial" w:cs="Arial"/>
          <w:i/>
          <w:color w:val="00B0F0"/>
          <w:sz w:val="22"/>
          <w:szCs w:val="22"/>
        </w:rPr>
        <w:t>àè</w:t>
      </w:r>
      <w:r w:rsidR="00326753" w:rsidRPr="00D80990">
        <w:rPr>
          <w:rFonts w:ascii="Arial" w:hAnsi="Arial" w:cs="Arial"/>
          <w:i/>
          <w:color w:val="00B0F0"/>
          <w:sz w:val="22"/>
          <w:szCs w:val="22"/>
        </w:rPr>
        <w:t xml:space="preserve"> consentita esclusivamente agli enti locali che: </w:t>
      </w:r>
    </w:p>
    <w:p w:rsidR="00326753" w:rsidRPr="00D80990" w:rsidRDefault="00326753" w:rsidP="00627609">
      <w:pPr>
        <w:pStyle w:val="Nessunaspaziatura"/>
        <w:jc w:val="both"/>
        <w:rPr>
          <w:rFonts w:ascii="Arial" w:hAnsi="Arial" w:cs="Arial"/>
          <w:i/>
          <w:color w:val="00B0F0"/>
          <w:sz w:val="22"/>
          <w:szCs w:val="22"/>
        </w:rPr>
      </w:pPr>
      <w:r w:rsidRPr="00D80990">
        <w:rPr>
          <w:rFonts w:ascii="Arial" w:hAnsi="Arial" w:cs="Arial"/>
          <w:i/>
          <w:color w:val="00B0F0"/>
          <w:sz w:val="22"/>
          <w:szCs w:val="22"/>
        </w:rPr>
        <w:t xml:space="preserve">a) dimostrino, con riferimento al bilancio consolidato dell'esercizio precedente, un rapporto tra totale delle immobilizzazioni e debiti da finanziamento superiore a 2; </w:t>
      </w:r>
    </w:p>
    <w:p w:rsidR="00326753" w:rsidRPr="00D80990" w:rsidRDefault="00326753" w:rsidP="00627609">
      <w:pPr>
        <w:pStyle w:val="Nessunaspaziatura"/>
        <w:jc w:val="both"/>
        <w:rPr>
          <w:rFonts w:ascii="Arial" w:hAnsi="Arial" w:cs="Arial"/>
          <w:i/>
          <w:color w:val="00B0F0"/>
          <w:sz w:val="22"/>
          <w:szCs w:val="22"/>
        </w:rPr>
      </w:pPr>
      <w:r w:rsidRPr="00D80990">
        <w:rPr>
          <w:rFonts w:ascii="Arial" w:hAnsi="Arial" w:cs="Arial"/>
          <w:i/>
          <w:color w:val="00B0F0"/>
          <w:sz w:val="22"/>
          <w:szCs w:val="22"/>
        </w:rPr>
        <w:t xml:space="preserve">b) in sede di bilancio di previsione non registrino incrementi di spesa corrente ricorrente, come definita dall'allegato 7 annesso al decreto legislativo 23 giugno 2011, n. 118; </w:t>
      </w:r>
    </w:p>
    <w:p w:rsidR="009F6E3E" w:rsidRPr="00D80990" w:rsidRDefault="00326753" w:rsidP="00627609">
      <w:pPr>
        <w:pStyle w:val="Nessunaspaziatura"/>
        <w:jc w:val="both"/>
        <w:rPr>
          <w:rFonts w:ascii="Arial" w:hAnsi="Arial" w:cs="Arial"/>
          <w:i/>
          <w:color w:val="00B0F0"/>
          <w:sz w:val="22"/>
          <w:szCs w:val="22"/>
        </w:rPr>
      </w:pPr>
      <w:r w:rsidRPr="00D80990">
        <w:rPr>
          <w:rFonts w:ascii="Arial" w:hAnsi="Arial" w:cs="Arial"/>
          <w:i/>
          <w:color w:val="00B0F0"/>
          <w:sz w:val="22"/>
          <w:szCs w:val="22"/>
        </w:rPr>
        <w:t>c) siano in regola con gli accantonamenti al fondo crediti di dubbia esigibilit</w:t>
      </w:r>
      <w:r w:rsidR="003D52F2" w:rsidRPr="00D80990">
        <w:rPr>
          <w:rFonts w:ascii="Arial" w:hAnsi="Arial" w:cs="Arial"/>
          <w:i/>
          <w:color w:val="00B0F0"/>
          <w:sz w:val="22"/>
          <w:szCs w:val="22"/>
        </w:rPr>
        <w:t>à</w:t>
      </w:r>
      <w:r w:rsidRPr="00D80990">
        <w:rPr>
          <w:rFonts w:ascii="Arial" w:hAnsi="Arial" w:cs="Arial"/>
          <w:i/>
          <w:color w:val="00B0F0"/>
          <w:sz w:val="22"/>
          <w:szCs w:val="22"/>
        </w:rPr>
        <w:t>.</w:t>
      </w:r>
    </w:p>
    <w:p w:rsidR="00627609" w:rsidRPr="00D80990" w:rsidRDefault="00627609" w:rsidP="00627609">
      <w:pPr>
        <w:pStyle w:val="Nessunaspaziatura"/>
        <w:jc w:val="both"/>
        <w:rPr>
          <w:rFonts w:ascii="Arial" w:hAnsi="Arial" w:cs="Arial"/>
          <w:i/>
          <w:color w:val="00B0F0"/>
          <w:sz w:val="22"/>
          <w:szCs w:val="22"/>
        </w:rPr>
      </w:pPr>
    </w:p>
    <w:p w:rsidR="00627609" w:rsidRPr="00D80990" w:rsidRDefault="00627609" w:rsidP="00627609">
      <w:pPr>
        <w:jc w:val="both"/>
        <w:rPr>
          <w:rFonts w:ascii="Arial" w:hAnsi="Arial" w:cs="Arial"/>
          <w:i/>
          <w:color w:val="00B0F0"/>
          <w:sz w:val="22"/>
          <w:szCs w:val="22"/>
        </w:rPr>
      </w:pPr>
      <w:r w:rsidRPr="00D80990">
        <w:rPr>
          <w:rFonts w:ascii="Arial" w:hAnsi="Arial" w:cs="Arial"/>
          <w:i/>
          <w:color w:val="00B0F0"/>
          <w:sz w:val="22"/>
          <w:szCs w:val="22"/>
        </w:rPr>
        <w:t>L’utilizzo di tali risorse in parte corrente richiede una previa verifica delle condizioni previste dall’art.1 comma 866 della Legge 205/2017, a seguito della stipula dell’atto di vendita.</w:t>
      </w:r>
    </w:p>
    <w:p w:rsidR="00627609" w:rsidRPr="00D80990" w:rsidRDefault="00627609" w:rsidP="00627609">
      <w:pPr>
        <w:jc w:val="both"/>
        <w:rPr>
          <w:rFonts w:ascii="Arial" w:hAnsi="Arial" w:cs="Arial"/>
          <w:i/>
          <w:color w:val="00B0F0"/>
          <w:sz w:val="22"/>
          <w:szCs w:val="22"/>
        </w:rPr>
      </w:pPr>
    </w:p>
    <w:p w:rsidR="00326753" w:rsidRPr="00D80990" w:rsidRDefault="00326753" w:rsidP="00627609">
      <w:pPr>
        <w:pStyle w:val="Nessunaspaziatura"/>
        <w:jc w:val="both"/>
        <w:rPr>
          <w:rFonts w:ascii="Arial" w:hAnsi="Arial" w:cs="Arial"/>
          <w:i/>
          <w:color w:val="00B0F0"/>
          <w:sz w:val="22"/>
          <w:szCs w:val="22"/>
        </w:rPr>
      </w:pPr>
    </w:p>
    <w:p w:rsidR="009F6E3E" w:rsidRPr="00D80990" w:rsidRDefault="007F766F" w:rsidP="00627609">
      <w:pPr>
        <w:pStyle w:val="Nessunaspaziatura"/>
        <w:jc w:val="both"/>
        <w:rPr>
          <w:rFonts w:ascii="Arial" w:hAnsi="Arial" w:cs="Arial"/>
          <w:i/>
          <w:sz w:val="22"/>
          <w:szCs w:val="22"/>
          <w:u w:val="single"/>
        </w:rPr>
      </w:pPr>
      <w:r w:rsidRPr="00D80990">
        <w:rPr>
          <w:rFonts w:ascii="Arial" w:hAnsi="Arial" w:cs="Arial"/>
          <w:i/>
          <w:sz w:val="22"/>
          <w:szCs w:val="22"/>
          <w:u w:val="single"/>
        </w:rPr>
        <w:t xml:space="preserve">Risorse </w:t>
      </w:r>
      <w:r w:rsidR="00FF7087" w:rsidRPr="00D80990">
        <w:rPr>
          <w:rFonts w:ascii="Arial" w:hAnsi="Arial" w:cs="Arial"/>
          <w:i/>
          <w:sz w:val="22"/>
          <w:szCs w:val="22"/>
          <w:u w:val="single"/>
        </w:rPr>
        <w:t xml:space="preserve">derivanti </w:t>
      </w:r>
      <w:r w:rsidRPr="00D80990">
        <w:rPr>
          <w:rFonts w:ascii="Arial" w:hAnsi="Arial" w:cs="Arial"/>
          <w:i/>
          <w:sz w:val="22"/>
          <w:szCs w:val="22"/>
          <w:u w:val="single"/>
        </w:rPr>
        <w:t>da rinegoziazione mutui</w:t>
      </w:r>
    </w:p>
    <w:p w:rsidR="009F6E3E" w:rsidRPr="00D80990" w:rsidRDefault="009F6E3E" w:rsidP="00627609">
      <w:pPr>
        <w:pStyle w:val="Nessunaspaziatura"/>
        <w:jc w:val="both"/>
        <w:rPr>
          <w:rFonts w:ascii="Arial" w:hAnsi="Arial" w:cs="Arial"/>
          <w:i/>
          <w:color w:val="00B0F0"/>
          <w:sz w:val="22"/>
          <w:szCs w:val="22"/>
        </w:rPr>
      </w:pPr>
    </w:p>
    <w:p w:rsidR="004A1706" w:rsidRPr="00D80990" w:rsidRDefault="00665E61" w:rsidP="00627609">
      <w:pPr>
        <w:pStyle w:val="Nessunaspaziatura"/>
        <w:jc w:val="both"/>
        <w:rPr>
          <w:rFonts w:ascii="Arial" w:hAnsi="Arial" w:cs="Arial"/>
          <w:i/>
          <w:color w:val="00B0F0"/>
          <w:sz w:val="22"/>
          <w:szCs w:val="22"/>
        </w:rPr>
      </w:pPr>
      <w:r w:rsidRPr="00D80990">
        <w:rPr>
          <w:rFonts w:ascii="Arial" w:hAnsi="Arial" w:cs="Arial"/>
          <w:i/>
          <w:color w:val="00B0F0"/>
          <w:sz w:val="22"/>
          <w:szCs w:val="22"/>
        </w:rPr>
        <w:t xml:space="preserve">Il </w:t>
      </w:r>
      <w:r w:rsidR="00FF7087" w:rsidRPr="00D80990">
        <w:rPr>
          <w:rFonts w:ascii="Arial" w:hAnsi="Arial" w:cs="Arial"/>
          <w:i/>
          <w:color w:val="00B0F0"/>
          <w:sz w:val="22"/>
          <w:szCs w:val="22"/>
        </w:rPr>
        <w:t>comma 867</w:t>
      </w:r>
      <w:r w:rsidRPr="00D80990">
        <w:rPr>
          <w:rFonts w:ascii="Arial" w:hAnsi="Arial" w:cs="Arial"/>
          <w:i/>
          <w:color w:val="00B0F0"/>
          <w:sz w:val="22"/>
          <w:szCs w:val="22"/>
        </w:rPr>
        <w:t>dell’art.1</w:t>
      </w:r>
      <w:r w:rsidR="00364E24" w:rsidRPr="00D80990">
        <w:rPr>
          <w:rFonts w:ascii="Arial" w:hAnsi="Arial" w:cs="Arial"/>
          <w:i/>
          <w:color w:val="00B0F0"/>
          <w:sz w:val="22"/>
          <w:szCs w:val="22"/>
        </w:rPr>
        <w:t xml:space="preserve"> della L</w:t>
      </w:r>
      <w:r w:rsidR="007F766F" w:rsidRPr="00D80990">
        <w:rPr>
          <w:rFonts w:ascii="Arial" w:hAnsi="Arial" w:cs="Arial"/>
          <w:i/>
          <w:color w:val="00B0F0"/>
          <w:sz w:val="22"/>
          <w:szCs w:val="22"/>
        </w:rPr>
        <w:t>egge 205/2017 estende fino al 2020 la disposizione che consenteagli enti territoriali</w:t>
      </w:r>
      <w:r w:rsidR="00FF7087" w:rsidRPr="00D80990">
        <w:rPr>
          <w:rFonts w:ascii="Arial" w:hAnsi="Arial" w:cs="Arial"/>
          <w:i/>
          <w:color w:val="00B0F0"/>
          <w:sz w:val="22"/>
          <w:szCs w:val="22"/>
        </w:rPr>
        <w:t>, per gli anni 2015-2020,</w:t>
      </w:r>
      <w:r w:rsidR="007F766F" w:rsidRPr="00D80990">
        <w:rPr>
          <w:rFonts w:ascii="Arial" w:hAnsi="Arial" w:cs="Arial"/>
          <w:i/>
          <w:color w:val="00B0F0"/>
          <w:sz w:val="22"/>
          <w:szCs w:val="22"/>
        </w:rPr>
        <w:t xml:space="preserve"> l’utilizzo senza vincoli di destinazione delle risorse derivanti da operazioni di rinegoziazione di mutui, nonché dal riacquisto dei titoli obbligazionari emessi (art. 7, co. 2, D.L. n.78/2015), anche per spesa corrente</w:t>
      </w:r>
      <w:r w:rsidR="004A1706" w:rsidRPr="00D80990">
        <w:rPr>
          <w:rFonts w:ascii="Arial" w:hAnsi="Arial" w:cs="Arial"/>
          <w:i/>
          <w:color w:val="00B0F0"/>
          <w:sz w:val="22"/>
          <w:szCs w:val="22"/>
        </w:rPr>
        <w:t>.</w:t>
      </w:r>
    </w:p>
    <w:p w:rsidR="009F6E3E" w:rsidRPr="00D80990" w:rsidRDefault="007F766F" w:rsidP="00627609">
      <w:pPr>
        <w:pStyle w:val="Nessunaspaziatura"/>
        <w:jc w:val="both"/>
        <w:rPr>
          <w:rFonts w:ascii="Arial" w:hAnsi="Arial" w:cs="Arial"/>
          <w:i/>
          <w:color w:val="00B0F0"/>
          <w:sz w:val="22"/>
          <w:szCs w:val="22"/>
        </w:rPr>
      </w:pPr>
      <w:r w:rsidRPr="00D80990">
        <w:rPr>
          <w:rFonts w:ascii="Arial" w:hAnsi="Arial" w:cs="Arial"/>
          <w:i/>
          <w:color w:val="00B0F0"/>
          <w:sz w:val="22"/>
          <w:szCs w:val="22"/>
        </w:rPr>
        <w:t>La disposizione previgente limitava l’applicazione della disposizione al periodo 2015-2017.</w:t>
      </w:r>
    </w:p>
    <w:p w:rsidR="00627609" w:rsidRPr="00D80990" w:rsidRDefault="00627609" w:rsidP="00627609">
      <w:pPr>
        <w:pStyle w:val="Nessunaspaziatura"/>
        <w:jc w:val="both"/>
        <w:rPr>
          <w:rFonts w:ascii="Arial" w:hAnsi="Arial" w:cs="Arial"/>
          <w:i/>
          <w:color w:val="00B0F0"/>
          <w:sz w:val="22"/>
          <w:szCs w:val="22"/>
        </w:rPr>
      </w:pPr>
    </w:p>
    <w:p w:rsidR="00627609" w:rsidRPr="00D80990" w:rsidRDefault="00627609" w:rsidP="00627609">
      <w:pPr>
        <w:jc w:val="both"/>
        <w:rPr>
          <w:rFonts w:ascii="Arial" w:hAnsi="Arial" w:cs="Arial"/>
          <w:sz w:val="22"/>
          <w:szCs w:val="22"/>
        </w:rPr>
      </w:pPr>
      <w:r w:rsidRPr="00D80990">
        <w:rPr>
          <w:rFonts w:ascii="Arial" w:hAnsi="Arial" w:cs="Arial"/>
          <w:sz w:val="22"/>
          <w:szCs w:val="22"/>
        </w:rPr>
        <w:t xml:space="preserve">L’ente </w:t>
      </w:r>
      <w:r w:rsidRPr="00D80990">
        <w:rPr>
          <w:rFonts w:ascii="Arial" w:hAnsi="Arial" w:cs="Arial"/>
          <w:b/>
          <w:sz w:val="22"/>
          <w:szCs w:val="22"/>
        </w:rPr>
        <w:t>si è avvalso / non si è avvalso</w:t>
      </w:r>
      <w:r w:rsidRPr="00D80990">
        <w:rPr>
          <w:rFonts w:ascii="Arial" w:hAnsi="Arial" w:cs="Arial"/>
          <w:sz w:val="22"/>
          <w:szCs w:val="22"/>
        </w:rPr>
        <w:t xml:space="preserve"> della facoltà di utilizzare le economie di risorse derivanti da operazioni di rinegoziazione mutui e prestiti per finanziare, in deroga, spese di parte corrente ai sensi dell’art. 1 comma 867 Legge 205/2017.</w:t>
      </w:r>
    </w:p>
    <w:p w:rsidR="00627609" w:rsidRPr="00D80990" w:rsidRDefault="00627609" w:rsidP="00627609">
      <w:pPr>
        <w:pStyle w:val="Nessunaspaziatura"/>
        <w:jc w:val="both"/>
        <w:rPr>
          <w:rFonts w:ascii="Arial" w:hAnsi="Arial" w:cs="Arial"/>
          <w:i/>
          <w:color w:val="00B0F0"/>
          <w:sz w:val="22"/>
          <w:szCs w:val="22"/>
        </w:rPr>
      </w:pPr>
    </w:p>
    <w:p w:rsidR="009F6E3E" w:rsidRPr="00D80990" w:rsidRDefault="007F766F">
      <w:pPr>
        <w:pStyle w:val="Titolo2"/>
      </w:pPr>
      <w:bookmarkStart w:id="33" w:name="_Toc535487605"/>
      <w:r w:rsidRPr="00D80990">
        <w:t>Entrate e spese di carattere non ripetitivo</w:t>
      </w:r>
      <w:bookmarkEnd w:id="33"/>
    </w:p>
    <w:p w:rsidR="009F6E3E" w:rsidRPr="00D80990" w:rsidRDefault="007F766F">
      <w:pPr>
        <w:spacing w:before="120"/>
        <w:jc w:val="both"/>
        <w:rPr>
          <w:rFonts w:ascii="Arial" w:hAnsi="Arial" w:cs="Arial"/>
          <w:sz w:val="22"/>
          <w:szCs w:val="22"/>
        </w:rPr>
      </w:pPr>
      <w:r w:rsidRPr="00D80990">
        <w:rPr>
          <w:rFonts w:ascii="Arial" w:hAnsi="Arial" w:cs="Arial"/>
          <w:sz w:val="22"/>
          <w:szCs w:val="22"/>
        </w:rPr>
        <w:t>L’articolo 25, comma 1, lettera b) della legge 31/12/2009, n.196</w:t>
      </w:r>
      <w:r w:rsidR="00BC7A78">
        <w:rPr>
          <w:rFonts w:ascii="Arial" w:hAnsi="Arial" w:cs="Arial"/>
          <w:sz w:val="22"/>
          <w:szCs w:val="22"/>
        </w:rPr>
        <w:t xml:space="preserve">, relativamente alla classificazione delle entrate dello stato, </w:t>
      </w:r>
      <w:r w:rsidRPr="00D80990">
        <w:rPr>
          <w:rFonts w:ascii="Arial" w:hAnsi="Arial" w:cs="Arial"/>
          <w:sz w:val="22"/>
          <w:szCs w:val="22"/>
        </w:rPr>
        <w:t>distingue le entrate ricorrenti da quelle non ricorrenti, a seconda che si riferiscano a proventi la cui acquisizione sia prevista a regime ovvero limitata a uno o più esercizi.</w:t>
      </w:r>
    </w:p>
    <w:p w:rsidR="009F6E3E" w:rsidRPr="00D80990" w:rsidRDefault="007F766F">
      <w:pPr>
        <w:spacing w:before="120"/>
        <w:jc w:val="both"/>
        <w:rPr>
          <w:rFonts w:ascii="Arial" w:hAnsi="Arial" w:cs="Arial"/>
          <w:i/>
          <w:color w:val="00B0F0"/>
          <w:sz w:val="22"/>
          <w:szCs w:val="22"/>
        </w:rPr>
      </w:pPr>
      <w:r w:rsidRPr="00D80990">
        <w:rPr>
          <w:rFonts w:ascii="Arial" w:hAnsi="Arial" w:cs="Arial"/>
          <w:i/>
          <w:color w:val="00B0F0"/>
          <w:sz w:val="22"/>
          <w:szCs w:val="22"/>
        </w:rPr>
        <w:t>E’ definita “a regime” un’entrata che si presenta con continuità in almeno 5 esercizi, per importi costanti nel tempo.</w:t>
      </w:r>
    </w:p>
    <w:p w:rsidR="009F6E3E" w:rsidRPr="00D80990" w:rsidRDefault="007F766F">
      <w:pPr>
        <w:spacing w:before="120"/>
        <w:jc w:val="both"/>
        <w:rPr>
          <w:rFonts w:ascii="Arial" w:hAnsi="Arial" w:cs="Arial"/>
          <w:i/>
          <w:color w:val="00B0F0"/>
          <w:sz w:val="22"/>
          <w:szCs w:val="22"/>
        </w:rPr>
      </w:pPr>
      <w:r w:rsidRPr="00D80990">
        <w:rPr>
          <w:rFonts w:ascii="Arial" w:hAnsi="Arial" w:cs="Arial"/>
          <w:i/>
          <w:color w:val="00B0F0"/>
          <w:sz w:val="22"/>
          <w:szCs w:val="22"/>
        </w:rPr>
        <w:t>Tutti i trasferimenti in conto capitale sono non ricorrenti a meno che non siano espressamente definiti “continuativi” dal provvedimento o dalla norma che ne autorizza l’erogazione.</w:t>
      </w:r>
    </w:p>
    <w:p w:rsidR="009F6E3E" w:rsidRPr="00D80990" w:rsidRDefault="007F766F">
      <w:pPr>
        <w:spacing w:before="120"/>
        <w:jc w:val="both"/>
        <w:rPr>
          <w:rFonts w:ascii="Arial" w:hAnsi="Arial" w:cs="Arial"/>
          <w:i/>
          <w:color w:val="00B0F0"/>
          <w:sz w:val="22"/>
          <w:szCs w:val="22"/>
        </w:rPr>
      </w:pPr>
      <w:r w:rsidRPr="00D80990">
        <w:rPr>
          <w:rFonts w:ascii="Arial" w:hAnsi="Arial" w:cs="Arial"/>
          <w:i/>
          <w:color w:val="00B0F0"/>
          <w:sz w:val="22"/>
          <w:szCs w:val="22"/>
        </w:rPr>
        <w:t xml:space="preserve">E' opportuno includere tra le entrate “non ricorrenti” anche le entrate presenti “a regime” nei bilanci dell’ente, quando presentano importi superiori alla media riscontrata nei cinque esercizi precedenti. </w:t>
      </w:r>
    </w:p>
    <w:p w:rsidR="009F6E3E" w:rsidRPr="00D80990" w:rsidRDefault="007F766F">
      <w:pPr>
        <w:spacing w:before="120"/>
        <w:jc w:val="both"/>
        <w:rPr>
          <w:rFonts w:ascii="Arial" w:hAnsi="Arial" w:cs="Arial"/>
          <w:i/>
          <w:color w:val="00B0F0"/>
          <w:sz w:val="22"/>
          <w:szCs w:val="22"/>
        </w:rPr>
      </w:pPr>
      <w:r w:rsidRPr="00D80990">
        <w:rPr>
          <w:rFonts w:ascii="Arial" w:hAnsi="Arial" w:cs="Arial"/>
          <w:i/>
          <w:color w:val="00B0F0"/>
          <w:sz w:val="22"/>
          <w:szCs w:val="22"/>
        </w:rPr>
        <w:t>In questo caso le entrate devono essere considerate ricorrenti fino a quando superano tale importo e devono essere invece considerate non ricorrenti quando tale importo viene superato.</w:t>
      </w:r>
    </w:p>
    <w:p w:rsidR="009F6E3E" w:rsidRPr="00D80990" w:rsidRDefault="007F766F">
      <w:pPr>
        <w:spacing w:before="120"/>
        <w:jc w:val="both"/>
        <w:rPr>
          <w:rFonts w:ascii="Arial" w:hAnsi="Arial" w:cs="Arial"/>
          <w:i/>
          <w:color w:val="00B0F0"/>
          <w:sz w:val="22"/>
          <w:szCs w:val="22"/>
        </w:rPr>
      </w:pPr>
      <w:r w:rsidRPr="00D80990">
        <w:rPr>
          <w:rFonts w:ascii="Arial" w:hAnsi="Arial" w:cs="Arial"/>
          <w:i/>
          <w:color w:val="00B0F0"/>
          <w:sz w:val="22"/>
          <w:szCs w:val="22"/>
        </w:rPr>
        <w:t>Le entrate da concessioni pluriennali che non garantiscono accertamenti costanti negli esercizi e costituiscono entrate straordinarie non ricorrenti sono destinate al finanziamento di interventi di investimento. (cfr. punto 3.10 del principio contabile applicato 4/2 D.Lgs.118/2011)</w:t>
      </w:r>
    </w:p>
    <w:p w:rsidR="0001679F" w:rsidRDefault="0001679F">
      <w:pPr>
        <w:spacing w:before="120"/>
        <w:jc w:val="both"/>
        <w:rPr>
          <w:rFonts w:ascii="Arial" w:hAnsi="Arial" w:cs="Arial"/>
          <w:sz w:val="22"/>
          <w:szCs w:val="22"/>
        </w:rPr>
      </w:pPr>
    </w:p>
    <w:p w:rsidR="009F6E3E" w:rsidRDefault="007F766F">
      <w:pPr>
        <w:spacing w:before="120"/>
        <w:jc w:val="both"/>
        <w:rPr>
          <w:rFonts w:ascii="Arial" w:hAnsi="Arial" w:cs="Arial"/>
          <w:sz w:val="22"/>
          <w:szCs w:val="22"/>
        </w:rPr>
      </w:pPr>
      <w:r w:rsidRPr="00D80990">
        <w:rPr>
          <w:rFonts w:ascii="Arial" w:hAnsi="Arial" w:cs="Arial"/>
          <w:sz w:val="22"/>
          <w:szCs w:val="22"/>
        </w:rPr>
        <w:t>Nel bilancio sono previste nei primi tre titoli le seguenti entrate e nel titolo I le seguenti spese non ricorrenti (indicare solo l’importo che, come riportato nel commento, supera la media dei cinque anni precedenti).</w:t>
      </w:r>
    </w:p>
    <w:p w:rsidR="00511D8A" w:rsidRDefault="00511D8A">
      <w:pPr>
        <w:spacing w:before="120"/>
        <w:jc w:val="both"/>
        <w:rPr>
          <w:rFonts w:ascii="Arial" w:hAnsi="Arial" w:cs="Arial"/>
          <w:sz w:val="22"/>
          <w:szCs w:val="22"/>
        </w:rPr>
      </w:pPr>
    </w:p>
    <w:p w:rsidR="00511D8A" w:rsidRPr="00D80990" w:rsidRDefault="00511D8A" w:rsidP="00511D8A">
      <w:pPr>
        <w:spacing w:before="120"/>
        <w:jc w:val="center"/>
        <w:rPr>
          <w:rFonts w:ascii="Arial" w:hAnsi="Arial" w:cs="Arial"/>
          <w:sz w:val="22"/>
          <w:szCs w:val="22"/>
        </w:rPr>
      </w:pPr>
    </w:p>
    <w:p w:rsidR="00F3032F" w:rsidRDefault="00F3032F">
      <w:pPr>
        <w:jc w:val="both"/>
        <w:rPr>
          <w:rFonts w:ascii="Arial" w:hAnsi="Arial" w:cs="Arial"/>
          <w:sz w:val="22"/>
          <w:szCs w:val="22"/>
        </w:rPr>
      </w:pPr>
    </w:p>
    <w:p w:rsidR="00B75B67" w:rsidRDefault="003B58BD" w:rsidP="00B75B67">
      <w:pPr>
        <w:jc w:val="center"/>
        <w:rPr>
          <w:rFonts w:ascii="Arial" w:hAnsi="Arial" w:cs="Arial"/>
          <w:sz w:val="22"/>
          <w:szCs w:val="22"/>
        </w:rPr>
      </w:pPr>
      <w:r w:rsidRPr="00213664">
        <w:rPr>
          <w:rFonts w:ascii="Arial" w:hAnsi="Arial" w:cs="Arial"/>
          <w:sz w:val="22"/>
          <w:szCs w:val="22"/>
        </w:rPr>
        <w:object w:dxaOrig="9072" w:dyaOrig="2493">
          <v:shape id="_x0000_i1036" type="#_x0000_t75" style="width:453.75pt;height:122.25pt" o:ole="">
            <v:imagedata r:id="rId38" o:title=""/>
          </v:shape>
          <o:OLEObject Type="Embed" ProgID="Excel.Sheet.12" ShapeID="_x0000_i1036" DrawAspect="Content" ObjectID="_1610733400" r:id="rId39"/>
        </w:object>
      </w:r>
    </w:p>
    <w:p w:rsidR="00B75B67" w:rsidRDefault="00B75B67" w:rsidP="00B75B67">
      <w:pPr>
        <w:jc w:val="center"/>
        <w:rPr>
          <w:rFonts w:ascii="Arial" w:hAnsi="Arial" w:cs="Arial"/>
          <w:sz w:val="22"/>
          <w:szCs w:val="22"/>
        </w:rPr>
      </w:pPr>
    </w:p>
    <w:p w:rsidR="003B58BD" w:rsidRDefault="003B58BD" w:rsidP="00B75B67">
      <w:pPr>
        <w:jc w:val="center"/>
        <w:rPr>
          <w:rFonts w:ascii="Arial" w:hAnsi="Arial" w:cs="Arial"/>
          <w:sz w:val="22"/>
          <w:szCs w:val="22"/>
        </w:rPr>
      </w:pPr>
      <w:r w:rsidRPr="00213664">
        <w:rPr>
          <w:rFonts w:ascii="Arial" w:hAnsi="Arial" w:cs="Arial"/>
          <w:sz w:val="22"/>
          <w:szCs w:val="22"/>
        </w:rPr>
        <w:object w:dxaOrig="9072" w:dyaOrig="2246">
          <v:shape id="_x0000_i1037" type="#_x0000_t75" style="width:453.75pt;height:115.5pt" o:ole="">
            <v:imagedata r:id="rId40" o:title=""/>
          </v:shape>
          <o:OLEObject Type="Embed" ProgID="Excel.Sheet.12" ShapeID="_x0000_i1037" DrawAspect="Content" ObjectID="_1610733401" r:id="rId41"/>
        </w:object>
      </w:r>
    </w:p>
    <w:p w:rsidR="003B58BD" w:rsidRDefault="003B58BD" w:rsidP="00B75B67">
      <w:pPr>
        <w:jc w:val="center"/>
        <w:rPr>
          <w:rFonts w:ascii="Arial" w:hAnsi="Arial" w:cs="Arial"/>
          <w:sz w:val="22"/>
          <w:szCs w:val="22"/>
        </w:rPr>
      </w:pPr>
    </w:p>
    <w:p w:rsidR="009F6E3E" w:rsidRPr="00D80990" w:rsidRDefault="007F766F" w:rsidP="00AE2698">
      <w:pPr>
        <w:jc w:val="both"/>
        <w:rPr>
          <w:rFonts w:ascii="Arial" w:hAnsi="Arial" w:cs="Arial"/>
          <w:i/>
          <w:color w:val="00B0F0"/>
          <w:sz w:val="20"/>
          <w:szCs w:val="20"/>
        </w:rPr>
      </w:pPr>
      <w:r w:rsidRPr="00D80990">
        <w:rPr>
          <w:rFonts w:ascii="Arial" w:hAnsi="Arial" w:cs="Arial"/>
          <w:i/>
          <w:color w:val="00B0F0"/>
          <w:sz w:val="20"/>
          <w:szCs w:val="20"/>
        </w:rPr>
        <w:t>Nella nota integrativa sono analizzate le articolazioni e la relazione fra entrate ricorrenti e quelle non ricorrenti.</w:t>
      </w:r>
    </w:p>
    <w:p w:rsidR="009F6E3E" w:rsidRPr="00D80990" w:rsidRDefault="007F766F" w:rsidP="00AE2698">
      <w:pPr>
        <w:jc w:val="both"/>
        <w:rPr>
          <w:rFonts w:ascii="Arial" w:hAnsi="Arial" w:cs="Arial"/>
          <w:i/>
          <w:color w:val="00B0F0"/>
          <w:sz w:val="20"/>
          <w:szCs w:val="20"/>
        </w:rPr>
      </w:pPr>
      <w:r w:rsidRPr="00D80990">
        <w:rPr>
          <w:rFonts w:ascii="Arial" w:hAnsi="Arial" w:cs="Arial"/>
          <w:i/>
          <w:color w:val="00B0F0"/>
          <w:sz w:val="20"/>
          <w:szCs w:val="20"/>
        </w:rPr>
        <w:t>Il codice identificativo della transazione elementare delle entrate non ricorrenti è 2, quella delle spese non ricorrenti 4.</w:t>
      </w:r>
    </w:p>
    <w:p w:rsidR="009F6E3E" w:rsidRPr="00D80990" w:rsidRDefault="007F766F" w:rsidP="00AE2698">
      <w:pPr>
        <w:pStyle w:val="NormaleWeb"/>
        <w:spacing w:before="0" w:beforeAutospacing="0" w:after="265" w:afterAutospacing="0"/>
        <w:jc w:val="both"/>
        <w:rPr>
          <w:rFonts w:ascii="Arial" w:hAnsi="Arial" w:cs="Arial"/>
          <w:i/>
          <w:color w:val="00B0F0"/>
          <w:sz w:val="20"/>
          <w:szCs w:val="20"/>
        </w:rPr>
      </w:pPr>
      <w:r w:rsidRPr="00D80990">
        <w:rPr>
          <w:rFonts w:ascii="Arial" w:hAnsi="Arial" w:cs="Arial"/>
          <w:i/>
          <w:color w:val="00B0F0"/>
          <w:sz w:val="20"/>
          <w:szCs w:val="20"/>
        </w:rPr>
        <w:t>Alcune entrate sono considerate per definizione dai nuovi principi contabili come non ricorrenti, in particolare l’allegato 7 al D.lgs. 118/2011 precisa la distinzione tra entrata ricorrente e non ricorrente, a seconda se l’acquisizione dell’entrata sia prevista a regime ovvero limitata ad uno o più esercizi, e della spesa ricorrente e non ricorrente, a seconda se la spesa sia prevista a regime o limitata ad uno o più esercizi (vedi punto 1 lett. g). A prescindere dall’entrata o dalla spesa a regime, il successivo punto 5 del citato allegato precisa che:</w:t>
      </w:r>
    </w:p>
    <w:p w:rsidR="009F6E3E" w:rsidRPr="00D80990" w:rsidRDefault="007F766F" w:rsidP="0001679F">
      <w:pPr>
        <w:pStyle w:val="NormaleWeb"/>
        <w:numPr>
          <w:ilvl w:val="0"/>
          <w:numId w:val="30"/>
        </w:numPr>
        <w:spacing w:before="0" w:beforeAutospacing="0" w:after="0" w:afterAutospacing="0"/>
        <w:rPr>
          <w:rFonts w:ascii="Arial" w:hAnsi="Arial" w:cs="Arial"/>
          <w:i/>
          <w:color w:val="00B0F0"/>
          <w:sz w:val="20"/>
          <w:szCs w:val="20"/>
        </w:rPr>
      </w:pPr>
      <w:r w:rsidRPr="00D80990">
        <w:rPr>
          <w:rFonts w:ascii="Arial" w:hAnsi="Arial" w:cs="Arial"/>
          <w:i/>
          <w:color w:val="00B0F0"/>
          <w:sz w:val="20"/>
          <w:szCs w:val="20"/>
        </w:rPr>
        <w:t>Sono in ogni caso da considerare non ricorrenti le entrate riguardanti:</w:t>
      </w:r>
    </w:p>
    <w:p w:rsidR="005D5C5F" w:rsidRDefault="007F766F" w:rsidP="005D5C5F">
      <w:pPr>
        <w:pStyle w:val="NormaleWeb"/>
        <w:numPr>
          <w:ilvl w:val="0"/>
          <w:numId w:val="31"/>
        </w:numPr>
        <w:spacing w:before="0" w:beforeAutospacing="0" w:after="0" w:afterAutospacing="0"/>
        <w:ind w:firstLine="65"/>
        <w:rPr>
          <w:rFonts w:ascii="Arial" w:hAnsi="Arial" w:cs="Arial"/>
          <w:i/>
          <w:color w:val="00B0F0"/>
          <w:sz w:val="20"/>
          <w:szCs w:val="20"/>
        </w:rPr>
      </w:pPr>
      <w:r w:rsidRPr="00D80990">
        <w:rPr>
          <w:rFonts w:ascii="Arial" w:hAnsi="Arial" w:cs="Arial"/>
          <w:i/>
          <w:color w:val="00B0F0"/>
          <w:sz w:val="20"/>
          <w:szCs w:val="20"/>
        </w:rPr>
        <w:t>donazioni, sanatorie, abusi edilizi e sanzioni;</w:t>
      </w:r>
    </w:p>
    <w:p w:rsidR="009F6E3E" w:rsidRPr="00D80990" w:rsidRDefault="007F766F" w:rsidP="005D5C5F">
      <w:pPr>
        <w:pStyle w:val="NormaleWeb"/>
        <w:numPr>
          <w:ilvl w:val="0"/>
          <w:numId w:val="31"/>
        </w:numPr>
        <w:spacing w:before="0" w:beforeAutospacing="0" w:after="0" w:afterAutospacing="0"/>
        <w:ind w:left="1134" w:firstLine="0"/>
        <w:rPr>
          <w:rFonts w:ascii="Arial" w:hAnsi="Arial" w:cs="Arial"/>
          <w:i/>
          <w:color w:val="00B0F0"/>
          <w:sz w:val="20"/>
          <w:szCs w:val="20"/>
        </w:rPr>
      </w:pPr>
      <w:r w:rsidRPr="00D80990">
        <w:rPr>
          <w:rFonts w:ascii="Arial" w:hAnsi="Arial" w:cs="Arial"/>
          <w:i/>
          <w:color w:val="00B0F0"/>
          <w:sz w:val="20"/>
          <w:szCs w:val="20"/>
        </w:rPr>
        <w:t>condoni;</w:t>
      </w:r>
      <w:r w:rsidRPr="00D80990">
        <w:rPr>
          <w:rFonts w:ascii="Arial" w:hAnsi="Arial" w:cs="Arial"/>
          <w:i/>
          <w:color w:val="00B0F0"/>
          <w:sz w:val="20"/>
          <w:szCs w:val="20"/>
        </w:rPr>
        <w:br/>
        <w:t>c) gettiti derivanti dalla lotta all’evasione tributaria;</w:t>
      </w:r>
      <w:r w:rsidRPr="00D80990">
        <w:rPr>
          <w:rFonts w:ascii="Arial" w:hAnsi="Arial" w:cs="Arial"/>
          <w:i/>
          <w:color w:val="00B0F0"/>
          <w:sz w:val="20"/>
          <w:szCs w:val="20"/>
        </w:rPr>
        <w:br/>
        <w:t>d) entrate per eventi calamitosi;</w:t>
      </w:r>
      <w:r w:rsidRPr="00D80990">
        <w:rPr>
          <w:rFonts w:ascii="Arial" w:hAnsi="Arial" w:cs="Arial"/>
          <w:i/>
          <w:color w:val="00B0F0"/>
          <w:sz w:val="20"/>
          <w:szCs w:val="20"/>
        </w:rPr>
        <w:br/>
        <w:t>e) alienazione di immobilizzazioni;</w:t>
      </w:r>
      <w:r w:rsidRPr="00D80990">
        <w:rPr>
          <w:rFonts w:ascii="Arial" w:hAnsi="Arial" w:cs="Arial"/>
          <w:i/>
          <w:color w:val="00B0F0"/>
          <w:sz w:val="20"/>
          <w:szCs w:val="20"/>
        </w:rPr>
        <w:br/>
        <w:t>f) accensioni di prestiti;</w:t>
      </w:r>
      <w:r w:rsidRPr="00D80990">
        <w:rPr>
          <w:rFonts w:ascii="Arial" w:hAnsi="Arial" w:cs="Arial"/>
          <w:i/>
          <w:color w:val="00B0F0"/>
          <w:sz w:val="20"/>
          <w:szCs w:val="20"/>
        </w:rPr>
        <w:br/>
        <w:t>g)contributi agli investimenti, a meno che non siano espressamente definitivi “continuativi” dal provvedimento o dalla norma che ne autorizza l’erogazione.</w:t>
      </w:r>
    </w:p>
    <w:p w:rsidR="009F6E3E" w:rsidRPr="00D80990" w:rsidRDefault="007F766F" w:rsidP="0001679F">
      <w:pPr>
        <w:pStyle w:val="NormaleWeb"/>
        <w:numPr>
          <w:ilvl w:val="0"/>
          <w:numId w:val="30"/>
        </w:numPr>
        <w:spacing w:before="0" w:beforeAutospacing="0" w:after="0" w:afterAutospacing="0"/>
        <w:rPr>
          <w:rFonts w:ascii="Arial" w:hAnsi="Arial" w:cs="Arial"/>
          <w:i/>
          <w:color w:val="00B0F0"/>
          <w:sz w:val="20"/>
          <w:szCs w:val="20"/>
        </w:rPr>
      </w:pPr>
      <w:r w:rsidRPr="00D80990">
        <w:rPr>
          <w:rFonts w:ascii="Arial" w:hAnsi="Arial" w:cs="Arial"/>
          <w:i/>
          <w:color w:val="00B0F0"/>
          <w:sz w:val="20"/>
          <w:szCs w:val="20"/>
        </w:rPr>
        <w:t>Sono, in ogni caso, da considerarsi non ricorrenti, le spese riguardanti:</w:t>
      </w:r>
    </w:p>
    <w:p w:rsidR="009F6E3E" w:rsidRDefault="007F766F" w:rsidP="005D5C5F">
      <w:pPr>
        <w:pStyle w:val="NormaleWeb"/>
        <w:numPr>
          <w:ilvl w:val="0"/>
          <w:numId w:val="42"/>
        </w:numPr>
        <w:spacing w:before="0" w:beforeAutospacing="0" w:after="0" w:afterAutospacing="0"/>
        <w:ind w:left="1134" w:firstLine="0"/>
        <w:rPr>
          <w:rFonts w:ascii="Arial" w:hAnsi="Arial" w:cs="Arial"/>
          <w:i/>
          <w:color w:val="00B0F0"/>
          <w:sz w:val="20"/>
          <w:szCs w:val="20"/>
        </w:rPr>
      </w:pPr>
      <w:r w:rsidRPr="00D80990">
        <w:rPr>
          <w:rFonts w:ascii="Arial" w:hAnsi="Arial" w:cs="Arial"/>
          <w:i/>
          <w:color w:val="00B0F0"/>
          <w:sz w:val="20"/>
          <w:szCs w:val="20"/>
        </w:rPr>
        <w:t>consultazioni elettorali o referendarie locali,</w:t>
      </w:r>
      <w:r w:rsidRPr="00D80990">
        <w:rPr>
          <w:rFonts w:ascii="Arial" w:hAnsi="Arial" w:cs="Arial"/>
          <w:i/>
          <w:color w:val="00B0F0"/>
          <w:sz w:val="20"/>
          <w:szCs w:val="20"/>
        </w:rPr>
        <w:br/>
        <w:t>b) ripiani disavanzi pregressi di aziende e società e altri trasferimenti in c/capitale,</w:t>
      </w:r>
      <w:r w:rsidRPr="00D80990">
        <w:rPr>
          <w:rFonts w:ascii="Arial" w:hAnsi="Arial" w:cs="Arial"/>
          <w:i/>
          <w:color w:val="00B0F0"/>
          <w:sz w:val="20"/>
          <w:szCs w:val="20"/>
        </w:rPr>
        <w:br/>
        <w:t>c) eventi calamitosi,</w:t>
      </w:r>
      <w:r w:rsidRPr="00D80990">
        <w:rPr>
          <w:rFonts w:ascii="Arial" w:hAnsi="Arial" w:cs="Arial"/>
          <w:i/>
          <w:color w:val="00B0F0"/>
          <w:sz w:val="20"/>
          <w:szCs w:val="20"/>
        </w:rPr>
        <w:br/>
        <w:t>d) sentenze esecutive ed atti equiparati,</w:t>
      </w:r>
      <w:r w:rsidRPr="00D80990">
        <w:rPr>
          <w:rFonts w:ascii="Arial" w:hAnsi="Arial" w:cs="Arial"/>
          <w:i/>
          <w:color w:val="00B0F0"/>
          <w:sz w:val="20"/>
          <w:szCs w:val="20"/>
        </w:rPr>
        <w:br/>
        <w:t>e) investimenti diretti,</w:t>
      </w:r>
      <w:r w:rsidRPr="00D80990">
        <w:rPr>
          <w:rFonts w:ascii="Arial" w:hAnsi="Arial" w:cs="Arial"/>
          <w:i/>
          <w:color w:val="00B0F0"/>
          <w:sz w:val="20"/>
          <w:szCs w:val="20"/>
        </w:rPr>
        <w:br/>
        <w:t>f) contributi agli investimenti.</w:t>
      </w:r>
    </w:p>
    <w:p w:rsidR="0013061E" w:rsidRPr="00D80990" w:rsidRDefault="0013061E" w:rsidP="008B1A79">
      <w:pPr>
        <w:pStyle w:val="NormaleWeb"/>
        <w:spacing w:before="0" w:beforeAutospacing="0" w:after="0" w:afterAutospacing="0"/>
        <w:ind w:left="1080"/>
        <w:rPr>
          <w:rFonts w:ascii="Arial" w:hAnsi="Arial" w:cs="Arial"/>
          <w:i/>
          <w:color w:val="00B0F0"/>
          <w:sz w:val="20"/>
          <w:szCs w:val="20"/>
        </w:rPr>
      </w:pPr>
    </w:p>
    <w:p w:rsidR="00B75B67" w:rsidRDefault="00B75B67">
      <w:pPr>
        <w:pStyle w:val="Titolo2"/>
      </w:pPr>
    </w:p>
    <w:p w:rsidR="00B75B67" w:rsidRDefault="00B75B67">
      <w:pPr>
        <w:pStyle w:val="Titolo2"/>
      </w:pPr>
    </w:p>
    <w:p w:rsidR="000D5C03" w:rsidRDefault="000D5C03" w:rsidP="000D5C03"/>
    <w:p w:rsidR="000D5C03" w:rsidRDefault="000D5C03" w:rsidP="000D5C03"/>
    <w:p w:rsidR="000D5C03" w:rsidRDefault="000D5C03" w:rsidP="000D5C03"/>
    <w:p w:rsidR="000D5C03" w:rsidRDefault="000D5C03" w:rsidP="000D5C03"/>
    <w:p w:rsidR="000D5C03" w:rsidRDefault="000D5C03" w:rsidP="000D5C03"/>
    <w:p w:rsidR="000D5C03" w:rsidRDefault="000D5C03" w:rsidP="000D5C03"/>
    <w:p w:rsidR="000D5C03" w:rsidRDefault="000D5C03">
      <w:r>
        <w:lastRenderedPageBreak/>
        <w:br w:type="page"/>
      </w:r>
    </w:p>
    <w:p w:rsidR="009F6E3E" w:rsidRPr="00D80990" w:rsidRDefault="007F766F">
      <w:pPr>
        <w:pStyle w:val="Titolo2"/>
      </w:pPr>
      <w:bookmarkStart w:id="34" w:name="_Toc535487606"/>
      <w:r w:rsidRPr="00D80990">
        <w:lastRenderedPageBreak/>
        <w:t>La nota integrativa</w:t>
      </w:r>
      <w:bookmarkEnd w:id="34"/>
    </w:p>
    <w:p w:rsidR="009F6E3E" w:rsidRPr="00D80990" w:rsidRDefault="007F766F">
      <w:pPr>
        <w:pStyle w:val="provvr0"/>
        <w:rPr>
          <w:rFonts w:ascii="Arial" w:hAnsi="Arial" w:cs="Arial"/>
          <w:sz w:val="22"/>
          <w:szCs w:val="22"/>
        </w:rPr>
      </w:pPr>
      <w:r w:rsidRPr="00D80990">
        <w:rPr>
          <w:rFonts w:ascii="Arial" w:hAnsi="Arial" w:cs="Arial"/>
          <w:sz w:val="22"/>
          <w:szCs w:val="22"/>
        </w:rPr>
        <w:t>La nota integrativa allegata al bilancio di previsione indica come disposto dal comma 5 dell’art.11 del D.Lgs. 23/6/2011 n.118 tutte le seguenti informazioni:</w:t>
      </w:r>
    </w:p>
    <w:p w:rsidR="009F6E3E" w:rsidRPr="00D80990" w:rsidRDefault="007F766F">
      <w:pPr>
        <w:pStyle w:val="Paragrafoelenco"/>
        <w:numPr>
          <w:ilvl w:val="0"/>
          <w:numId w:val="21"/>
        </w:numPr>
        <w:jc w:val="both"/>
        <w:rPr>
          <w:rFonts w:ascii="Arial" w:hAnsi="Arial" w:cs="Arial"/>
          <w:sz w:val="22"/>
          <w:szCs w:val="22"/>
        </w:rPr>
      </w:pPr>
      <w:r w:rsidRPr="00D80990">
        <w:rPr>
          <w:rFonts w:ascii="Arial" w:hAnsi="Arial" w:cs="Arial"/>
          <w:sz w:val="22"/>
          <w:szCs w:val="22"/>
        </w:rPr>
        <w:t xml:space="preserve">i criteri di valutazione adottati per la formulazione delle previsioni, con particolare riferimento agli stanziamenti riguardanti gli accantonamenti per le spese potenziali e al fondo crediti di dubbia esigibilità, dando illustrazione dei crediti per i quali non è previsto l'accantonamento a tale fondo; </w:t>
      </w:r>
    </w:p>
    <w:p w:rsidR="009F6E3E" w:rsidRPr="00D80990" w:rsidRDefault="007F766F">
      <w:pPr>
        <w:pStyle w:val="Paragrafoelenco"/>
        <w:numPr>
          <w:ilvl w:val="0"/>
          <w:numId w:val="21"/>
        </w:numPr>
        <w:jc w:val="both"/>
        <w:rPr>
          <w:rFonts w:ascii="Arial" w:hAnsi="Arial" w:cs="Arial"/>
          <w:sz w:val="22"/>
          <w:szCs w:val="22"/>
        </w:rPr>
      </w:pPr>
      <w:r w:rsidRPr="00D80990">
        <w:rPr>
          <w:rFonts w:ascii="Arial" w:hAnsi="Arial" w:cs="Arial"/>
          <w:sz w:val="22"/>
          <w:szCs w:val="22"/>
        </w:rPr>
        <w:t xml:space="preserve">l'elenco analitico delle quote vincolate e accantonate del risultato di amministrazione presunto al 31 dicembre dell'esercizio precedente, distinguendo i vincoli derivanti dalla legge e dai principi contabili, dai trasferimenti, da mutui e altri finanziamenti, vincoli formalmente attribuiti dall'ente; </w:t>
      </w:r>
    </w:p>
    <w:p w:rsidR="009F6E3E" w:rsidRPr="00D80990" w:rsidRDefault="007F766F">
      <w:pPr>
        <w:pStyle w:val="Paragrafoelenco"/>
        <w:numPr>
          <w:ilvl w:val="0"/>
          <w:numId w:val="21"/>
        </w:numPr>
        <w:jc w:val="both"/>
        <w:rPr>
          <w:rFonts w:ascii="Arial" w:hAnsi="Arial" w:cs="Arial"/>
          <w:sz w:val="22"/>
          <w:szCs w:val="22"/>
        </w:rPr>
      </w:pPr>
      <w:r w:rsidRPr="00D80990">
        <w:rPr>
          <w:rFonts w:ascii="Arial" w:hAnsi="Arial" w:cs="Arial"/>
          <w:sz w:val="22"/>
          <w:szCs w:val="22"/>
        </w:rPr>
        <w:t xml:space="preserve">l'elenco analitico degli utilizzi delle quote vincolate e accantonate del risultato di amministrazione presunto, distinguendo i vincoli derivanti dalla legge e dai principi contabili, dai trasferimenti, da mutui e altri finanziamenti, vincoli formalmente attribuiti dall'ente; </w:t>
      </w:r>
    </w:p>
    <w:p w:rsidR="009F6E3E" w:rsidRPr="00D80990" w:rsidRDefault="007F766F">
      <w:pPr>
        <w:pStyle w:val="Paragrafoelenco"/>
        <w:numPr>
          <w:ilvl w:val="0"/>
          <w:numId w:val="21"/>
        </w:numPr>
        <w:jc w:val="both"/>
        <w:rPr>
          <w:rFonts w:ascii="Arial" w:hAnsi="Arial" w:cs="Arial"/>
          <w:sz w:val="22"/>
          <w:szCs w:val="22"/>
        </w:rPr>
      </w:pPr>
      <w:r w:rsidRPr="00D80990">
        <w:rPr>
          <w:rFonts w:ascii="Arial" w:hAnsi="Arial" w:cs="Arial"/>
          <w:sz w:val="22"/>
          <w:szCs w:val="22"/>
        </w:rPr>
        <w:t xml:space="preserve">l'elenco degli interventi programmati per spese di investimento finanziati col ricorso al debito e con le risorse disponibili; </w:t>
      </w:r>
    </w:p>
    <w:p w:rsidR="009F6E3E" w:rsidRPr="00D80990" w:rsidRDefault="007F766F">
      <w:pPr>
        <w:pStyle w:val="Paragrafoelenco"/>
        <w:numPr>
          <w:ilvl w:val="0"/>
          <w:numId w:val="21"/>
        </w:numPr>
        <w:jc w:val="both"/>
        <w:rPr>
          <w:rFonts w:ascii="Arial" w:hAnsi="Arial" w:cs="Arial"/>
          <w:sz w:val="22"/>
          <w:szCs w:val="22"/>
        </w:rPr>
      </w:pPr>
      <w:r w:rsidRPr="00D80990">
        <w:rPr>
          <w:rFonts w:ascii="Arial" w:hAnsi="Arial" w:cs="Arial"/>
          <w:sz w:val="22"/>
          <w:szCs w:val="22"/>
        </w:rPr>
        <w:t xml:space="preserve">nel caso in cui gli stanziamenti riguardanti il fondo pluriennale vincolato comprendono anche investimenti ancora in corso di definizione, le cause che non hanno reso possibile porre in essere la programmazione necessaria alla definizione dei relativi cronoprogrammi; </w:t>
      </w:r>
    </w:p>
    <w:p w:rsidR="009F6E3E" w:rsidRPr="00D80990" w:rsidRDefault="007F766F">
      <w:pPr>
        <w:pStyle w:val="Paragrafoelenco"/>
        <w:numPr>
          <w:ilvl w:val="0"/>
          <w:numId w:val="21"/>
        </w:numPr>
        <w:jc w:val="both"/>
        <w:rPr>
          <w:rFonts w:ascii="Arial" w:hAnsi="Arial" w:cs="Arial"/>
          <w:sz w:val="22"/>
          <w:szCs w:val="22"/>
        </w:rPr>
      </w:pPr>
      <w:r w:rsidRPr="00D80990">
        <w:rPr>
          <w:rFonts w:ascii="Arial" w:hAnsi="Arial" w:cs="Arial"/>
          <w:sz w:val="22"/>
          <w:szCs w:val="22"/>
        </w:rPr>
        <w:t xml:space="preserve">l'elenco delle garanzie principali o sussidiarie prestate dall'ente a favore di enti e di altri soggetti ai sensi delle leggi vigenti; </w:t>
      </w:r>
    </w:p>
    <w:p w:rsidR="009F6E3E" w:rsidRPr="00D80990" w:rsidRDefault="007F766F">
      <w:pPr>
        <w:pStyle w:val="Paragrafoelenco"/>
        <w:numPr>
          <w:ilvl w:val="0"/>
          <w:numId w:val="21"/>
        </w:numPr>
        <w:jc w:val="both"/>
        <w:rPr>
          <w:rFonts w:ascii="Arial" w:hAnsi="Arial" w:cs="Arial"/>
          <w:sz w:val="22"/>
          <w:szCs w:val="22"/>
        </w:rPr>
      </w:pPr>
      <w:r w:rsidRPr="00D80990">
        <w:rPr>
          <w:rFonts w:ascii="Arial" w:hAnsi="Arial" w:cs="Arial"/>
          <w:sz w:val="22"/>
          <w:szCs w:val="22"/>
        </w:rPr>
        <w:t xml:space="preserve">gli oneri e gli impegni finanziari stimati e stanziati in bilancio, derivanti da contratti relativi a strumenti finanziari derivati o da contratti di finanziamento che includono una componente derivata; </w:t>
      </w:r>
    </w:p>
    <w:p w:rsidR="009F6E3E" w:rsidRPr="00D80990" w:rsidRDefault="007F766F">
      <w:pPr>
        <w:pStyle w:val="Paragrafoelenco"/>
        <w:numPr>
          <w:ilvl w:val="0"/>
          <w:numId w:val="21"/>
        </w:numPr>
        <w:jc w:val="both"/>
        <w:rPr>
          <w:rFonts w:ascii="Arial" w:hAnsi="Arial" w:cs="Arial"/>
          <w:sz w:val="22"/>
          <w:szCs w:val="22"/>
        </w:rPr>
      </w:pPr>
      <w:r w:rsidRPr="00D80990">
        <w:rPr>
          <w:rFonts w:ascii="Arial" w:hAnsi="Arial" w:cs="Arial"/>
          <w:sz w:val="22"/>
          <w:szCs w:val="22"/>
        </w:rPr>
        <w:t xml:space="preserve">l'elenco dei propri enti ed organismi strumentali, precisando che i relativi bilanci consuntivi sono consultabili nel proprio sito internet fermo restando quanto previsto per gli enti locali dall'art. 172, comma 1, lettera a) del Tuel; </w:t>
      </w:r>
    </w:p>
    <w:p w:rsidR="009F6E3E" w:rsidRPr="00D80990" w:rsidRDefault="007F766F">
      <w:pPr>
        <w:pStyle w:val="Paragrafoelenco"/>
        <w:numPr>
          <w:ilvl w:val="0"/>
          <w:numId w:val="21"/>
        </w:numPr>
        <w:jc w:val="both"/>
        <w:rPr>
          <w:rFonts w:ascii="Arial" w:hAnsi="Arial" w:cs="Arial"/>
          <w:sz w:val="22"/>
          <w:szCs w:val="22"/>
        </w:rPr>
      </w:pPr>
      <w:r w:rsidRPr="00D80990">
        <w:rPr>
          <w:rFonts w:ascii="Arial" w:hAnsi="Arial" w:cs="Arial"/>
          <w:sz w:val="22"/>
          <w:szCs w:val="22"/>
        </w:rPr>
        <w:t xml:space="preserve">l'elenco delle partecipazioni possedute con l'indicazione della relativa quota percentuale; </w:t>
      </w:r>
    </w:p>
    <w:p w:rsidR="009F6E3E" w:rsidRPr="00D80990" w:rsidRDefault="007F766F">
      <w:pPr>
        <w:pStyle w:val="Paragrafoelenco"/>
        <w:numPr>
          <w:ilvl w:val="0"/>
          <w:numId w:val="21"/>
        </w:numPr>
        <w:jc w:val="both"/>
        <w:rPr>
          <w:rFonts w:ascii="Arial" w:hAnsi="Arial" w:cs="Arial"/>
          <w:sz w:val="22"/>
          <w:szCs w:val="22"/>
        </w:rPr>
      </w:pPr>
      <w:r w:rsidRPr="00D80990">
        <w:rPr>
          <w:rFonts w:ascii="Arial" w:hAnsi="Arial" w:cs="Arial"/>
          <w:sz w:val="22"/>
          <w:szCs w:val="22"/>
        </w:rPr>
        <w:t>altre informazioni riguardanti le previsioni, richieste dalla legge o necessarie per l'interpretazione del bilancio.</w:t>
      </w:r>
    </w:p>
    <w:p w:rsidR="009F6E3E" w:rsidRPr="00D80990" w:rsidRDefault="009F6E3E">
      <w:pPr>
        <w:rPr>
          <w:rFonts w:ascii="Arial" w:hAnsi="Arial" w:cs="Arial"/>
          <w:sz w:val="22"/>
          <w:szCs w:val="22"/>
        </w:rPr>
      </w:pPr>
    </w:p>
    <w:p w:rsidR="009F6E3E" w:rsidRPr="00D80990" w:rsidRDefault="007F766F">
      <w:pPr>
        <w:jc w:val="both"/>
        <w:rPr>
          <w:rFonts w:ascii="Arial" w:hAnsi="Arial" w:cs="Arial"/>
          <w:i/>
          <w:color w:val="00B0F0"/>
          <w:sz w:val="22"/>
          <w:szCs w:val="22"/>
        </w:rPr>
      </w:pPr>
      <w:r w:rsidRPr="00D80990">
        <w:rPr>
          <w:rFonts w:ascii="Arial" w:hAnsi="Arial" w:cs="Arial"/>
          <w:i/>
          <w:color w:val="00B0F0"/>
          <w:sz w:val="22"/>
          <w:szCs w:val="22"/>
        </w:rPr>
        <w:t>(Indicare i punti non illustrati nella nota integrativa o le eventuali carenze nelle informazioni indicate nella stessa)</w:t>
      </w:r>
    </w:p>
    <w:p w:rsidR="009F6E3E" w:rsidRPr="00D80990" w:rsidRDefault="009F6E3E">
      <w:pPr>
        <w:jc w:val="both"/>
        <w:rPr>
          <w:rFonts w:ascii="Arial" w:hAnsi="Arial" w:cs="Arial"/>
          <w:sz w:val="20"/>
        </w:rPr>
      </w:pPr>
    </w:p>
    <w:p w:rsidR="0001679F" w:rsidRDefault="0001679F">
      <w:pPr>
        <w:jc w:val="both"/>
        <w:rPr>
          <w:rFonts w:ascii="Arial" w:hAnsi="Arial" w:cs="Arial"/>
          <w:sz w:val="20"/>
        </w:rPr>
      </w:pPr>
      <w:r>
        <w:rPr>
          <w:rFonts w:ascii="Arial" w:hAnsi="Arial" w:cs="Arial"/>
          <w:sz w:val="20"/>
        </w:rPr>
        <w:br w:type="page"/>
      </w:r>
    </w:p>
    <w:p w:rsidR="009F6E3E" w:rsidRPr="00D80990" w:rsidRDefault="007F766F">
      <w:pPr>
        <w:pStyle w:val="Titolo1"/>
        <w:shd w:val="clear" w:color="auto" w:fill="B6DDE8" w:themeFill="accent5" w:themeFillTint="66"/>
      </w:pPr>
      <w:bookmarkStart w:id="35" w:name="_VERIFICA_COERENZA_DELLE"/>
      <w:bookmarkStart w:id="36" w:name="_Toc346838827"/>
      <w:bookmarkStart w:id="37" w:name="_Toc535487607"/>
      <w:bookmarkEnd w:id="35"/>
      <w:r w:rsidRPr="00D80990">
        <w:lastRenderedPageBreak/>
        <w:t>VERIFICA COERENZA DELLE PREVISIONI</w:t>
      </w:r>
      <w:bookmarkEnd w:id="36"/>
      <w:bookmarkEnd w:id="37"/>
    </w:p>
    <w:p w:rsidR="00BE11C1" w:rsidRPr="00D80990" w:rsidRDefault="00BE11C1" w:rsidP="00BE11C1">
      <w:pPr>
        <w:pStyle w:val="Titolo2"/>
      </w:pPr>
      <w:bookmarkStart w:id="38" w:name="_Toc346838828"/>
      <w:bookmarkStart w:id="39" w:name="_Toc535487608"/>
      <w:r w:rsidRPr="00D80990">
        <w:t>Verifica della coerenza interna</w:t>
      </w:r>
      <w:bookmarkEnd w:id="38"/>
      <w:bookmarkEnd w:id="39"/>
    </w:p>
    <w:p w:rsidR="00BE11C1" w:rsidRPr="00D80990" w:rsidRDefault="00BE11C1" w:rsidP="00BE11C1">
      <w:pPr>
        <w:spacing w:after="60"/>
        <w:rPr>
          <w:rFonts w:ascii="Arial" w:hAnsi="Arial" w:cs="Arial"/>
          <w:b/>
          <w:sz w:val="22"/>
          <w:szCs w:val="22"/>
          <w:u w:val="single"/>
        </w:rPr>
      </w:pPr>
    </w:p>
    <w:p w:rsidR="00BE11C1" w:rsidRPr="00D80990" w:rsidRDefault="00BE11C1" w:rsidP="00BE11C1">
      <w:pPr>
        <w:spacing w:after="60"/>
        <w:jc w:val="both"/>
        <w:rPr>
          <w:rFonts w:ascii="Arial" w:hAnsi="Arial" w:cs="Arial"/>
          <w:sz w:val="22"/>
          <w:szCs w:val="22"/>
        </w:rPr>
      </w:pPr>
      <w:r w:rsidRPr="00D80990">
        <w:rPr>
          <w:rFonts w:ascii="Arial" w:hAnsi="Arial" w:cs="Arial"/>
          <w:sz w:val="22"/>
          <w:szCs w:val="22"/>
        </w:rPr>
        <w:t>L’organo di revisione ritiene che le previsioni per gli anni 2019-2021 siano coerenti con gli strumenti di programmazione di mandato, con il documento unico di programmazione e con gli atti di programmazione di settore (piano triennale dei lavori pubblici, programmazione fabbisogni del personale, piano alienazioni e valorizzazione patrimonio immobiliare, ecc.).</w:t>
      </w:r>
    </w:p>
    <w:p w:rsidR="00BE11C1" w:rsidRPr="00D80990" w:rsidRDefault="00BE11C1" w:rsidP="00BE11C1">
      <w:pPr>
        <w:jc w:val="both"/>
        <w:rPr>
          <w:rFonts w:ascii="Arial" w:hAnsi="Arial" w:cs="Arial"/>
          <w:b/>
          <w:u w:val="single"/>
        </w:rPr>
      </w:pPr>
    </w:p>
    <w:p w:rsidR="00BE11C1" w:rsidRPr="00D80990" w:rsidRDefault="00BE11C1" w:rsidP="00BE11C1">
      <w:pPr>
        <w:jc w:val="both"/>
        <w:rPr>
          <w:rFonts w:ascii="Arial" w:hAnsi="Arial" w:cs="Arial"/>
          <w:b/>
          <w:u w:val="single"/>
        </w:rPr>
      </w:pPr>
    </w:p>
    <w:p w:rsidR="00BE11C1" w:rsidRPr="00D80990" w:rsidRDefault="00BE11C1" w:rsidP="00BE11C1">
      <w:pPr>
        <w:jc w:val="both"/>
        <w:rPr>
          <w:rFonts w:ascii="Arial" w:hAnsi="Arial" w:cs="Arial"/>
          <w:b/>
          <w:u w:val="single"/>
        </w:rPr>
      </w:pPr>
      <w:r w:rsidRPr="00D80990">
        <w:rPr>
          <w:rFonts w:ascii="Arial" w:hAnsi="Arial" w:cs="Arial"/>
          <w:b/>
          <w:u w:val="single"/>
        </w:rPr>
        <w:t>Verifica contenuto informativo ed illustrativo del documento unico di programmazione DUP</w:t>
      </w:r>
    </w:p>
    <w:p w:rsidR="00BE11C1" w:rsidRPr="00D80990" w:rsidRDefault="00BE11C1" w:rsidP="00BE11C1">
      <w:pPr>
        <w:autoSpaceDE w:val="0"/>
        <w:autoSpaceDN w:val="0"/>
        <w:adjustRightInd w:val="0"/>
        <w:rPr>
          <w:rFonts w:ascii="Arial" w:hAnsi="Arial" w:cs="Arial"/>
          <w:b/>
          <w:bCs/>
          <w:sz w:val="22"/>
          <w:szCs w:val="22"/>
        </w:rPr>
      </w:pPr>
    </w:p>
    <w:p w:rsidR="00BE11C1" w:rsidRPr="005F46D7" w:rsidRDefault="00BE11C1" w:rsidP="00BE11C1">
      <w:pPr>
        <w:jc w:val="both"/>
        <w:rPr>
          <w:rFonts w:ascii="Arial" w:hAnsi="Arial" w:cs="Arial"/>
          <w:sz w:val="22"/>
          <w:szCs w:val="22"/>
        </w:rPr>
      </w:pPr>
      <w:r w:rsidRPr="00D80990">
        <w:rPr>
          <w:rFonts w:ascii="Arial" w:hAnsi="Arial" w:cs="Arial"/>
          <w:sz w:val="22"/>
          <w:szCs w:val="22"/>
        </w:rPr>
        <w:t xml:space="preserve">Il Documento Unico di Programmazione (DUP), è stato predisposto dalla </w:t>
      </w:r>
      <w:r w:rsidRPr="005F46D7">
        <w:rPr>
          <w:rFonts w:ascii="Arial" w:hAnsi="Arial" w:cs="Arial"/>
          <w:sz w:val="22"/>
          <w:szCs w:val="22"/>
        </w:rPr>
        <w:t xml:space="preserve">Giunta tenuto conto del contenuto minimo </w:t>
      </w:r>
      <w:r w:rsidRPr="005D790B">
        <w:rPr>
          <w:rFonts w:ascii="Arial" w:hAnsi="Arial" w:cs="Arial"/>
          <w:sz w:val="22"/>
          <w:szCs w:val="22"/>
        </w:rPr>
        <w:t xml:space="preserve">(o dello schema di documento </w:t>
      </w:r>
      <w:r w:rsidR="00F72088" w:rsidRPr="005D790B">
        <w:rPr>
          <w:rFonts w:ascii="Arial" w:hAnsi="Arial" w:cs="Arial"/>
          <w:sz w:val="22"/>
          <w:szCs w:val="22"/>
        </w:rPr>
        <w:t xml:space="preserve">semplificato </w:t>
      </w:r>
      <w:r w:rsidRPr="005D790B">
        <w:rPr>
          <w:rFonts w:ascii="Arial" w:hAnsi="Arial" w:cs="Arial"/>
          <w:sz w:val="22"/>
          <w:szCs w:val="22"/>
        </w:rPr>
        <w:t>per i comuni con popolazione fino a 5.000 abitanti</w:t>
      </w:r>
      <w:r w:rsidR="00F72088" w:rsidRPr="005D790B">
        <w:rPr>
          <w:rFonts w:ascii="Arial" w:hAnsi="Arial" w:cs="Arial"/>
          <w:sz w:val="22"/>
          <w:szCs w:val="22"/>
        </w:rPr>
        <w:t xml:space="preserve"> con ulteriori semplificazioni per i comuni con popolazione inferiore ai 2.000 abitanti previsti dal principio 4/1</w:t>
      </w:r>
      <w:r w:rsidRPr="005D790B">
        <w:rPr>
          <w:rFonts w:ascii="Arial" w:hAnsi="Arial" w:cs="Arial"/>
          <w:sz w:val="22"/>
          <w:szCs w:val="22"/>
        </w:rPr>
        <w:t xml:space="preserve">) </w:t>
      </w:r>
      <w:r w:rsidRPr="005F46D7">
        <w:rPr>
          <w:rFonts w:ascii="Arial" w:hAnsi="Arial" w:cs="Arial"/>
          <w:sz w:val="22"/>
          <w:szCs w:val="22"/>
        </w:rPr>
        <w:t>previsto dal Principio contabile applicato alla programmazione (Allegato n. 4/1 al D.Lgs. 118/2011).</w:t>
      </w:r>
    </w:p>
    <w:p w:rsidR="00BE11C1" w:rsidRPr="005F46D7" w:rsidRDefault="00BE11C1" w:rsidP="00BE11C1">
      <w:pPr>
        <w:jc w:val="both"/>
        <w:rPr>
          <w:rFonts w:ascii="Arial" w:hAnsi="Arial" w:cs="Arial"/>
          <w:sz w:val="22"/>
          <w:szCs w:val="22"/>
        </w:rPr>
      </w:pPr>
    </w:p>
    <w:p w:rsidR="00BE11C1" w:rsidRPr="00D80990" w:rsidRDefault="00BE11C1" w:rsidP="00BE11C1">
      <w:pPr>
        <w:jc w:val="both"/>
        <w:rPr>
          <w:rFonts w:ascii="Arial" w:hAnsi="Arial" w:cs="Arial"/>
          <w:sz w:val="22"/>
          <w:szCs w:val="22"/>
        </w:rPr>
      </w:pPr>
      <w:r w:rsidRPr="005F46D7">
        <w:rPr>
          <w:rFonts w:ascii="Arial" w:hAnsi="Arial" w:cs="Arial"/>
          <w:sz w:val="22"/>
          <w:szCs w:val="22"/>
        </w:rPr>
        <w:t>Sul DUP e/o relativa nota di aggiornamento l’organo di revisione ha espresso</w:t>
      </w:r>
      <w:r w:rsidRPr="00D80990">
        <w:rPr>
          <w:rFonts w:ascii="Arial" w:hAnsi="Arial" w:cs="Arial"/>
          <w:sz w:val="22"/>
          <w:szCs w:val="22"/>
        </w:rPr>
        <w:t xml:space="preserve"> parere con verbali n….. del ……. e n.…… del…… attestando la sua coerenza, attendibilità e congruità. </w:t>
      </w:r>
    </w:p>
    <w:p w:rsidR="00BE11C1" w:rsidRPr="00D80990" w:rsidRDefault="00BE11C1" w:rsidP="00BE11C1">
      <w:pPr>
        <w:jc w:val="both"/>
        <w:rPr>
          <w:rFonts w:ascii="Arial" w:hAnsi="Arial" w:cs="Arial"/>
          <w:sz w:val="22"/>
          <w:szCs w:val="22"/>
        </w:rPr>
      </w:pPr>
    </w:p>
    <w:p w:rsidR="00BE11C1" w:rsidRPr="00D80990" w:rsidRDefault="00BE11C1" w:rsidP="00BE11C1">
      <w:pPr>
        <w:jc w:val="both"/>
        <w:rPr>
          <w:rFonts w:ascii="Arial" w:hAnsi="Arial" w:cs="Arial"/>
          <w:i/>
          <w:sz w:val="22"/>
          <w:szCs w:val="22"/>
        </w:rPr>
      </w:pPr>
      <w:r w:rsidRPr="00D80990">
        <w:rPr>
          <w:rFonts w:ascii="Arial" w:hAnsi="Arial" w:cs="Arial"/>
          <w:sz w:val="22"/>
          <w:szCs w:val="22"/>
        </w:rPr>
        <w:t>(</w:t>
      </w:r>
      <w:r w:rsidRPr="00D80990">
        <w:rPr>
          <w:rFonts w:ascii="Arial" w:hAnsi="Arial" w:cs="Arial"/>
          <w:i/>
          <w:sz w:val="22"/>
          <w:szCs w:val="22"/>
        </w:rPr>
        <w:t>oppure)</w:t>
      </w:r>
    </w:p>
    <w:p w:rsidR="00BE11C1" w:rsidRPr="00D80990" w:rsidRDefault="00BE11C1" w:rsidP="00BE11C1">
      <w:pPr>
        <w:jc w:val="both"/>
        <w:rPr>
          <w:rFonts w:ascii="Arial" w:hAnsi="Arial" w:cs="Arial"/>
          <w:i/>
          <w:sz w:val="22"/>
          <w:szCs w:val="22"/>
        </w:rPr>
      </w:pPr>
      <w:r w:rsidRPr="00D80990">
        <w:rPr>
          <w:rFonts w:ascii="Arial" w:hAnsi="Arial" w:cs="Arial"/>
          <w:i/>
          <w:sz w:val="22"/>
          <w:szCs w:val="22"/>
        </w:rPr>
        <w:t>……. rilevando le seguenti criticità in ordine alla coerenza, attendibilità e congruità).</w:t>
      </w:r>
    </w:p>
    <w:p w:rsidR="00BE11C1" w:rsidRPr="00D80990" w:rsidRDefault="00BE11C1" w:rsidP="00BE11C1">
      <w:pPr>
        <w:rPr>
          <w:rFonts w:ascii="Arial" w:hAnsi="Arial" w:cs="Arial"/>
          <w:sz w:val="22"/>
          <w:szCs w:val="22"/>
        </w:rPr>
      </w:pPr>
    </w:p>
    <w:p w:rsidR="00BE11C1" w:rsidRPr="00D80990" w:rsidRDefault="00BE11C1" w:rsidP="00BE11C1">
      <w:pPr>
        <w:jc w:val="both"/>
        <w:rPr>
          <w:rFonts w:ascii="Arial" w:hAnsi="Arial" w:cs="Arial"/>
          <w:b/>
          <w:u w:val="single"/>
        </w:rPr>
      </w:pPr>
      <w:r w:rsidRPr="00D80990">
        <w:rPr>
          <w:rFonts w:ascii="Arial" w:hAnsi="Arial" w:cs="Arial"/>
          <w:b/>
          <w:u w:val="single"/>
        </w:rPr>
        <w:t>Strumenti obbligatori di programmazione di settore</w:t>
      </w:r>
    </w:p>
    <w:p w:rsidR="00BE11C1" w:rsidRPr="00D80990" w:rsidRDefault="00BE11C1" w:rsidP="00BE11C1">
      <w:pPr>
        <w:jc w:val="both"/>
        <w:rPr>
          <w:rFonts w:ascii="Arial" w:hAnsi="Arial" w:cs="Arial"/>
          <w:b/>
          <w:sz w:val="22"/>
          <w:szCs w:val="22"/>
          <w:u w:val="single"/>
        </w:rPr>
      </w:pPr>
    </w:p>
    <w:p w:rsidR="00BE11C1" w:rsidRPr="00D80990" w:rsidRDefault="00BE11C1" w:rsidP="00BE11C1">
      <w:pPr>
        <w:jc w:val="both"/>
        <w:rPr>
          <w:rFonts w:ascii="Arial" w:hAnsi="Arial" w:cs="Arial"/>
          <w:sz w:val="22"/>
          <w:szCs w:val="22"/>
        </w:rPr>
      </w:pPr>
      <w:r w:rsidRPr="00D80990">
        <w:rPr>
          <w:rFonts w:ascii="Arial" w:hAnsi="Arial" w:cs="Arial"/>
          <w:sz w:val="22"/>
          <w:szCs w:val="22"/>
        </w:rPr>
        <w:t>Il Dup contiene i seguenti strumenti obbligatori di programmazione di settore che sono coerenti con le previsioni di bilancio.</w:t>
      </w:r>
    </w:p>
    <w:p w:rsidR="00BE11C1" w:rsidRPr="00D80990" w:rsidRDefault="00BE11C1" w:rsidP="00BE11C1">
      <w:pPr>
        <w:spacing w:after="60"/>
        <w:rPr>
          <w:rFonts w:ascii="Arial" w:hAnsi="Arial" w:cs="Arial"/>
          <w:b/>
          <w:sz w:val="22"/>
          <w:szCs w:val="22"/>
        </w:rPr>
      </w:pPr>
    </w:p>
    <w:p w:rsidR="00BE11C1" w:rsidRPr="00D80990" w:rsidRDefault="00BE11C1" w:rsidP="00BE11C1">
      <w:pPr>
        <w:jc w:val="both"/>
        <w:rPr>
          <w:rFonts w:ascii="Arial" w:hAnsi="Arial" w:cs="Arial"/>
          <w:b/>
          <w:u w:val="single"/>
        </w:rPr>
      </w:pPr>
      <w:r w:rsidRPr="00D80990">
        <w:rPr>
          <w:rFonts w:ascii="Arial" w:hAnsi="Arial" w:cs="Arial"/>
          <w:b/>
          <w:u w:val="single"/>
        </w:rPr>
        <w:t>Programma triennale lavori pubblici</w:t>
      </w:r>
    </w:p>
    <w:p w:rsidR="00BE11C1" w:rsidRPr="00D80990" w:rsidRDefault="00BE11C1" w:rsidP="00BE11C1">
      <w:pPr>
        <w:jc w:val="both"/>
        <w:rPr>
          <w:rFonts w:ascii="Arial" w:hAnsi="Arial" w:cs="Arial"/>
          <w:sz w:val="22"/>
          <w:szCs w:val="22"/>
        </w:rPr>
      </w:pPr>
    </w:p>
    <w:p w:rsidR="00BE11C1" w:rsidRPr="00096EC9" w:rsidRDefault="00BE11C1" w:rsidP="00BE11C1">
      <w:pPr>
        <w:jc w:val="both"/>
        <w:rPr>
          <w:rFonts w:ascii="Arial" w:hAnsi="Arial" w:cs="Arial"/>
          <w:sz w:val="22"/>
          <w:szCs w:val="22"/>
        </w:rPr>
      </w:pPr>
      <w:r w:rsidRPr="00D80990">
        <w:rPr>
          <w:rFonts w:ascii="Arial" w:hAnsi="Arial" w:cs="Arial"/>
          <w:sz w:val="22"/>
          <w:szCs w:val="22"/>
        </w:rPr>
        <w:t xml:space="preserve">Il programma triennale ed elenco annuale dei lavori </w:t>
      </w:r>
      <w:r w:rsidRPr="00096EC9">
        <w:rPr>
          <w:rFonts w:ascii="Arial" w:hAnsi="Arial" w:cs="Arial"/>
          <w:sz w:val="22"/>
          <w:szCs w:val="22"/>
        </w:rPr>
        <w:t xml:space="preserve">pubblici di cui all’art. 21 del D. Lgs. 50/2016 è stato redatto conformemente alle modalità e agli schemi </w:t>
      </w:r>
      <w:r w:rsidRPr="00096EC9">
        <w:rPr>
          <w:rStyle w:val="Collegamentoipertestuale"/>
          <w:rFonts w:ascii="Arial" w:hAnsi="Arial" w:cs="Arial"/>
          <w:color w:val="auto"/>
          <w:sz w:val="22"/>
          <w:szCs w:val="22"/>
          <w:u w:val="none"/>
        </w:rPr>
        <w:t>approvati con Decreto del Ministero delle Infrastrutture e dei Trasporti n. 14 del 16 gennaio 2018</w:t>
      </w:r>
      <w:r w:rsidRPr="00096EC9">
        <w:rPr>
          <w:rFonts w:ascii="Arial" w:hAnsi="Arial" w:cs="Arial"/>
          <w:sz w:val="22"/>
          <w:szCs w:val="22"/>
        </w:rPr>
        <w:t>e sarà presentato al Consiglio per l’approvazione unitamente al bilancio preventivo.</w:t>
      </w:r>
    </w:p>
    <w:p w:rsidR="00BE11C1" w:rsidRPr="005F46D7" w:rsidRDefault="00BE11C1" w:rsidP="00BE11C1">
      <w:pPr>
        <w:jc w:val="both"/>
        <w:rPr>
          <w:rFonts w:ascii="Arial" w:hAnsi="Arial" w:cs="Arial"/>
          <w:sz w:val="22"/>
          <w:szCs w:val="22"/>
        </w:rPr>
      </w:pPr>
      <w:r w:rsidRPr="005F46D7">
        <w:rPr>
          <w:rFonts w:ascii="Arial" w:hAnsi="Arial" w:cs="Arial"/>
          <w:sz w:val="22"/>
          <w:szCs w:val="22"/>
        </w:rPr>
        <w:t>l programma triennale e l’elenco annuale dei lavori pubblici e relativi adeguamenti sono pubblicati ai sensi del D.M. n. 14 del 16 gennaio 2018.(</w:t>
      </w:r>
      <w:r w:rsidRPr="005F46D7">
        <w:rPr>
          <w:rFonts w:ascii="Arial" w:hAnsi="Arial" w:cs="Arial"/>
          <w:i/>
          <w:sz w:val="22"/>
          <w:szCs w:val="22"/>
        </w:rPr>
        <w:t>Nel caso in cui gli enti non provvedano alla redazione del programma triennale dei lavori pubblici, per assenza di lavori, ne danno comunicazione sul profilo del committente nella sezione “Amministrazione trasparente”)</w:t>
      </w:r>
    </w:p>
    <w:p w:rsidR="00BE11C1" w:rsidRPr="005F46D7" w:rsidRDefault="00BE11C1" w:rsidP="00BE11C1">
      <w:pPr>
        <w:jc w:val="both"/>
        <w:rPr>
          <w:rFonts w:ascii="Arial" w:hAnsi="Arial" w:cs="Arial"/>
          <w:sz w:val="20"/>
        </w:rPr>
      </w:pPr>
    </w:p>
    <w:p w:rsidR="00BE11C1" w:rsidRPr="005F46D7" w:rsidRDefault="00BE11C1" w:rsidP="00BE11C1">
      <w:pPr>
        <w:spacing w:before="120"/>
        <w:jc w:val="both"/>
        <w:rPr>
          <w:rFonts w:ascii="Arial" w:hAnsi="Arial" w:cs="Arial"/>
          <w:sz w:val="22"/>
          <w:szCs w:val="22"/>
        </w:rPr>
      </w:pPr>
      <w:r w:rsidRPr="005F46D7">
        <w:rPr>
          <w:rFonts w:ascii="Arial" w:hAnsi="Arial" w:cs="Arial"/>
          <w:sz w:val="22"/>
          <w:szCs w:val="22"/>
        </w:rPr>
        <w:t>Gli importi inclusi nello schema relativi ad interventi con onere a carico dell’ente trovano riferimento nel bilancio di previsione 2019-2021 ed il cronoprogramma è compatibile con le previsioni di pagamenti del titolo II indicate nel bilancio e del corredato Fondo Pluriennale vincolato.</w:t>
      </w:r>
    </w:p>
    <w:p w:rsidR="00BE11C1" w:rsidRPr="005F46D7" w:rsidRDefault="00BE11C1" w:rsidP="00BE11C1">
      <w:pPr>
        <w:spacing w:before="120"/>
        <w:jc w:val="both"/>
        <w:rPr>
          <w:rFonts w:ascii="Arial" w:hAnsi="Arial" w:cs="Arial"/>
          <w:sz w:val="22"/>
          <w:szCs w:val="22"/>
        </w:rPr>
      </w:pPr>
      <w:r w:rsidRPr="005F46D7">
        <w:rPr>
          <w:rFonts w:ascii="Arial" w:hAnsi="Arial" w:cs="Arial"/>
          <w:sz w:val="22"/>
          <w:szCs w:val="22"/>
        </w:rPr>
        <w:t>(</w:t>
      </w:r>
      <w:r w:rsidRPr="005F46D7">
        <w:rPr>
          <w:rFonts w:ascii="Arial" w:hAnsi="Arial" w:cs="Arial"/>
          <w:i/>
          <w:sz w:val="22"/>
          <w:szCs w:val="22"/>
        </w:rPr>
        <w:t>se approvato distintamente dal DUP</w:t>
      </w:r>
      <w:r w:rsidRPr="005F46D7">
        <w:rPr>
          <w:rFonts w:ascii="Arial" w:hAnsi="Arial" w:cs="Arial"/>
          <w:sz w:val="22"/>
          <w:szCs w:val="22"/>
        </w:rPr>
        <w:t>) L’organo di revisione ha verificato inoltre la compatibilità del cronoprogramma dei pagamenti con le previsioni di cassa del primo esercizio.</w:t>
      </w:r>
    </w:p>
    <w:p w:rsidR="00BE11C1" w:rsidRPr="005F46D7" w:rsidRDefault="00BE11C1" w:rsidP="00BE11C1">
      <w:pPr>
        <w:spacing w:line="80" w:lineRule="exact"/>
        <w:jc w:val="both"/>
        <w:rPr>
          <w:rFonts w:ascii="Arial" w:hAnsi="Arial" w:cs="Arial"/>
          <w:sz w:val="22"/>
          <w:szCs w:val="22"/>
        </w:rPr>
      </w:pPr>
    </w:p>
    <w:p w:rsidR="00BE11C1" w:rsidRPr="00455786" w:rsidRDefault="00BE11C1" w:rsidP="00BE11C1">
      <w:pPr>
        <w:jc w:val="both"/>
        <w:rPr>
          <w:rFonts w:ascii="Arial" w:hAnsi="Arial" w:cs="Arial"/>
          <w:sz w:val="22"/>
          <w:szCs w:val="22"/>
        </w:rPr>
      </w:pPr>
      <w:r w:rsidRPr="005F46D7">
        <w:rPr>
          <w:rFonts w:ascii="Arial" w:hAnsi="Arial" w:cs="Arial"/>
          <w:sz w:val="22"/>
          <w:szCs w:val="22"/>
        </w:rPr>
        <w:t>Il programma triennale, dopo la sua approvazione consiliare, dovrà essere pubblicato sul sito dell’Ente nella sezione “Amministrazione trasparente” e sul sito del Ministero delle Infrastrutture e dei Trasporti e dell’’ Osservatorio dei contratti pubblici relativi a lavori, servizi e forniture.</w:t>
      </w:r>
    </w:p>
    <w:p w:rsidR="00BE11C1" w:rsidRPr="00D80990" w:rsidRDefault="00BE11C1" w:rsidP="00BE11C1">
      <w:pPr>
        <w:spacing w:before="120"/>
        <w:jc w:val="both"/>
        <w:rPr>
          <w:rFonts w:ascii="Arial" w:hAnsi="Arial" w:cs="Arial"/>
          <w:sz w:val="22"/>
          <w:szCs w:val="22"/>
        </w:rPr>
      </w:pPr>
    </w:p>
    <w:p w:rsidR="00BE11C1" w:rsidRPr="00D80990" w:rsidRDefault="00BE11C1" w:rsidP="00BE11C1">
      <w:pPr>
        <w:spacing w:before="120"/>
        <w:jc w:val="both"/>
        <w:rPr>
          <w:rFonts w:ascii="Arial" w:hAnsi="Arial" w:cs="Arial"/>
          <w:sz w:val="22"/>
          <w:szCs w:val="22"/>
        </w:rPr>
      </w:pPr>
    </w:p>
    <w:p w:rsidR="00BE11C1" w:rsidRPr="00D80990" w:rsidRDefault="00BE11C1" w:rsidP="00BE11C1">
      <w:pPr>
        <w:jc w:val="both"/>
        <w:rPr>
          <w:rFonts w:ascii="Arial" w:hAnsi="Arial" w:cs="Arial"/>
          <w:b/>
          <w:u w:val="single"/>
        </w:rPr>
      </w:pPr>
      <w:r w:rsidRPr="00D80990">
        <w:rPr>
          <w:rFonts w:ascii="Arial" w:hAnsi="Arial" w:cs="Arial"/>
          <w:b/>
          <w:u w:val="single"/>
        </w:rPr>
        <w:lastRenderedPageBreak/>
        <w:t>Programmazione biennale di acquisti di beni e servizi</w:t>
      </w:r>
    </w:p>
    <w:p w:rsidR="00BE11C1" w:rsidRPr="00D80990" w:rsidRDefault="00BE11C1" w:rsidP="00BE11C1">
      <w:pPr>
        <w:jc w:val="both"/>
        <w:rPr>
          <w:rFonts w:ascii="Arial" w:hAnsi="Arial" w:cs="Arial"/>
          <w:sz w:val="22"/>
          <w:szCs w:val="22"/>
        </w:rPr>
      </w:pPr>
    </w:p>
    <w:p w:rsidR="00BE11C1" w:rsidRPr="00D80990" w:rsidRDefault="00BE11C1" w:rsidP="00BE11C1">
      <w:pPr>
        <w:jc w:val="both"/>
        <w:rPr>
          <w:rFonts w:ascii="Arial" w:hAnsi="Arial" w:cs="Arial"/>
          <w:sz w:val="22"/>
          <w:szCs w:val="22"/>
        </w:rPr>
      </w:pPr>
      <w:r w:rsidRPr="00D80990">
        <w:rPr>
          <w:rFonts w:ascii="Arial" w:hAnsi="Arial" w:cs="Arial"/>
          <w:sz w:val="22"/>
          <w:szCs w:val="22"/>
        </w:rPr>
        <w:t xml:space="preserve">Il programma biennale di forniture e servizi di importo unitario stimato pari o superiore a Euro 40.000,00 e relativo aggiornamento è stato redatto </w:t>
      </w:r>
      <w:r w:rsidRPr="005F46D7">
        <w:rPr>
          <w:rFonts w:ascii="Arial" w:hAnsi="Arial" w:cs="Arial"/>
          <w:sz w:val="22"/>
          <w:szCs w:val="22"/>
        </w:rPr>
        <w:t xml:space="preserve">conformemente a quanto disposto dai commi 6 e 7 di cui all’art. 21 del D.Lgs. 50/2016 </w:t>
      </w:r>
      <w:r w:rsidRPr="005F46D7">
        <w:rPr>
          <w:rStyle w:val="Collegamentoipertestuale"/>
          <w:rFonts w:ascii="Arial" w:hAnsi="Arial" w:cs="Arial"/>
          <w:color w:val="auto"/>
          <w:sz w:val="22"/>
          <w:szCs w:val="22"/>
          <w:u w:val="none"/>
        </w:rPr>
        <w:t>secondo lo schema approvato con Decreto del Ministero delle Infrastrutture e dei Trasporti n. 14 del 16 gennaio 2018.</w:t>
      </w:r>
      <w:r w:rsidRPr="005F46D7">
        <w:rPr>
          <w:rFonts w:ascii="Arial" w:hAnsi="Arial" w:cs="Arial"/>
          <w:sz w:val="22"/>
          <w:szCs w:val="22"/>
        </w:rPr>
        <w:t xml:space="preserve"> (</w:t>
      </w:r>
      <w:r w:rsidRPr="005F46D7">
        <w:rPr>
          <w:rFonts w:ascii="Arial" w:hAnsi="Arial" w:cs="Arial"/>
          <w:i/>
          <w:sz w:val="22"/>
          <w:szCs w:val="22"/>
        </w:rPr>
        <w:t>Nel caso in cui gli enti non provvedano alla redazione del programma biennale degli acquisti di forniture e servizi, per assenza di acquisti di forniture e servizi, ne danno comunicazione sul profilo del committente nella sezione “Amministrazione trasparente”)</w:t>
      </w:r>
    </w:p>
    <w:p w:rsidR="00BE11C1" w:rsidRPr="00D80990" w:rsidRDefault="00BE11C1" w:rsidP="00BE11C1">
      <w:pPr>
        <w:jc w:val="both"/>
        <w:rPr>
          <w:rFonts w:ascii="Arial" w:hAnsi="Arial" w:cs="Arial"/>
          <w:b/>
          <w:sz w:val="22"/>
          <w:szCs w:val="22"/>
        </w:rPr>
      </w:pPr>
    </w:p>
    <w:p w:rsidR="00BE11C1" w:rsidRDefault="00BE11C1" w:rsidP="00BE11C1">
      <w:pPr>
        <w:jc w:val="both"/>
        <w:rPr>
          <w:rFonts w:ascii="Arial" w:hAnsi="Arial" w:cs="Arial"/>
          <w:i/>
          <w:color w:val="00B0F0"/>
          <w:sz w:val="22"/>
          <w:szCs w:val="22"/>
        </w:rPr>
      </w:pPr>
      <w:r w:rsidRPr="00D80990">
        <w:rPr>
          <w:rFonts w:ascii="Arial" w:hAnsi="Arial" w:cs="Arial"/>
          <w:i/>
          <w:color w:val="00B0F0"/>
          <w:sz w:val="22"/>
          <w:szCs w:val="22"/>
        </w:rPr>
        <w:t>Ai sensi del comma 6 dell’art. 21 D.Lgs. 50/2016 il programma biennale di forniture e servizi e i relativi aggiornamenti annuali contengono gli acquisti di beni e di servizi di importo unitario stimato pari o superiore a 40.000 euro. Nell’ambito del programma, le amministrazioni aggiudicatrici individuano i bisogni che possono essere soddisfatti con capitali privati. Le amministrazioni pubbliche comunicano, entro il mese di ottobre, l’elenco delle acquisizioni di forniture e servizi d’importo superiore a 1 milione di euro che prevedono di inserire nella programmazione biennale al Tavolo tecnico dei soggetti di cui all'</w:t>
      </w:r>
      <w:hyperlink r:id="rId42" w:anchor="09" w:tgtFrame="_blank" w:history="1">
        <w:r w:rsidRPr="00D80990">
          <w:rPr>
            <w:rFonts w:ascii="Arial" w:hAnsi="Arial" w:cs="Arial"/>
            <w:i/>
            <w:color w:val="00B0F0"/>
            <w:sz w:val="22"/>
            <w:szCs w:val="22"/>
          </w:rPr>
          <w:t>articolo 9, comma 2, del decreto legge 24 aprile 2014, n. 66, convertito, con modificazioni, dalla legge 23 giugno 2014, n. 89</w:t>
        </w:r>
      </w:hyperlink>
      <w:r w:rsidRPr="00D80990">
        <w:rPr>
          <w:rFonts w:ascii="Arial" w:hAnsi="Arial" w:cs="Arial"/>
          <w:i/>
          <w:color w:val="00B0F0"/>
          <w:sz w:val="22"/>
          <w:szCs w:val="22"/>
        </w:rPr>
        <w:t>, che li utilizza ai fini dello svolgimento dei compiti e delle attività ad esso attribuiti. Per le acquisizioni di beni e servizi informatici e di connettività le amministrazioni aggiudicatrici tengono conto di quanto previsto dall’</w:t>
      </w:r>
      <w:hyperlink r:id="rId43" w:anchor="513" w:tgtFrame="_blank" w:history="1">
        <w:r w:rsidRPr="00D80990">
          <w:rPr>
            <w:rFonts w:ascii="Arial" w:hAnsi="Arial" w:cs="Arial"/>
            <w:i/>
            <w:color w:val="00B0F0"/>
            <w:sz w:val="22"/>
            <w:szCs w:val="22"/>
          </w:rPr>
          <w:t>articolo 1, comma 513, della legge 28 dicembre 2015, n. 208</w:t>
        </w:r>
      </w:hyperlink>
      <w:r w:rsidRPr="00D80990">
        <w:rPr>
          <w:rFonts w:ascii="Arial" w:hAnsi="Arial" w:cs="Arial"/>
          <w:i/>
          <w:color w:val="00B0F0"/>
          <w:sz w:val="22"/>
          <w:szCs w:val="22"/>
        </w:rPr>
        <w:t>.</w:t>
      </w:r>
    </w:p>
    <w:p w:rsidR="00BE11C1" w:rsidRDefault="00BE11C1" w:rsidP="00BE11C1">
      <w:pPr>
        <w:jc w:val="both"/>
        <w:rPr>
          <w:rFonts w:ascii="Arial" w:hAnsi="Arial" w:cs="Arial"/>
          <w:i/>
          <w:color w:val="00B0F0"/>
          <w:sz w:val="22"/>
          <w:szCs w:val="22"/>
        </w:rPr>
      </w:pPr>
    </w:p>
    <w:p w:rsidR="00BE11C1" w:rsidRPr="005D790B" w:rsidRDefault="00BE11C1" w:rsidP="00BE11C1">
      <w:pPr>
        <w:jc w:val="both"/>
        <w:rPr>
          <w:rFonts w:ascii="Arial" w:hAnsi="Arial" w:cs="Arial"/>
          <w:i/>
          <w:color w:val="00B0F0"/>
          <w:sz w:val="22"/>
          <w:szCs w:val="22"/>
        </w:rPr>
      </w:pPr>
      <w:r w:rsidRPr="005D790B">
        <w:rPr>
          <w:rFonts w:ascii="Arial" w:hAnsi="Arial" w:cs="Arial"/>
          <w:i/>
          <w:color w:val="00B0F0"/>
          <w:sz w:val="22"/>
          <w:szCs w:val="22"/>
        </w:rPr>
        <w:t>Il programma biennale, dopo la sua approvazione consiliare, dovrà essere pubblicato sul sito dell’Ente nella sezione “Amministrazione trasparente” e sul sito del Ministero delle Infrastrutture e dei Trasporti e dell’’ Osservatorio dei contratti pubblici relativi a lavori, servizi e forniture.</w:t>
      </w:r>
    </w:p>
    <w:p w:rsidR="00BE11C1" w:rsidRPr="00D80990" w:rsidRDefault="00BE11C1" w:rsidP="00BE11C1">
      <w:pPr>
        <w:jc w:val="both"/>
        <w:rPr>
          <w:rFonts w:ascii="Arial" w:hAnsi="Arial" w:cs="Arial"/>
          <w:b/>
          <w:sz w:val="22"/>
          <w:szCs w:val="22"/>
        </w:rPr>
      </w:pPr>
    </w:p>
    <w:p w:rsidR="00BE11C1" w:rsidRPr="00D80990" w:rsidRDefault="00BE11C1" w:rsidP="00BE11C1">
      <w:pPr>
        <w:jc w:val="both"/>
        <w:rPr>
          <w:rFonts w:ascii="Arial" w:hAnsi="Arial" w:cs="Arial"/>
          <w:b/>
          <w:u w:val="single"/>
        </w:rPr>
      </w:pPr>
      <w:r w:rsidRPr="00D80990">
        <w:rPr>
          <w:rFonts w:ascii="Arial" w:hAnsi="Arial" w:cs="Arial"/>
          <w:b/>
          <w:u w:val="single"/>
        </w:rPr>
        <w:t xml:space="preserve">Programmazione </w:t>
      </w:r>
      <w:r>
        <w:rPr>
          <w:rFonts w:ascii="Arial" w:hAnsi="Arial" w:cs="Arial"/>
          <w:b/>
          <w:u w:val="single"/>
        </w:rPr>
        <w:t>triennale fabbisogni</w:t>
      </w:r>
      <w:r w:rsidRPr="00D80990">
        <w:rPr>
          <w:rFonts w:ascii="Arial" w:hAnsi="Arial" w:cs="Arial"/>
          <w:b/>
          <w:u w:val="single"/>
        </w:rPr>
        <w:t xml:space="preserve"> del personale</w:t>
      </w:r>
    </w:p>
    <w:p w:rsidR="00BE11C1" w:rsidRPr="00D80990" w:rsidRDefault="00BE11C1" w:rsidP="00BE11C1">
      <w:pPr>
        <w:jc w:val="both"/>
        <w:outlineLvl w:val="2"/>
        <w:rPr>
          <w:rFonts w:ascii="Arial" w:hAnsi="Arial" w:cs="Arial"/>
          <w:b/>
          <w:u w:val="single"/>
        </w:rPr>
      </w:pPr>
    </w:p>
    <w:p w:rsidR="00BE11C1" w:rsidRPr="00D80990" w:rsidRDefault="00BE11C1" w:rsidP="00BE11C1">
      <w:pPr>
        <w:jc w:val="both"/>
        <w:rPr>
          <w:rFonts w:ascii="Arial" w:hAnsi="Arial" w:cs="Arial"/>
          <w:sz w:val="22"/>
          <w:szCs w:val="22"/>
        </w:rPr>
      </w:pPr>
      <w:r w:rsidRPr="00A94314">
        <w:rPr>
          <w:rFonts w:ascii="Arial" w:hAnsi="Arial" w:cs="Arial"/>
          <w:sz w:val="22"/>
          <w:szCs w:val="22"/>
        </w:rPr>
        <w:t>La programmazione del fabbisogno di personale prevista dall’art. 39, comma 1 della Legge 449/1997 e dall’art. 6 del D.Lgs. 165/2001 è stata approvata con specifico atto secondo le "Linee di indirizzo per la predisposizione dei piani dei fabbisogni di personale da parte della PA" emanate in data 08 maggio 2018 da parte del Ministro per la semplificazione e la pubblica amministrazionee pubblicate</w:t>
      </w:r>
      <w:r w:rsidR="008B1A79">
        <w:rPr>
          <w:rFonts w:ascii="Arial" w:hAnsi="Arial" w:cs="Arial"/>
          <w:sz w:val="22"/>
          <w:szCs w:val="22"/>
        </w:rPr>
        <w:t xml:space="preserve"> in G.U. 27 luglio 2018, n.173.</w:t>
      </w:r>
    </w:p>
    <w:p w:rsidR="00BE11C1" w:rsidRPr="00D80990" w:rsidRDefault="00BE11C1" w:rsidP="00BE11C1">
      <w:pPr>
        <w:jc w:val="both"/>
        <w:rPr>
          <w:rFonts w:ascii="Arial" w:hAnsi="Arial" w:cs="Arial"/>
          <w:sz w:val="22"/>
          <w:szCs w:val="22"/>
        </w:rPr>
      </w:pPr>
    </w:p>
    <w:p w:rsidR="00BE11C1" w:rsidRPr="00D80990" w:rsidRDefault="00BE11C1" w:rsidP="00BE11C1">
      <w:pPr>
        <w:jc w:val="both"/>
        <w:rPr>
          <w:rFonts w:ascii="Arial" w:hAnsi="Arial" w:cs="Arial"/>
          <w:sz w:val="22"/>
          <w:szCs w:val="22"/>
        </w:rPr>
      </w:pPr>
      <w:r w:rsidRPr="00D80990">
        <w:rPr>
          <w:rFonts w:ascii="Arial" w:hAnsi="Arial" w:cs="Arial"/>
          <w:sz w:val="22"/>
          <w:szCs w:val="22"/>
        </w:rPr>
        <w:t>(</w:t>
      </w:r>
      <w:r w:rsidRPr="00D80990">
        <w:rPr>
          <w:rFonts w:ascii="Arial" w:hAnsi="Arial" w:cs="Arial"/>
          <w:i/>
          <w:sz w:val="22"/>
          <w:szCs w:val="22"/>
        </w:rPr>
        <w:t>se approvato distintamente dal DUP</w:t>
      </w:r>
      <w:r w:rsidRPr="00D80990">
        <w:rPr>
          <w:rFonts w:ascii="Arial" w:hAnsi="Arial" w:cs="Arial"/>
          <w:sz w:val="22"/>
          <w:szCs w:val="22"/>
        </w:rPr>
        <w:t>) Su tale atto l’organo di revisione ha formulato il parere con verbale n …… in data…….. ai sensi dell’art.19 della Legge 448/2001.</w:t>
      </w:r>
    </w:p>
    <w:p w:rsidR="00BE11C1" w:rsidRPr="00D80990" w:rsidRDefault="00BE11C1" w:rsidP="00BE11C1">
      <w:pPr>
        <w:jc w:val="both"/>
        <w:rPr>
          <w:rFonts w:ascii="Arial" w:hAnsi="Arial" w:cs="Arial"/>
          <w:sz w:val="22"/>
          <w:szCs w:val="22"/>
        </w:rPr>
      </w:pPr>
    </w:p>
    <w:p w:rsidR="00BE11C1" w:rsidRPr="00D80990" w:rsidRDefault="00BE11C1" w:rsidP="00BE11C1">
      <w:pPr>
        <w:jc w:val="both"/>
        <w:rPr>
          <w:rFonts w:ascii="Arial" w:hAnsi="Arial" w:cs="Arial"/>
          <w:sz w:val="22"/>
          <w:szCs w:val="22"/>
        </w:rPr>
      </w:pPr>
      <w:r w:rsidRPr="00D80990">
        <w:rPr>
          <w:rFonts w:ascii="Arial" w:hAnsi="Arial" w:cs="Arial"/>
          <w:sz w:val="22"/>
          <w:szCs w:val="22"/>
        </w:rPr>
        <w:t>L’atto oltre ad assicurare le esigenze di funzionalità e d’ottimizzazione delle risorse per il miglior funzionamento dei servizi, prevede una riduzione della spesa attraverso il contenimento della dinamica retributiva ed occupazionale.</w:t>
      </w:r>
    </w:p>
    <w:p w:rsidR="00BE11C1" w:rsidRPr="00D80990" w:rsidRDefault="00BE11C1" w:rsidP="00BE11C1">
      <w:pPr>
        <w:jc w:val="both"/>
        <w:rPr>
          <w:rFonts w:ascii="Arial" w:hAnsi="Arial" w:cs="Arial"/>
          <w:sz w:val="22"/>
          <w:szCs w:val="22"/>
        </w:rPr>
      </w:pPr>
    </w:p>
    <w:p w:rsidR="00BE11C1" w:rsidRPr="00D80990" w:rsidRDefault="00BE11C1" w:rsidP="00BE11C1">
      <w:pPr>
        <w:jc w:val="both"/>
        <w:rPr>
          <w:rFonts w:ascii="Arial" w:hAnsi="Arial" w:cs="Arial"/>
          <w:sz w:val="22"/>
          <w:szCs w:val="22"/>
        </w:rPr>
      </w:pPr>
      <w:r>
        <w:rPr>
          <w:rFonts w:ascii="Arial" w:hAnsi="Arial" w:cs="Arial"/>
          <w:sz w:val="22"/>
          <w:szCs w:val="22"/>
        </w:rPr>
        <w:t>I fabbisogni di personale nel triennio 2019-2021</w:t>
      </w:r>
      <w:r w:rsidRPr="00D80990">
        <w:rPr>
          <w:rFonts w:ascii="Arial" w:hAnsi="Arial" w:cs="Arial"/>
          <w:sz w:val="22"/>
          <w:szCs w:val="22"/>
        </w:rPr>
        <w:t>, tiene conto dei vincoli disposti per le assunzioni e per la spesa di personale.</w:t>
      </w:r>
    </w:p>
    <w:p w:rsidR="00BE11C1" w:rsidRPr="00D80990" w:rsidRDefault="00BE11C1" w:rsidP="00BE11C1">
      <w:pPr>
        <w:jc w:val="both"/>
        <w:rPr>
          <w:rFonts w:ascii="Arial" w:hAnsi="Arial" w:cs="Arial"/>
          <w:sz w:val="22"/>
          <w:szCs w:val="22"/>
        </w:rPr>
      </w:pPr>
    </w:p>
    <w:p w:rsidR="00BE11C1" w:rsidRPr="00D80990" w:rsidRDefault="00BE11C1" w:rsidP="00BE11C1">
      <w:pPr>
        <w:jc w:val="both"/>
        <w:rPr>
          <w:rFonts w:ascii="Arial" w:hAnsi="Arial" w:cs="Arial"/>
          <w:sz w:val="22"/>
          <w:szCs w:val="22"/>
        </w:rPr>
      </w:pPr>
      <w:r w:rsidRPr="00D80990">
        <w:rPr>
          <w:rFonts w:ascii="Arial" w:hAnsi="Arial" w:cs="Arial"/>
          <w:sz w:val="22"/>
          <w:szCs w:val="22"/>
        </w:rPr>
        <w:t xml:space="preserve">La previsione triennale è coerente con le esigenze finanziarie espresse </w:t>
      </w:r>
      <w:r>
        <w:rPr>
          <w:rFonts w:ascii="Arial" w:hAnsi="Arial" w:cs="Arial"/>
          <w:sz w:val="22"/>
          <w:szCs w:val="22"/>
        </w:rPr>
        <w:t>nell’atto di programmazione dei fabbisogni</w:t>
      </w:r>
      <w:r w:rsidRPr="00D80990">
        <w:rPr>
          <w:rFonts w:ascii="Arial" w:hAnsi="Arial" w:cs="Arial"/>
          <w:sz w:val="22"/>
          <w:szCs w:val="22"/>
        </w:rPr>
        <w:t>.</w:t>
      </w:r>
    </w:p>
    <w:p w:rsidR="00BE11C1" w:rsidRDefault="00BE11C1" w:rsidP="00BE11C1">
      <w:pPr>
        <w:jc w:val="both"/>
        <w:rPr>
          <w:rFonts w:ascii="Arial" w:hAnsi="Arial" w:cs="Arial"/>
          <w:b/>
          <w:sz w:val="22"/>
          <w:szCs w:val="22"/>
        </w:rPr>
      </w:pPr>
    </w:p>
    <w:p w:rsidR="00BE11C1" w:rsidRPr="005F46D7" w:rsidRDefault="00BE11C1" w:rsidP="00BE11C1">
      <w:pPr>
        <w:jc w:val="both"/>
        <w:rPr>
          <w:rFonts w:ascii="Arial" w:hAnsi="Arial" w:cs="Arial"/>
          <w:b/>
          <w:u w:val="single"/>
        </w:rPr>
      </w:pPr>
      <w:r w:rsidRPr="005F46D7">
        <w:rPr>
          <w:rFonts w:ascii="Arial" w:hAnsi="Arial" w:cs="Arial"/>
          <w:b/>
          <w:u w:val="single"/>
        </w:rPr>
        <w:t>Piano triennale di razionalizzazione e riqualificazione della spesa, di cui all’art. 2, comma 594, della legge n. 244/2007</w:t>
      </w:r>
    </w:p>
    <w:p w:rsidR="00BE11C1" w:rsidRPr="005F46D7" w:rsidRDefault="00BE11C1" w:rsidP="00BE11C1">
      <w:pPr>
        <w:jc w:val="both"/>
        <w:rPr>
          <w:rFonts w:ascii="Arial" w:hAnsi="Arial" w:cs="Arial"/>
          <w:sz w:val="22"/>
          <w:szCs w:val="22"/>
        </w:rPr>
      </w:pPr>
      <w:r w:rsidRPr="005F46D7">
        <w:rPr>
          <w:rFonts w:ascii="Arial" w:hAnsi="Arial" w:cs="Arial"/>
          <w:sz w:val="22"/>
          <w:szCs w:val="22"/>
        </w:rPr>
        <w:t>(</w:t>
      </w:r>
      <w:r w:rsidRPr="005F46D7">
        <w:rPr>
          <w:rFonts w:ascii="Arial" w:hAnsi="Arial" w:cs="Arial"/>
          <w:i/>
          <w:sz w:val="22"/>
          <w:szCs w:val="22"/>
        </w:rPr>
        <w:t>se approvato distintamente dal DUP</w:t>
      </w:r>
      <w:r w:rsidRPr="005F46D7">
        <w:rPr>
          <w:rFonts w:ascii="Arial" w:hAnsi="Arial" w:cs="Arial"/>
          <w:sz w:val="22"/>
          <w:szCs w:val="22"/>
        </w:rPr>
        <w:t>) Su tale piano l’organo di revisione ha espresso parere obbligatorio quale strumento di programmazione economico-finanziaria come disposto dall’art. 239, comma 1, lettera b) punto 1 del TUEL, con verbale n……. del ………</w:t>
      </w:r>
    </w:p>
    <w:p w:rsidR="00BE11C1" w:rsidRPr="005F46D7" w:rsidRDefault="00BE11C1" w:rsidP="00BE11C1">
      <w:pPr>
        <w:jc w:val="both"/>
        <w:rPr>
          <w:rFonts w:ascii="Arial" w:hAnsi="Arial" w:cs="Arial"/>
          <w:b/>
          <w:u w:val="single"/>
        </w:rPr>
      </w:pPr>
    </w:p>
    <w:p w:rsidR="005D790B" w:rsidRDefault="005D790B">
      <w:pPr>
        <w:rPr>
          <w:rFonts w:ascii="Arial" w:hAnsi="Arial" w:cs="Arial"/>
          <w:b/>
          <w:sz w:val="22"/>
          <w:szCs w:val="22"/>
        </w:rPr>
      </w:pPr>
      <w:r>
        <w:rPr>
          <w:rFonts w:ascii="Arial" w:hAnsi="Arial" w:cs="Arial"/>
          <w:b/>
          <w:sz w:val="22"/>
          <w:szCs w:val="22"/>
        </w:rPr>
        <w:br w:type="page"/>
      </w:r>
    </w:p>
    <w:p w:rsidR="00BE11C1" w:rsidRPr="005F46D7" w:rsidRDefault="00BE11C1" w:rsidP="00BE11C1">
      <w:pPr>
        <w:jc w:val="both"/>
        <w:rPr>
          <w:rFonts w:ascii="Arial" w:hAnsi="Arial" w:cs="Arial"/>
          <w:b/>
          <w:u w:val="single"/>
        </w:rPr>
      </w:pPr>
      <w:r w:rsidRPr="005F46D7">
        <w:rPr>
          <w:rFonts w:ascii="Arial" w:hAnsi="Arial" w:cs="Arial"/>
          <w:b/>
          <w:u w:val="single"/>
        </w:rPr>
        <w:lastRenderedPageBreak/>
        <w:t xml:space="preserve">Piano triennale di razionalizzazione e riqualificazione della spesa di cui all'art. 16, comma 4, del D.L. 6 luglio 2011, n. 98 </w:t>
      </w:r>
    </w:p>
    <w:p w:rsidR="005F46D7" w:rsidRDefault="005F46D7" w:rsidP="00BE11C1">
      <w:pPr>
        <w:jc w:val="both"/>
        <w:rPr>
          <w:rFonts w:ascii="Arial" w:hAnsi="Arial" w:cs="Arial"/>
          <w:sz w:val="22"/>
          <w:szCs w:val="22"/>
        </w:rPr>
      </w:pPr>
    </w:p>
    <w:p w:rsidR="00BE11C1" w:rsidRPr="005F46D7" w:rsidRDefault="00BE11C1" w:rsidP="00BE11C1">
      <w:pPr>
        <w:jc w:val="both"/>
        <w:rPr>
          <w:rFonts w:ascii="Arial" w:hAnsi="Arial" w:cs="Arial"/>
          <w:sz w:val="22"/>
          <w:szCs w:val="22"/>
        </w:rPr>
      </w:pPr>
      <w:r w:rsidRPr="005F46D7">
        <w:rPr>
          <w:rFonts w:ascii="Arial" w:hAnsi="Arial" w:cs="Arial"/>
          <w:sz w:val="22"/>
          <w:szCs w:val="22"/>
        </w:rPr>
        <w:t>(</w:t>
      </w:r>
      <w:r w:rsidRPr="005F46D7">
        <w:rPr>
          <w:rFonts w:ascii="Arial" w:hAnsi="Arial" w:cs="Arial"/>
          <w:i/>
          <w:sz w:val="22"/>
          <w:szCs w:val="22"/>
        </w:rPr>
        <w:t>eventuale</w:t>
      </w:r>
      <w:r w:rsidRPr="005F46D7">
        <w:rPr>
          <w:rFonts w:ascii="Arial" w:hAnsi="Arial" w:cs="Arial"/>
          <w:sz w:val="22"/>
          <w:szCs w:val="22"/>
        </w:rPr>
        <w:t>)</w:t>
      </w:r>
    </w:p>
    <w:p w:rsidR="00BE11C1" w:rsidRPr="00D80990" w:rsidRDefault="00BE11C1" w:rsidP="00BE11C1">
      <w:pPr>
        <w:jc w:val="both"/>
        <w:rPr>
          <w:rFonts w:ascii="Arial" w:hAnsi="Arial" w:cs="Arial"/>
          <w:sz w:val="22"/>
          <w:szCs w:val="22"/>
        </w:rPr>
      </w:pPr>
      <w:r w:rsidRPr="005F46D7">
        <w:rPr>
          <w:rFonts w:ascii="Arial" w:hAnsi="Arial" w:cs="Arial"/>
          <w:sz w:val="22"/>
          <w:szCs w:val="22"/>
        </w:rPr>
        <w:t>(</w:t>
      </w:r>
      <w:r w:rsidRPr="005F46D7">
        <w:rPr>
          <w:rFonts w:ascii="Arial" w:hAnsi="Arial" w:cs="Arial"/>
          <w:i/>
          <w:sz w:val="22"/>
          <w:szCs w:val="22"/>
        </w:rPr>
        <w:t>se approvato distintamente dal DUP</w:t>
      </w:r>
      <w:r w:rsidRPr="005F46D7">
        <w:rPr>
          <w:rFonts w:ascii="Arial" w:hAnsi="Arial" w:cs="Arial"/>
          <w:sz w:val="22"/>
          <w:szCs w:val="22"/>
        </w:rPr>
        <w:t>) Su tale piano l’organo di revisione ha espresso parere obbligatorio quale strumento di</w:t>
      </w:r>
      <w:r w:rsidRPr="00D80990">
        <w:rPr>
          <w:rFonts w:ascii="Arial" w:hAnsi="Arial" w:cs="Arial"/>
          <w:sz w:val="22"/>
          <w:szCs w:val="22"/>
        </w:rPr>
        <w:t xml:space="preserve"> programmazione economico-finanziaria come disposto dall’art. 239, comma 1, lettera b) punto 1 del TUEL, con verbale n……. del ………</w:t>
      </w:r>
    </w:p>
    <w:p w:rsidR="00BE11C1" w:rsidRPr="00D80990" w:rsidRDefault="00BE11C1" w:rsidP="00BE11C1">
      <w:pPr>
        <w:jc w:val="both"/>
        <w:rPr>
          <w:rFonts w:ascii="Arial" w:hAnsi="Arial" w:cs="Arial"/>
          <w:b/>
          <w:sz w:val="22"/>
          <w:szCs w:val="22"/>
        </w:rPr>
      </w:pPr>
    </w:p>
    <w:p w:rsidR="00BE11C1" w:rsidRPr="00D80990" w:rsidRDefault="00BE11C1" w:rsidP="00BE11C1">
      <w:pPr>
        <w:jc w:val="both"/>
        <w:rPr>
          <w:rFonts w:ascii="Arial" w:hAnsi="Arial" w:cs="Arial"/>
          <w:b/>
          <w:u w:val="single"/>
        </w:rPr>
      </w:pPr>
      <w:r w:rsidRPr="00D80990">
        <w:rPr>
          <w:rFonts w:ascii="Arial" w:hAnsi="Arial" w:cs="Arial"/>
          <w:b/>
          <w:u w:val="single"/>
        </w:rPr>
        <w:t xml:space="preserve">Piano delle alienazioni e valorizzazioni immobiliari </w:t>
      </w:r>
    </w:p>
    <w:p w:rsidR="00BE11C1" w:rsidRPr="00D80990" w:rsidRDefault="00BE11C1" w:rsidP="00BE11C1">
      <w:pPr>
        <w:jc w:val="both"/>
        <w:rPr>
          <w:rFonts w:ascii="Arial" w:hAnsi="Arial" w:cs="Arial"/>
          <w:sz w:val="22"/>
          <w:szCs w:val="22"/>
        </w:rPr>
      </w:pPr>
      <w:r w:rsidRPr="00D80990">
        <w:rPr>
          <w:rFonts w:ascii="Arial" w:hAnsi="Arial" w:cs="Arial"/>
          <w:sz w:val="22"/>
          <w:szCs w:val="22"/>
        </w:rPr>
        <w:t>(art. 58, comma 1 L. n.</w:t>
      </w:r>
      <w:r w:rsidRPr="00A94314">
        <w:rPr>
          <w:rFonts w:ascii="Arial" w:hAnsi="Arial" w:cs="Arial"/>
          <w:sz w:val="22"/>
          <w:szCs w:val="22"/>
        </w:rPr>
        <w:t>112</w:t>
      </w:r>
      <w:r w:rsidRPr="00D80990">
        <w:rPr>
          <w:rFonts w:ascii="Arial" w:hAnsi="Arial" w:cs="Arial"/>
          <w:sz w:val="22"/>
          <w:szCs w:val="22"/>
        </w:rPr>
        <w:t>/2008)</w:t>
      </w:r>
    </w:p>
    <w:p w:rsidR="00BE11C1" w:rsidRPr="00D80990" w:rsidRDefault="00BE11C1" w:rsidP="00BE11C1">
      <w:pPr>
        <w:jc w:val="both"/>
        <w:rPr>
          <w:rFonts w:ascii="Arial" w:hAnsi="Arial" w:cs="Arial"/>
          <w:sz w:val="22"/>
          <w:szCs w:val="22"/>
        </w:rPr>
      </w:pPr>
    </w:p>
    <w:p w:rsidR="00BE11C1" w:rsidRPr="00D80990" w:rsidRDefault="00BE11C1" w:rsidP="00BE11C1">
      <w:pPr>
        <w:jc w:val="both"/>
        <w:rPr>
          <w:rFonts w:ascii="Arial" w:hAnsi="Arial" w:cs="Arial"/>
          <w:sz w:val="22"/>
          <w:szCs w:val="22"/>
        </w:rPr>
      </w:pPr>
      <w:r w:rsidRPr="00D80990">
        <w:rPr>
          <w:rFonts w:ascii="Arial" w:hAnsi="Arial" w:cs="Arial"/>
          <w:sz w:val="22"/>
          <w:szCs w:val="22"/>
        </w:rPr>
        <w:t>(</w:t>
      </w:r>
      <w:r w:rsidRPr="00D80990">
        <w:rPr>
          <w:rFonts w:ascii="Arial" w:hAnsi="Arial" w:cs="Arial"/>
          <w:i/>
          <w:sz w:val="22"/>
          <w:szCs w:val="22"/>
        </w:rPr>
        <w:t>se approvato distintamente dal DUP</w:t>
      </w:r>
      <w:r w:rsidRPr="00D80990">
        <w:rPr>
          <w:rFonts w:ascii="Arial" w:hAnsi="Arial" w:cs="Arial"/>
          <w:sz w:val="22"/>
          <w:szCs w:val="22"/>
        </w:rPr>
        <w:t>) Sul piano l’organo di revisione ha espresso parere obbligatorio quale strumento di programmazione con verbale n…….. del ………….</w:t>
      </w:r>
    </w:p>
    <w:p w:rsidR="00BE11C1" w:rsidRPr="00D80990" w:rsidRDefault="00BE11C1" w:rsidP="00BE11C1">
      <w:pPr>
        <w:jc w:val="both"/>
        <w:rPr>
          <w:rFonts w:ascii="Arial" w:hAnsi="Arial" w:cs="Arial"/>
          <w:sz w:val="22"/>
          <w:szCs w:val="22"/>
        </w:rPr>
      </w:pPr>
    </w:p>
    <w:p w:rsidR="00BE11C1" w:rsidRPr="00D80990" w:rsidRDefault="00BE11C1" w:rsidP="00BE11C1">
      <w:pPr>
        <w:pStyle w:val="Titolo2"/>
      </w:pPr>
      <w:bookmarkStart w:id="40" w:name="_Toc346838829"/>
      <w:bookmarkStart w:id="41" w:name="_Toc535487609"/>
      <w:r w:rsidRPr="00D80990">
        <w:t>Verifica della coerenza esterna</w:t>
      </w:r>
      <w:bookmarkEnd w:id="40"/>
      <w:bookmarkEnd w:id="41"/>
    </w:p>
    <w:p w:rsidR="00BE11C1" w:rsidRPr="00D80990" w:rsidRDefault="00BE11C1" w:rsidP="00BE11C1">
      <w:pPr>
        <w:pStyle w:val="Titolo3"/>
      </w:pPr>
    </w:p>
    <w:p w:rsidR="00BE11C1" w:rsidRPr="00D80990" w:rsidRDefault="004A1F64" w:rsidP="00BE11C1">
      <w:pPr>
        <w:jc w:val="both"/>
        <w:rPr>
          <w:rFonts w:ascii="Arial" w:hAnsi="Arial" w:cs="Arial"/>
          <w:b/>
          <w:sz w:val="22"/>
          <w:szCs w:val="22"/>
          <w:u w:val="single"/>
        </w:rPr>
      </w:pPr>
      <w:r>
        <w:rPr>
          <w:rFonts w:ascii="Arial" w:hAnsi="Arial" w:cs="Arial"/>
          <w:b/>
          <w:sz w:val="22"/>
          <w:szCs w:val="22"/>
          <w:u w:val="single"/>
        </w:rPr>
        <w:t>Equilibri di finanza pubblica</w:t>
      </w:r>
    </w:p>
    <w:p w:rsidR="00BE11C1" w:rsidRPr="00D80990" w:rsidRDefault="00BE11C1" w:rsidP="00BE11C1">
      <w:pPr>
        <w:jc w:val="both"/>
        <w:rPr>
          <w:rFonts w:ascii="Arial" w:hAnsi="Arial" w:cs="Arial"/>
          <w:sz w:val="22"/>
          <w:szCs w:val="22"/>
        </w:rPr>
      </w:pPr>
    </w:p>
    <w:p w:rsidR="00BE11C1" w:rsidRPr="00671FB2" w:rsidRDefault="009672FA" w:rsidP="009672FA">
      <w:pPr>
        <w:jc w:val="both"/>
        <w:rPr>
          <w:rFonts w:ascii="Arial" w:hAnsi="Arial" w:cs="Arial"/>
          <w:b/>
          <w:i/>
          <w:color w:val="00B0F0"/>
          <w:sz w:val="22"/>
          <w:szCs w:val="22"/>
          <w:u w:val="single"/>
        </w:rPr>
      </w:pPr>
      <w:r w:rsidRPr="00671FB2">
        <w:rPr>
          <w:rFonts w:ascii="Arial" w:hAnsi="Arial" w:cs="Arial"/>
          <w:i/>
          <w:color w:val="00B0F0"/>
          <w:sz w:val="22"/>
          <w:szCs w:val="22"/>
        </w:rPr>
        <w:t>I commi da 819 a 826 della Legge di Bilancio 2019 (</w:t>
      </w:r>
      <w:r w:rsidR="00671FB2" w:rsidRPr="00671FB2">
        <w:rPr>
          <w:rFonts w:ascii="Arial" w:hAnsi="Arial" w:cs="Arial"/>
          <w:i/>
          <w:color w:val="00B0F0"/>
          <w:sz w:val="22"/>
          <w:szCs w:val="22"/>
        </w:rPr>
        <w:t xml:space="preserve">n. </w:t>
      </w:r>
      <w:r w:rsidRPr="00671FB2">
        <w:rPr>
          <w:rFonts w:ascii="Arial" w:hAnsi="Arial" w:cs="Arial"/>
          <w:i/>
          <w:color w:val="00B0F0"/>
          <w:sz w:val="22"/>
          <w:szCs w:val="22"/>
        </w:rPr>
        <w:t xml:space="preserve">145/2018) sanciscono il definitivo superamento del saldo di competenza in vigore dal 2016 e – più in generale – delle regole finanziarie aggiuntive rispetto alle norme generali sull’equilibrio di bilancio, imposte agli enti locali da un ventennio. Dal 2019, in attuazione delle sentenze della Corte costituzionale n. 247 del 2017 e n. 101 del 2018, gli enti locali (le città metropolitane, le province ed i comuni) potranno utilizzare in modo pieno sia il Fondo pluriennale vincolato di entrata sia l’avanzo di amministrazione ai fini </w:t>
      </w:r>
      <w:r w:rsidR="00671FB2">
        <w:rPr>
          <w:rFonts w:ascii="Arial" w:hAnsi="Arial" w:cs="Arial"/>
          <w:i/>
          <w:color w:val="00B0F0"/>
          <w:sz w:val="22"/>
          <w:szCs w:val="22"/>
        </w:rPr>
        <w:t>dell’equilibrio di bilancio (comma</w:t>
      </w:r>
      <w:r w:rsidRPr="00671FB2">
        <w:rPr>
          <w:rFonts w:ascii="Arial" w:hAnsi="Arial" w:cs="Arial"/>
          <w:i/>
          <w:color w:val="00B0F0"/>
          <w:sz w:val="22"/>
          <w:szCs w:val="22"/>
        </w:rPr>
        <w:t xml:space="preserve"> 820). Dal 2019, dunque, già in fase previsionale il vincolo di finanza pubblica coinciderà con gli equilibri ordinari disciplinati dall’armonizzazione contabile (D.lgs. 118/2011) e dal TUEL, senza l’ulteriore limite fissato dal saldo finale di competenza non negativo. Gli enti, infatti, si considereranno “in equilibrio in presenza di un risultato di competenza non negativo”, desunto “dal prospetto della verifica degli equilibri allegato al rendiconto”, </w:t>
      </w:r>
      <w:r w:rsidRPr="00671FB2">
        <w:rPr>
          <w:rFonts w:ascii="Arial" w:hAnsi="Arial" w:cs="Arial"/>
          <w:b/>
          <w:i/>
          <w:color w:val="00B0F0"/>
          <w:sz w:val="22"/>
          <w:szCs w:val="22"/>
          <w:u w:val="single"/>
        </w:rPr>
        <w:t>allegato 10 al d.lgs. 118/2011 (co. 821).</w:t>
      </w:r>
    </w:p>
    <w:p w:rsidR="001004AB" w:rsidRPr="00671FB2" w:rsidRDefault="001004AB" w:rsidP="009672FA">
      <w:pPr>
        <w:jc w:val="both"/>
        <w:rPr>
          <w:rFonts w:ascii="Arial" w:hAnsi="Arial" w:cs="Arial"/>
          <w:b/>
          <w:i/>
          <w:color w:val="00B0F0"/>
          <w:sz w:val="22"/>
          <w:szCs w:val="22"/>
          <w:u w:val="single"/>
        </w:rPr>
      </w:pPr>
    </w:p>
    <w:p w:rsidR="00BE11C1" w:rsidRDefault="00BE11C1" w:rsidP="00BE11C1">
      <w:pPr>
        <w:spacing w:before="120" w:after="60"/>
        <w:jc w:val="both"/>
        <w:rPr>
          <w:rFonts w:ascii="Arial" w:hAnsi="Arial" w:cs="Arial"/>
          <w:sz w:val="22"/>
          <w:szCs w:val="22"/>
        </w:rPr>
      </w:pPr>
      <w:r w:rsidRPr="005F46D7">
        <w:rPr>
          <w:rFonts w:ascii="Arial" w:hAnsi="Arial" w:cs="Arial"/>
          <w:sz w:val="22"/>
          <w:szCs w:val="22"/>
        </w:rPr>
        <w:t>Il risultato di amministrazione e il fondo pluriennale vincolato di entrata e di spesa possono essere utilizzati nel rispetto delle disposizioni previste dal decreto legislativo 23 giugno 2011, n. 118.</w:t>
      </w:r>
    </w:p>
    <w:p w:rsidR="00BD717D" w:rsidRDefault="00BD717D">
      <w:pPr>
        <w:spacing w:before="120" w:after="60"/>
        <w:jc w:val="both"/>
        <w:rPr>
          <w:rFonts w:ascii="Arial" w:hAnsi="Arial" w:cs="Arial"/>
          <w:sz w:val="22"/>
          <w:szCs w:val="22"/>
        </w:rPr>
      </w:pPr>
    </w:p>
    <w:p w:rsidR="006233A2" w:rsidRDefault="006233A2">
      <w:pPr>
        <w:spacing w:before="120" w:after="60"/>
        <w:jc w:val="both"/>
        <w:rPr>
          <w:rFonts w:ascii="Arial" w:hAnsi="Arial" w:cs="Arial"/>
          <w:sz w:val="22"/>
          <w:szCs w:val="22"/>
        </w:rPr>
      </w:pPr>
    </w:p>
    <w:p w:rsidR="006233A2" w:rsidRDefault="006233A2">
      <w:pPr>
        <w:spacing w:before="120" w:after="60"/>
        <w:jc w:val="both"/>
        <w:rPr>
          <w:rFonts w:ascii="Arial" w:hAnsi="Arial" w:cs="Arial"/>
          <w:sz w:val="22"/>
          <w:szCs w:val="22"/>
        </w:rPr>
      </w:pPr>
    </w:p>
    <w:p w:rsidR="006233A2" w:rsidRDefault="006233A2">
      <w:pPr>
        <w:spacing w:before="120" w:after="60"/>
        <w:jc w:val="both"/>
        <w:rPr>
          <w:rFonts w:ascii="Arial" w:hAnsi="Arial" w:cs="Arial"/>
          <w:sz w:val="22"/>
          <w:szCs w:val="22"/>
        </w:rPr>
      </w:pPr>
    </w:p>
    <w:p w:rsidR="006233A2" w:rsidRDefault="006233A2">
      <w:pPr>
        <w:spacing w:before="120" w:after="60"/>
        <w:jc w:val="both"/>
        <w:rPr>
          <w:rFonts w:ascii="Arial" w:hAnsi="Arial" w:cs="Arial"/>
          <w:sz w:val="22"/>
          <w:szCs w:val="22"/>
        </w:rPr>
      </w:pPr>
    </w:p>
    <w:p w:rsidR="006233A2" w:rsidRDefault="006233A2">
      <w:pPr>
        <w:spacing w:before="120" w:after="60"/>
        <w:jc w:val="both"/>
        <w:rPr>
          <w:rFonts w:ascii="Arial" w:hAnsi="Arial" w:cs="Arial"/>
          <w:sz w:val="22"/>
          <w:szCs w:val="22"/>
        </w:rPr>
      </w:pPr>
    </w:p>
    <w:p w:rsidR="006233A2" w:rsidRDefault="006233A2">
      <w:pPr>
        <w:spacing w:before="120" w:after="60"/>
        <w:jc w:val="both"/>
        <w:rPr>
          <w:rFonts w:ascii="Arial" w:hAnsi="Arial" w:cs="Arial"/>
          <w:sz w:val="22"/>
          <w:szCs w:val="22"/>
        </w:rPr>
      </w:pPr>
    </w:p>
    <w:p w:rsidR="006233A2" w:rsidRDefault="006233A2">
      <w:pPr>
        <w:spacing w:before="120" w:after="60"/>
        <w:jc w:val="both"/>
        <w:rPr>
          <w:rFonts w:ascii="Arial" w:hAnsi="Arial" w:cs="Arial"/>
          <w:sz w:val="22"/>
          <w:szCs w:val="22"/>
        </w:rPr>
      </w:pPr>
    </w:p>
    <w:p w:rsidR="005D5A1B" w:rsidRDefault="005D5A1B">
      <w:pPr>
        <w:spacing w:before="120" w:after="60"/>
        <w:jc w:val="both"/>
        <w:rPr>
          <w:rFonts w:ascii="Arial" w:hAnsi="Arial" w:cs="Arial"/>
          <w:sz w:val="22"/>
          <w:szCs w:val="22"/>
        </w:rPr>
      </w:pPr>
    </w:p>
    <w:p w:rsidR="005D5A1B" w:rsidRDefault="005D5A1B">
      <w:pPr>
        <w:spacing w:before="120" w:after="60"/>
        <w:jc w:val="both"/>
        <w:rPr>
          <w:rFonts w:ascii="Arial" w:hAnsi="Arial" w:cs="Arial"/>
          <w:sz w:val="22"/>
          <w:szCs w:val="22"/>
        </w:rPr>
      </w:pPr>
    </w:p>
    <w:p w:rsidR="006233A2" w:rsidRDefault="006233A2">
      <w:pPr>
        <w:spacing w:before="120" w:after="60"/>
        <w:jc w:val="both"/>
        <w:rPr>
          <w:rFonts w:ascii="Arial" w:hAnsi="Arial" w:cs="Arial"/>
          <w:sz w:val="22"/>
          <w:szCs w:val="22"/>
        </w:rPr>
      </w:pPr>
    </w:p>
    <w:p w:rsidR="006233A2" w:rsidRDefault="006233A2">
      <w:pPr>
        <w:spacing w:before="120" w:after="60"/>
        <w:jc w:val="both"/>
        <w:rPr>
          <w:rFonts w:ascii="Arial" w:hAnsi="Arial" w:cs="Arial"/>
          <w:sz w:val="22"/>
          <w:szCs w:val="22"/>
        </w:rPr>
      </w:pPr>
    </w:p>
    <w:p w:rsidR="006233A2" w:rsidRDefault="006233A2">
      <w:pPr>
        <w:spacing w:before="120" w:after="60"/>
        <w:jc w:val="both"/>
        <w:rPr>
          <w:rFonts w:ascii="Arial" w:hAnsi="Arial" w:cs="Arial"/>
          <w:sz w:val="22"/>
          <w:szCs w:val="22"/>
        </w:rPr>
      </w:pPr>
    </w:p>
    <w:p w:rsidR="006233A2" w:rsidRPr="00D80990" w:rsidRDefault="006233A2">
      <w:pPr>
        <w:spacing w:before="120" w:after="60"/>
        <w:jc w:val="both"/>
        <w:rPr>
          <w:rFonts w:ascii="Arial" w:hAnsi="Arial" w:cs="Arial"/>
          <w:sz w:val="22"/>
          <w:szCs w:val="22"/>
        </w:rPr>
      </w:pPr>
    </w:p>
    <w:p w:rsidR="009F6E3E" w:rsidRPr="00D80990" w:rsidRDefault="00BD717D">
      <w:pPr>
        <w:pStyle w:val="Titolo1"/>
        <w:shd w:val="clear" w:color="auto" w:fill="B6DDE8" w:themeFill="accent5" w:themeFillTint="66"/>
      </w:pPr>
      <w:bookmarkStart w:id="42" w:name="_MON_1513243481"/>
      <w:bookmarkStart w:id="43" w:name="_Toc346838830"/>
      <w:bookmarkStart w:id="44" w:name="_Toc535487610"/>
      <w:bookmarkEnd w:id="42"/>
      <w:r w:rsidRPr="00D80990">
        <w:lastRenderedPageBreak/>
        <w:t>V</w:t>
      </w:r>
      <w:r w:rsidR="007F766F" w:rsidRPr="00D80990">
        <w:t xml:space="preserve">ERIFICA ATTENDIBILITA’ E CONGRUITA’ DELLE PREVISIONI ANNO </w:t>
      </w:r>
      <w:bookmarkEnd w:id="43"/>
      <w:r w:rsidR="005C55B7">
        <w:t>2019</w:t>
      </w:r>
      <w:r w:rsidR="007F766F" w:rsidRPr="00D80990">
        <w:t>-202</w:t>
      </w:r>
      <w:r w:rsidR="005C55B7">
        <w:t>1</w:t>
      </w:r>
      <w:bookmarkEnd w:id="44"/>
    </w:p>
    <w:p w:rsidR="009F6E3E" w:rsidRPr="00D80990" w:rsidRDefault="007F766F">
      <w:pPr>
        <w:pStyle w:val="Titolo2"/>
      </w:pPr>
      <w:bookmarkStart w:id="45" w:name="_Toc535487611"/>
      <w:r w:rsidRPr="00D80990">
        <w:t>A) ENTRATE</w:t>
      </w:r>
      <w:bookmarkEnd w:id="45"/>
    </w:p>
    <w:p w:rsidR="009F6E3E" w:rsidRPr="00D80990" w:rsidRDefault="009F6E3E">
      <w:pPr>
        <w:pStyle w:val="Corpodeltesto2"/>
        <w:numPr>
          <w:ilvl w:val="12"/>
          <w:numId w:val="0"/>
        </w:numPr>
        <w:tabs>
          <w:tab w:val="clear" w:pos="426"/>
          <w:tab w:val="left" w:pos="708"/>
        </w:tabs>
        <w:jc w:val="both"/>
        <w:rPr>
          <w:sz w:val="20"/>
        </w:rPr>
      </w:pPr>
    </w:p>
    <w:p w:rsidR="009F6E3E" w:rsidRPr="00D80990" w:rsidRDefault="007F766F">
      <w:pPr>
        <w:pStyle w:val="Corpodeltesto2"/>
        <w:numPr>
          <w:ilvl w:val="12"/>
          <w:numId w:val="0"/>
        </w:numPr>
        <w:tabs>
          <w:tab w:val="clear" w:pos="426"/>
          <w:tab w:val="left" w:pos="708"/>
        </w:tabs>
        <w:jc w:val="both"/>
        <w:rPr>
          <w:szCs w:val="22"/>
        </w:rPr>
      </w:pPr>
      <w:r w:rsidRPr="00D80990">
        <w:rPr>
          <w:szCs w:val="22"/>
        </w:rPr>
        <w:t>Ai fini della verifica dell’attendibilità delle entrate e congruità delle spes</w:t>
      </w:r>
      <w:r w:rsidR="00D80990">
        <w:rPr>
          <w:szCs w:val="22"/>
        </w:rPr>
        <w:t>e previste per gli esercizi 2019-2021</w:t>
      </w:r>
      <w:r w:rsidRPr="00D80990">
        <w:rPr>
          <w:szCs w:val="22"/>
        </w:rPr>
        <w:t>, alla luce della manovra disposta dall’ente, sono state analizzate in particolare le voci di bilancio appresso riportate.</w:t>
      </w:r>
    </w:p>
    <w:p w:rsidR="009F6E3E" w:rsidRPr="00D80990" w:rsidRDefault="009F6E3E">
      <w:pPr>
        <w:pStyle w:val="Corpodeltesto2"/>
        <w:numPr>
          <w:ilvl w:val="12"/>
          <w:numId w:val="0"/>
        </w:numPr>
        <w:tabs>
          <w:tab w:val="clear" w:pos="426"/>
          <w:tab w:val="left" w:pos="708"/>
        </w:tabs>
        <w:jc w:val="both"/>
        <w:rPr>
          <w:szCs w:val="22"/>
        </w:rPr>
      </w:pPr>
    </w:p>
    <w:p w:rsidR="009F6E3E" w:rsidRPr="00D80990" w:rsidRDefault="007F766F">
      <w:pPr>
        <w:pStyle w:val="Titolo3"/>
        <w:rPr>
          <w:sz w:val="24"/>
        </w:rPr>
      </w:pPr>
      <w:bookmarkStart w:id="46" w:name="_Toc535487612"/>
      <w:r w:rsidRPr="00D80990">
        <w:rPr>
          <w:sz w:val="24"/>
        </w:rPr>
        <w:t>Entrate da fiscalità locale</w:t>
      </w:r>
      <w:bookmarkEnd w:id="46"/>
    </w:p>
    <w:p w:rsidR="009F6E3E" w:rsidRPr="00D80990" w:rsidRDefault="009F6E3E">
      <w:pPr>
        <w:numPr>
          <w:ilvl w:val="12"/>
          <w:numId w:val="0"/>
        </w:numPr>
        <w:jc w:val="both"/>
        <w:outlineLvl w:val="2"/>
        <w:rPr>
          <w:rFonts w:ascii="Arial" w:hAnsi="Arial" w:cs="Arial"/>
          <w:b/>
          <w:i/>
          <w:u w:val="single"/>
        </w:rPr>
      </w:pPr>
    </w:p>
    <w:p w:rsidR="009F6E3E" w:rsidRPr="00D80990" w:rsidRDefault="007F766F">
      <w:pPr>
        <w:jc w:val="both"/>
        <w:rPr>
          <w:rFonts w:ascii="Arial" w:hAnsi="Arial" w:cs="Arial"/>
          <w:b/>
          <w:u w:val="single"/>
        </w:rPr>
      </w:pPr>
      <w:r w:rsidRPr="00D80990">
        <w:rPr>
          <w:rFonts w:ascii="Arial" w:hAnsi="Arial" w:cs="Arial"/>
          <w:b/>
          <w:u w:val="single"/>
        </w:rPr>
        <w:t>Addizionale Comunale all’Irpef</w:t>
      </w:r>
    </w:p>
    <w:p w:rsidR="009F6E3E" w:rsidRPr="00D80990" w:rsidRDefault="009F6E3E">
      <w:pPr>
        <w:numPr>
          <w:ilvl w:val="12"/>
          <w:numId w:val="0"/>
        </w:numPr>
        <w:jc w:val="both"/>
        <w:rPr>
          <w:rFonts w:ascii="Arial" w:hAnsi="Arial" w:cs="Arial"/>
          <w:sz w:val="22"/>
          <w:szCs w:val="22"/>
        </w:rPr>
      </w:pPr>
    </w:p>
    <w:p w:rsidR="00002EE0" w:rsidRDefault="007F766F">
      <w:pPr>
        <w:numPr>
          <w:ilvl w:val="12"/>
          <w:numId w:val="0"/>
        </w:numPr>
        <w:jc w:val="both"/>
        <w:rPr>
          <w:rFonts w:ascii="Arial" w:hAnsi="Arial" w:cs="Arial"/>
          <w:sz w:val="22"/>
          <w:szCs w:val="22"/>
        </w:rPr>
      </w:pPr>
      <w:r w:rsidRPr="00D80990">
        <w:rPr>
          <w:rFonts w:ascii="Arial" w:hAnsi="Arial" w:cs="Arial"/>
          <w:sz w:val="22"/>
          <w:szCs w:val="22"/>
        </w:rPr>
        <w:t xml:space="preserve">Il comune ha applicato, ai sensi dell’art. 1 del D. Lgs. n. 360/1998, l’addizionale all’IRPEF, fissandone l’aliquota in misura del…………….. </w:t>
      </w:r>
      <w:r w:rsidR="00002EE0">
        <w:rPr>
          <w:rFonts w:ascii="Arial" w:hAnsi="Arial" w:cs="Arial"/>
          <w:sz w:val="22"/>
          <w:szCs w:val="22"/>
        </w:rPr>
        <w:t>(</w:t>
      </w:r>
      <w:r w:rsidR="00002EE0" w:rsidRPr="00002EE0">
        <w:rPr>
          <w:rFonts w:ascii="Arial" w:hAnsi="Arial" w:cs="Arial"/>
          <w:i/>
          <w:sz w:val="22"/>
          <w:szCs w:val="22"/>
        </w:rPr>
        <w:t>eventuale</w:t>
      </w:r>
      <w:r w:rsidR="00002EE0">
        <w:rPr>
          <w:rFonts w:ascii="Arial" w:hAnsi="Arial" w:cs="Arial"/>
          <w:sz w:val="22"/>
          <w:szCs w:val="22"/>
        </w:rPr>
        <w:t xml:space="preserve"> : con una soglia di esenzione per redditi fino a euro…..)</w:t>
      </w:r>
    </w:p>
    <w:p w:rsidR="00002EE0" w:rsidRDefault="00002EE0">
      <w:pPr>
        <w:numPr>
          <w:ilvl w:val="12"/>
          <w:numId w:val="0"/>
        </w:numPr>
        <w:jc w:val="both"/>
        <w:rPr>
          <w:rFonts w:ascii="Arial" w:hAnsi="Arial" w:cs="Arial"/>
          <w:sz w:val="22"/>
          <w:szCs w:val="22"/>
        </w:rPr>
      </w:pPr>
    </w:p>
    <w:p w:rsidR="009F6E3E" w:rsidRDefault="00002EE0">
      <w:pPr>
        <w:numPr>
          <w:ilvl w:val="12"/>
          <w:numId w:val="0"/>
        </w:numPr>
        <w:jc w:val="both"/>
        <w:rPr>
          <w:rFonts w:ascii="Arial" w:hAnsi="Arial" w:cs="Arial"/>
          <w:sz w:val="22"/>
          <w:szCs w:val="22"/>
        </w:rPr>
      </w:pPr>
      <w:r w:rsidRPr="00002EE0">
        <w:rPr>
          <w:rFonts w:ascii="Arial" w:hAnsi="Arial" w:cs="Arial"/>
          <w:i/>
          <w:sz w:val="22"/>
          <w:szCs w:val="22"/>
        </w:rPr>
        <w:t>Oppure</w:t>
      </w:r>
      <w:r>
        <w:rPr>
          <w:rFonts w:ascii="Arial" w:hAnsi="Arial" w:cs="Arial"/>
          <w:sz w:val="22"/>
          <w:szCs w:val="22"/>
        </w:rPr>
        <w:t>:</w:t>
      </w:r>
    </w:p>
    <w:p w:rsidR="00002EE0" w:rsidRDefault="00002EE0">
      <w:pPr>
        <w:numPr>
          <w:ilvl w:val="12"/>
          <w:numId w:val="0"/>
        </w:numPr>
        <w:jc w:val="both"/>
        <w:rPr>
          <w:rFonts w:ascii="Arial" w:hAnsi="Arial" w:cs="Arial"/>
          <w:sz w:val="22"/>
          <w:szCs w:val="22"/>
        </w:rPr>
      </w:pPr>
      <w:r>
        <w:rPr>
          <w:rFonts w:ascii="Arial" w:hAnsi="Arial" w:cs="Arial"/>
          <w:sz w:val="22"/>
          <w:szCs w:val="22"/>
        </w:rPr>
        <w:t>Il comune ha applicato, ai sensi dell’art.1 del D.Lgs. n.360/1998, l’addizionale all’IRPEF, fissandone le aliquote sulla base dei seguenti scaglioni di reddito:</w:t>
      </w:r>
    </w:p>
    <w:p w:rsidR="00002EE0" w:rsidRPr="00D80990" w:rsidRDefault="00002EE0">
      <w:pPr>
        <w:numPr>
          <w:ilvl w:val="12"/>
          <w:numId w:val="0"/>
        </w:numPr>
        <w:jc w:val="both"/>
        <w:rPr>
          <w:rFonts w:ascii="Arial" w:hAnsi="Arial" w:cs="Arial"/>
          <w:sz w:val="22"/>
          <w:szCs w:val="22"/>
        </w:rPr>
      </w:pPr>
    </w:p>
    <w:p w:rsidR="009F6E3E" w:rsidRDefault="009F6E3E">
      <w:pPr>
        <w:numPr>
          <w:ilvl w:val="12"/>
          <w:numId w:val="0"/>
        </w:numPr>
        <w:jc w:val="both"/>
        <w:rPr>
          <w:rFonts w:ascii="Arial" w:hAnsi="Arial" w:cs="Arial"/>
          <w:b/>
          <w:sz w:val="22"/>
          <w:szCs w:val="22"/>
          <w:u w:val="single"/>
        </w:rPr>
      </w:pPr>
    </w:p>
    <w:p w:rsidR="006F3CC1" w:rsidRDefault="006233A2" w:rsidP="006F3CC1">
      <w:pPr>
        <w:numPr>
          <w:ilvl w:val="12"/>
          <w:numId w:val="0"/>
        </w:numPr>
        <w:jc w:val="center"/>
        <w:rPr>
          <w:rFonts w:ascii="Arial" w:hAnsi="Arial" w:cs="Arial"/>
          <w:b/>
          <w:sz w:val="22"/>
          <w:szCs w:val="22"/>
          <w:u w:val="single"/>
        </w:rPr>
      </w:pPr>
      <w:r w:rsidRPr="00213664">
        <w:rPr>
          <w:rFonts w:ascii="Arial" w:hAnsi="Arial" w:cs="Arial"/>
          <w:sz w:val="22"/>
          <w:szCs w:val="22"/>
        </w:rPr>
        <w:object w:dxaOrig="8234" w:dyaOrig="1254">
          <v:shape id="_x0000_i1038" type="#_x0000_t75" style="width:410.25pt;height:64.5pt" o:ole="">
            <v:imagedata r:id="rId44" o:title=""/>
          </v:shape>
          <o:OLEObject Type="Embed" ProgID="Excel.Sheet.12" ShapeID="_x0000_i1038" DrawAspect="Content" ObjectID="_1610733402" r:id="rId45"/>
        </w:object>
      </w:r>
    </w:p>
    <w:p w:rsidR="006F3CC1" w:rsidRPr="00D80990" w:rsidRDefault="006F3CC1">
      <w:pPr>
        <w:numPr>
          <w:ilvl w:val="12"/>
          <w:numId w:val="0"/>
        </w:numPr>
        <w:jc w:val="both"/>
        <w:rPr>
          <w:rFonts w:ascii="Arial" w:hAnsi="Arial" w:cs="Arial"/>
          <w:b/>
          <w:sz w:val="22"/>
          <w:szCs w:val="22"/>
          <w:u w:val="single"/>
        </w:rPr>
      </w:pPr>
    </w:p>
    <w:p w:rsidR="0032722E" w:rsidRPr="00D80990" w:rsidRDefault="0032722E" w:rsidP="0032722E">
      <w:pPr>
        <w:numPr>
          <w:ilvl w:val="12"/>
          <w:numId w:val="0"/>
        </w:numPr>
        <w:jc w:val="center"/>
        <w:rPr>
          <w:rFonts w:ascii="Arial" w:hAnsi="Arial" w:cs="Arial"/>
          <w:b/>
          <w:sz w:val="22"/>
          <w:szCs w:val="22"/>
          <w:highlight w:val="yellow"/>
          <w:u w:val="single"/>
        </w:rPr>
      </w:pPr>
    </w:p>
    <w:p w:rsidR="009F6E3E" w:rsidRPr="00D80990" w:rsidRDefault="007F766F">
      <w:pPr>
        <w:numPr>
          <w:ilvl w:val="12"/>
          <w:numId w:val="0"/>
        </w:numPr>
        <w:jc w:val="both"/>
        <w:rPr>
          <w:rFonts w:ascii="Arial" w:hAnsi="Arial" w:cs="Arial"/>
          <w:sz w:val="22"/>
          <w:szCs w:val="22"/>
        </w:rPr>
      </w:pPr>
      <w:r w:rsidRPr="00D80990">
        <w:rPr>
          <w:rFonts w:ascii="Arial" w:hAnsi="Arial" w:cs="Arial"/>
          <w:sz w:val="22"/>
          <w:szCs w:val="22"/>
        </w:rPr>
        <w:t>Le previsioni di gettito sono coerenti a quanto disposto dal punto 3.7.5 del principio 4/2 del D. Lgs 118/2011.</w:t>
      </w:r>
    </w:p>
    <w:p w:rsidR="00B75B67" w:rsidRDefault="00B75B67">
      <w:pPr>
        <w:jc w:val="both"/>
        <w:rPr>
          <w:rFonts w:ascii="Arial" w:hAnsi="Arial" w:cs="Arial"/>
          <w:b/>
          <w:u w:val="single"/>
        </w:rPr>
      </w:pPr>
    </w:p>
    <w:p w:rsidR="009F6E3E" w:rsidRPr="00D80990" w:rsidRDefault="007F766F">
      <w:pPr>
        <w:jc w:val="both"/>
        <w:rPr>
          <w:rFonts w:ascii="Arial" w:hAnsi="Arial" w:cs="Arial"/>
          <w:b/>
          <w:u w:val="single"/>
        </w:rPr>
      </w:pPr>
      <w:r w:rsidRPr="00D80990">
        <w:rPr>
          <w:rFonts w:ascii="Arial" w:hAnsi="Arial" w:cs="Arial"/>
          <w:b/>
          <w:u w:val="single"/>
        </w:rPr>
        <w:t>IUC</w:t>
      </w:r>
    </w:p>
    <w:p w:rsidR="009F6E3E" w:rsidRPr="00D80990" w:rsidRDefault="009F6E3E">
      <w:pPr>
        <w:jc w:val="both"/>
        <w:rPr>
          <w:rFonts w:ascii="Arial" w:hAnsi="Arial" w:cs="Arial"/>
          <w:sz w:val="22"/>
          <w:szCs w:val="22"/>
        </w:rPr>
      </w:pPr>
    </w:p>
    <w:p w:rsidR="009F6E3E" w:rsidRPr="00D80990" w:rsidRDefault="007F766F">
      <w:pPr>
        <w:jc w:val="both"/>
        <w:rPr>
          <w:rFonts w:ascii="Arial" w:hAnsi="Arial" w:cs="Arial"/>
          <w:sz w:val="22"/>
          <w:szCs w:val="22"/>
        </w:rPr>
      </w:pPr>
      <w:r w:rsidRPr="00D80990">
        <w:rPr>
          <w:rFonts w:ascii="Arial" w:hAnsi="Arial" w:cs="Arial"/>
          <w:sz w:val="22"/>
          <w:szCs w:val="22"/>
        </w:rPr>
        <w:t xml:space="preserve">Il gettito stimato per l’Imposta Unica Comunale, nella sua articolazione IMU/TASI/TARI, è così composto: </w:t>
      </w:r>
    </w:p>
    <w:p w:rsidR="009F6E3E" w:rsidRDefault="009F6E3E">
      <w:pPr>
        <w:numPr>
          <w:ilvl w:val="12"/>
          <w:numId w:val="0"/>
        </w:numPr>
        <w:rPr>
          <w:rFonts w:ascii="Arial" w:hAnsi="Arial" w:cs="Arial"/>
          <w:i/>
          <w:sz w:val="20"/>
        </w:rPr>
      </w:pPr>
      <w:bookmarkStart w:id="47" w:name="_ENTRATE_CORRENTI"/>
      <w:bookmarkEnd w:id="47"/>
    </w:p>
    <w:p w:rsidR="001401A6" w:rsidRPr="00D80990" w:rsidRDefault="006233A2" w:rsidP="001401A6">
      <w:pPr>
        <w:numPr>
          <w:ilvl w:val="12"/>
          <w:numId w:val="0"/>
        </w:numPr>
        <w:jc w:val="center"/>
        <w:rPr>
          <w:rFonts w:ascii="Arial" w:hAnsi="Arial" w:cs="Arial"/>
          <w:i/>
          <w:sz w:val="20"/>
        </w:rPr>
      </w:pPr>
      <w:r w:rsidRPr="00213664">
        <w:rPr>
          <w:rFonts w:ascii="Arial" w:hAnsi="Arial" w:cs="Arial"/>
          <w:sz w:val="22"/>
          <w:szCs w:val="22"/>
        </w:rPr>
        <w:object w:dxaOrig="8234" w:dyaOrig="1994">
          <v:shape id="_x0000_i1039" type="#_x0000_t75" style="width:410.25pt;height:100.5pt" o:ole="">
            <v:imagedata r:id="rId46" o:title=""/>
          </v:shape>
          <o:OLEObject Type="Embed" ProgID="Excel.Sheet.12" ShapeID="_x0000_i1039" DrawAspect="Content" ObjectID="_1610733403" r:id="rId47"/>
        </w:object>
      </w:r>
    </w:p>
    <w:p w:rsidR="001401A6" w:rsidRDefault="001401A6" w:rsidP="00002EE0">
      <w:pPr>
        <w:jc w:val="both"/>
        <w:rPr>
          <w:rFonts w:ascii="Arial" w:hAnsi="Arial" w:cs="Arial"/>
          <w:sz w:val="22"/>
          <w:szCs w:val="22"/>
        </w:rPr>
      </w:pPr>
    </w:p>
    <w:p w:rsidR="00002EE0" w:rsidRPr="007E2A1D" w:rsidRDefault="00002EE0" w:rsidP="00002EE0">
      <w:pPr>
        <w:jc w:val="both"/>
        <w:rPr>
          <w:rFonts w:ascii="Arial" w:hAnsi="Arial" w:cs="Arial"/>
          <w:sz w:val="22"/>
          <w:szCs w:val="22"/>
        </w:rPr>
      </w:pPr>
      <w:r w:rsidRPr="007E2A1D">
        <w:rPr>
          <w:rFonts w:ascii="Arial" w:hAnsi="Arial" w:cs="Arial"/>
          <w:sz w:val="22"/>
          <w:szCs w:val="22"/>
        </w:rPr>
        <w:t>In particolare per la TARI, l’ente ha previsto nel bilancio 2019, la somma di euro ……………………., con un aumento/diminuzione di euro …………… rispetto alle previsioni definitive 2018 (o ultimo rendiconto), per la tassa sui rifiuti istituita con i commi da 641 a 668 dell’art.1 della Legge 147/2013.</w:t>
      </w:r>
    </w:p>
    <w:p w:rsidR="001401A6" w:rsidRDefault="001401A6" w:rsidP="00002EE0">
      <w:pPr>
        <w:jc w:val="both"/>
        <w:rPr>
          <w:rFonts w:ascii="Arial" w:hAnsi="Arial" w:cs="Arial"/>
          <w:sz w:val="22"/>
          <w:szCs w:val="22"/>
        </w:rPr>
      </w:pPr>
    </w:p>
    <w:p w:rsidR="00002EE0" w:rsidRPr="007E2A1D" w:rsidRDefault="00002EE0" w:rsidP="00002EE0">
      <w:pPr>
        <w:jc w:val="both"/>
        <w:rPr>
          <w:rFonts w:ascii="Arial" w:hAnsi="Arial" w:cs="Arial"/>
          <w:sz w:val="22"/>
          <w:szCs w:val="22"/>
        </w:rPr>
      </w:pPr>
      <w:r w:rsidRPr="007E2A1D">
        <w:rPr>
          <w:rFonts w:ascii="Arial" w:hAnsi="Arial" w:cs="Arial"/>
          <w:sz w:val="22"/>
          <w:szCs w:val="22"/>
        </w:rPr>
        <w:t xml:space="preserve">La tariffa è determinata sulla base della copertura integrale dei costi di investimento e di esercizio del servizio rifiuti compresi quelli relativi alla realizzazione ed esercizio della discarica ad esclusione dei costi relativi ai rifiuti speciali al cui smaltimento provvedono a proprie spese i relativi produttori comprovandone il trattamento. </w:t>
      </w:r>
    </w:p>
    <w:p w:rsidR="001401A6" w:rsidRDefault="001401A6" w:rsidP="00002EE0">
      <w:pPr>
        <w:jc w:val="both"/>
        <w:rPr>
          <w:rFonts w:ascii="Arial" w:hAnsi="Arial" w:cs="Arial"/>
          <w:sz w:val="22"/>
          <w:szCs w:val="22"/>
        </w:rPr>
      </w:pPr>
    </w:p>
    <w:p w:rsidR="00002EE0" w:rsidRPr="007E2A1D" w:rsidRDefault="00002EE0" w:rsidP="00002EE0">
      <w:pPr>
        <w:jc w:val="both"/>
        <w:rPr>
          <w:rFonts w:ascii="Arial" w:hAnsi="Arial" w:cs="Arial"/>
          <w:sz w:val="22"/>
          <w:szCs w:val="22"/>
        </w:rPr>
      </w:pPr>
      <w:r w:rsidRPr="007E2A1D">
        <w:rPr>
          <w:rFonts w:ascii="Arial" w:hAnsi="Arial" w:cs="Arial"/>
          <w:sz w:val="22"/>
          <w:szCs w:val="22"/>
        </w:rPr>
        <w:t xml:space="preserve">Nella determinazione dei costi - a partire dall’anno 2018 - ai sensi del comma 653 dell’art.1 della Legge 147/2013 il comune </w:t>
      </w:r>
      <w:r w:rsidRPr="007E2A1D">
        <w:rPr>
          <w:rFonts w:ascii="Arial" w:hAnsi="Arial" w:cs="Arial"/>
          <w:b/>
          <w:i/>
          <w:sz w:val="22"/>
          <w:szCs w:val="22"/>
        </w:rPr>
        <w:t>ha/non ha</w:t>
      </w:r>
      <w:r w:rsidRPr="007E2A1D">
        <w:rPr>
          <w:rFonts w:ascii="Arial" w:hAnsi="Arial" w:cs="Arial"/>
          <w:sz w:val="22"/>
          <w:szCs w:val="22"/>
        </w:rPr>
        <w:t xml:space="preserve"> tenuto conto delle risultanze dei fabbisogni standard.</w:t>
      </w:r>
    </w:p>
    <w:p w:rsidR="00002EE0" w:rsidRPr="007E2A1D" w:rsidRDefault="00002EE0" w:rsidP="00002EE0">
      <w:pPr>
        <w:jc w:val="both"/>
        <w:rPr>
          <w:rFonts w:ascii="Arial" w:hAnsi="Arial" w:cs="Arial"/>
          <w:sz w:val="22"/>
          <w:szCs w:val="22"/>
        </w:rPr>
      </w:pPr>
    </w:p>
    <w:p w:rsidR="00002EE0" w:rsidRPr="007E2A1D" w:rsidRDefault="00002EE0" w:rsidP="00002EE0">
      <w:pPr>
        <w:jc w:val="both"/>
        <w:rPr>
          <w:rFonts w:ascii="Arial" w:hAnsi="Arial" w:cs="Arial"/>
          <w:sz w:val="22"/>
          <w:szCs w:val="22"/>
        </w:rPr>
      </w:pPr>
      <w:r w:rsidRPr="007E2A1D">
        <w:rPr>
          <w:rFonts w:ascii="Arial" w:hAnsi="Arial" w:cs="Arial"/>
          <w:sz w:val="22"/>
          <w:szCs w:val="22"/>
        </w:rPr>
        <w:t>Tra le componenti di costo è stata considerata la somma di euro ………. a titolo di crediti risultati inesigibili (comma 654-bis).</w:t>
      </w:r>
    </w:p>
    <w:p w:rsidR="00002EE0" w:rsidRPr="007E2A1D" w:rsidRDefault="00002EE0" w:rsidP="00002EE0">
      <w:pPr>
        <w:jc w:val="both"/>
        <w:rPr>
          <w:rFonts w:ascii="Arial" w:hAnsi="Arial" w:cs="Arial"/>
          <w:sz w:val="22"/>
          <w:szCs w:val="22"/>
        </w:rPr>
      </w:pPr>
    </w:p>
    <w:p w:rsidR="00002EE0" w:rsidRPr="007E2A1D" w:rsidRDefault="00002EE0" w:rsidP="00002EE0">
      <w:pPr>
        <w:jc w:val="both"/>
        <w:rPr>
          <w:rFonts w:ascii="Arial" w:hAnsi="Arial" w:cs="Arial"/>
          <w:sz w:val="22"/>
          <w:szCs w:val="22"/>
        </w:rPr>
      </w:pPr>
      <w:r w:rsidRPr="007E2A1D">
        <w:rPr>
          <w:rFonts w:ascii="Arial" w:hAnsi="Arial" w:cs="Arial"/>
          <w:sz w:val="22"/>
          <w:szCs w:val="22"/>
        </w:rPr>
        <w:t>La modalità di commisurazione della tariffa è stata fatta sulla base del criterio medio- ordinario (ovvero in base alla quantità e qualità medie ordinarie di rifiuti prodotti per unità di superficie in relazione agli usi e alla tipologia di attività svolte) e non sull’effettiva quantità di rifiuti prodotti.</w:t>
      </w:r>
    </w:p>
    <w:p w:rsidR="001401A6" w:rsidRDefault="001401A6" w:rsidP="00002EE0">
      <w:pPr>
        <w:tabs>
          <w:tab w:val="left" w:pos="708"/>
        </w:tabs>
        <w:jc w:val="both"/>
        <w:rPr>
          <w:rFonts w:ascii="Arial" w:hAnsi="Arial" w:cs="Arial"/>
          <w:bCs/>
          <w:sz w:val="22"/>
          <w:szCs w:val="22"/>
        </w:rPr>
      </w:pPr>
    </w:p>
    <w:p w:rsidR="00002EE0" w:rsidRPr="007E2A1D" w:rsidRDefault="00002EE0" w:rsidP="00002EE0">
      <w:pPr>
        <w:tabs>
          <w:tab w:val="left" w:pos="708"/>
        </w:tabs>
        <w:jc w:val="both"/>
        <w:rPr>
          <w:rFonts w:ascii="Arial" w:hAnsi="Arial" w:cs="Arial"/>
          <w:bCs/>
          <w:sz w:val="22"/>
          <w:szCs w:val="22"/>
        </w:rPr>
      </w:pPr>
      <w:r w:rsidRPr="007E2A1D">
        <w:rPr>
          <w:rFonts w:ascii="Arial" w:hAnsi="Arial" w:cs="Arial"/>
          <w:bCs/>
          <w:sz w:val="22"/>
          <w:szCs w:val="22"/>
        </w:rPr>
        <w:t xml:space="preserve">La disciplina dell´applicazione del tributo sarà approvata con regolamento dal Consiglio comunale.  </w:t>
      </w:r>
    </w:p>
    <w:p w:rsidR="001401A6" w:rsidRDefault="001401A6" w:rsidP="00002EE0">
      <w:pPr>
        <w:jc w:val="both"/>
        <w:rPr>
          <w:rFonts w:ascii="Arial" w:hAnsi="Arial" w:cs="Arial"/>
          <w:sz w:val="22"/>
          <w:szCs w:val="22"/>
        </w:rPr>
      </w:pPr>
    </w:p>
    <w:p w:rsidR="009F6E3E" w:rsidRDefault="00002EE0" w:rsidP="00002EE0">
      <w:pPr>
        <w:jc w:val="both"/>
        <w:rPr>
          <w:rFonts w:ascii="Arial" w:hAnsi="Arial" w:cs="Arial"/>
          <w:sz w:val="22"/>
          <w:szCs w:val="22"/>
        </w:rPr>
      </w:pPr>
      <w:r w:rsidRPr="007E2A1D">
        <w:rPr>
          <w:rFonts w:ascii="Arial" w:hAnsi="Arial" w:cs="Arial"/>
          <w:sz w:val="22"/>
          <w:szCs w:val="22"/>
        </w:rPr>
        <w:t>La quota di gettito atteso che rimarrà a carico dell’ente per effetto delle riduzioni/esenzioni del tributo ammonta ad euro ………..</w:t>
      </w:r>
    </w:p>
    <w:p w:rsidR="00002EE0" w:rsidRPr="00D80990" w:rsidRDefault="00002EE0" w:rsidP="00002EE0">
      <w:pPr>
        <w:jc w:val="both"/>
        <w:rPr>
          <w:rFonts w:ascii="Arial" w:hAnsi="Arial" w:cs="Arial"/>
          <w:b/>
          <w:highlight w:val="yellow"/>
          <w:u w:val="single"/>
        </w:rPr>
      </w:pPr>
    </w:p>
    <w:p w:rsidR="009F6E3E" w:rsidRPr="00D80990" w:rsidRDefault="007F766F">
      <w:pPr>
        <w:jc w:val="both"/>
        <w:rPr>
          <w:rFonts w:ascii="Arial" w:hAnsi="Arial" w:cs="Arial"/>
          <w:b/>
          <w:u w:val="single"/>
        </w:rPr>
      </w:pPr>
      <w:r w:rsidRPr="00D80990">
        <w:rPr>
          <w:rFonts w:ascii="Arial" w:hAnsi="Arial" w:cs="Arial"/>
          <w:b/>
          <w:u w:val="single"/>
        </w:rPr>
        <w:t>Altri Tributi Comunali</w:t>
      </w:r>
    </w:p>
    <w:p w:rsidR="009F6E3E" w:rsidRPr="00D80990" w:rsidRDefault="009F6E3E">
      <w:pPr>
        <w:jc w:val="both"/>
        <w:rPr>
          <w:rFonts w:ascii="Arial" w:hAnsi="Arial" w:cs="Arial"/>
          <w:b/>
          <w:u w:val="single"/>
        </w:rPr>
      </w:pPr>
    </w:p>
    <w:p w:rsidR="009F6E3E" w:rsidRPr="00D80990" w:rsidRDefault="007F766F">
      <w:pPr>
        <w:jc w:val="both"/>
        <w:rPr>
          <w:rFonts w:ascii="Arial" w:hAnsi="Arial" w:cs="Arial"/>
          <w:sz w:val="22"/>
          <w:szCs w:val="22"/>
        </w:rPr>
      </w:pPr>
      <w:r w:rsidRPr="00D80990">
        <w:rPr>
          <w:rFonts w:ascii="Arial" w:hAnsi="Arial" w:cs="Arial"/>
          <w:sz w:val="22"/>
          <w:szCs w:val="22"/>
        </w:rPr>
        <w:t xml:space="preserve">Oltre all’addizionale comunale all’IRPEF e alla IUC (IMU-TARI-TASI), il comune ha istituito i seguenti tributi </w:t>
      </w:r>
      <w:r w:rsidRPr="00D80990">
        <w:rPr>
          <w:rFonts w:ascii="Arial" w:hAnsi="Arial" w:cs="Arial"/>
          <w:i/>
          <w:sz w:val="22"/>
          <w:szCs w:val="22"/>
        </w:rPr>
        <w:t>(eliminare quelli non istituiti)</w:t>
      </w:r>
      <w:r w:rsidRPr="00D80990">
        <w:rPr>
          <w:rFonts w:ascii="Arial" w:hAnsi="Arial" w:cs="Arial"/>
          <w:sz w:val="22"/>
          <w:szCs w:val="22"/>
        </w:rPr>
        <w:t>:</w:t>
      </w:r>
    </w:p>
    <w:p w:rsidR="009F6E3E" w:rsidRPr="00D80990" w:rsidRDefault="009F6E3E">
      <w:pPr>
        <w:jc w:val="both"/>
        <w:rPr>
          <w:rFonts w:ascii="Arial" w:hAnsi="Arial" w:cs="Arial"/>
          <w:sz w:val="22"/>
          <w:szCs w:val="22"/>
        </w:rPr>
      </w:pPr>
    </w:p>
    <w:p w:rsidR="009F6E3E" w:rsidRPr="00D80990" w:rsidRDefault="007F766F">
      <w:pPr>
        <w:pStyle w:val="Paragrafoelenco"/>
        <w:numPr>
          <w:ilvl w:val="0"/>
          <w:numId w:val="8"/>
        </w:numPr>
        <w:jc w:val="both"/>
        <w:rPr>
          <w:rFonts w:ascii="Arial" w:hAnsi="Arial" w:cs="Arial"/>
          <w:sz w:val="22"/>
          <w:szCs w:val="22"/>
        </w:rPr>
      </w:pPr>
      <w:r w:rsidRPr="00D80990">
        <w:rPr>
          <w:rFonts w:ascii="Arial" w:hAnsi="Arial" w:cs="Arial"/>
          <w:sz w:val="22"/>
          <w:szCs w:val="22"/>
        </w:rPr>
        <w:t>imposta comunale sulla pubblicità (ICP);</w:t>
      </w:r>
    </w:p>
    <w:p w:rsidR="009F6E3E" w:rsidRPr="00D80990" w:rsidRDefault="007F766F">
      <w:pPr>
        <w:pStyle w:val="Paragrafoelenco"/>
        <w:numPr>
          <w:ilvl w:val="0"/>
          <w:numId w:val="8"/>
        </w:numPr>
        <w:jc w:val="both"/>
        <w:rPr>
          <w:rFonts w:ascii="Arial" w:hAnsi="Arial" w:cs="Arial"/>
          <w:sz w:val="22"/>
          <w:szCs w:val="22"/>
        </w:rPr>
      </w:pPr>
      <w:r w:rsidRPr="00D80990">
        <w:rPr>
          <w:rFonts w:ascii="Arial" w:hAnsi="Arial" w:cs="Arial"/>
          <w:sz w:val="22"/>
          <w:szCs w:val="22"/>
        </w:rPr>
        <w:t>canone per l'installazione di mezzi pubblicitari (CIMP);</w:t>
      </w:r>
    </w:p>
    <w:p w:rsidR="009F6E3E" w:rsidRPr="00D80990" w:rsidRDefault="007F766F">
      <w:pPr>
        <w:pStyle w:val="Paragrafoelenco"/>
        <w:numPr>
          <w:ilvl w:val="0"/>
          <w:numId w:val="8"/>
        </w:numPr>
        <w:jc w:val="both"/>
        <w:rPr>
          <w:rFonts w:ascii="Arial" w:hAnsi="Arial" w:cs="Arial"/>
          <w:sz w:val="22"/>
          <w:szCs w:val="22"/>
        </w:rPr>
      </w:pPr>
      <w:r w:rsidRPr="00D80990">
        <w:rPr>
          <w:rFonts w:ascii="Arial" w:hAnsi="Arial" w:cs="Arial"/>
          <w:sz w:val="22"/>
          <w:szCs w:val="22"/>
        </w:rPr>
        <w:t>tassa per l'occupazione di spazi ed aree pubbliche (TOSAP);</w:t>
      </w:r>
    </w:p>
    <w:p w:rsidR="009F6E3E" w:rsidRPr="00D80990" w:rsidRDefault="007F766F">
      <w:pPr>
        <w:pStyle w:val="Paragrafoelenco"/>
        <w:numPr>
          <w:ilvl w:val="0"/>
          <w:numId w:val="8"/>
        </w:numPr>
        <w:jc w:val="both"/>
        <w:rPr>
          <w:rFonts w:ascii="Arial" w:hAnsi="Arial" w:cs="Arial"/>
          <w:sz w:val="22"/>
          <w:szCs w:val="22"/>
        </w:rPr>
      </w:pPr>
      <w:r w:rsidRPr="00D80990">
        <w:rPr>
          <w:rFonts w:ascii="Arial" w:hAnsi="Arial" w:cs="Arial"/>
          <w:sz w:val="22"/>
          <w:szCs w:val="22"/>
        </w:rPr>
        <w:t>imposta di scopo;</w:t>
      </w:r>
    </w:p>
    <w:p w:rsidR="009F6E3E" w:rsidRPr="00D80990" w:rsidRDefault="007F766F">
      <w:pPr>
        <w:pStyle w:val="Paragrafoelenco"/>
        <w:numPr>
          <w:ilvl w:val="0"/>
          <w:numId w:val="8"/>
        </w:numPr>
        <w:jc w:val="both"/>
        <w:rPr>
          <w:rFonts w:ascii="Arial" w:hAnsi="Arial" w:cs="Arial"/>
          <w:sz w:val="22"/>
          <w:szCs w:val="22"/>
        </w:rPr>
      </w:pPr>
      <w:r w:rsidRPr="00D80990">
        <w:rPr>
          <w:rFonts w:ascii="Arial" w:hAnsi="Arial" w:cs="Arial"/>
          <w:sz w:val="22"/>
          <w:szCs w:val="22"/>
        </w:rPr>
        <w:t>imposta di soggiorno;</w:t>
      </w:r>
    </w:p>
    <w:p w:rsidR="009F6E3E" w:rsidRPr="00D80990" w:rsidRDefault="007F766F">
      <w:pPr>
        <w:pStyle w:val="Paragrafoelenco"/>
        <w:numPr>
          <w:ilvl w:val="0"/>
          <w:numId w:val="8"/>
        </w:numPr>
        <w:jc w:val="both"/>
        <w:rPr>
          <w:rFonts w:ascii="Arial" w:hAnsi="Arial" w:cs="Arial"/>
          <w:sz w:val="22"/>
          <w:szCs w:val="22"/>
        </w:rPr>
      </w:pPr>
      <w:r w:rsidRPr="00D80990">
        <w:rPr>
          <w:rFonts w:ascii="Arial" w:hAnsi="Arial" w:cs="Arial"/>
          <w:sz w:val="22"/>
          <w:szCs w:val="22"/>
        </w:rPr>
        <w:t>contributo di sbarco.</w:t>
      </w:r>
    </w:p>
    <w:p w:rsidR="009F6E3E" w:rsidRDefault="009F6E3E">
      <w:pPr>
        <w:jc w:val="both"/>
        <w:rPr>
          <w:rFonts w:ascii="Arial" w:hAnsi="Arial" w:cs="Arial"/>
          <w:sz w:val="22"/>
          <w:szCs w:val="22"/>
        </w:rPr>
      </w:pPr>
    </w:p>
    <w:p w:rsidR="001401A6" w:rsidRDefault="006233A2" w:rsidP="003B58BD">
      <w:pPr>
        <w:jc w:val="center"/>
        <w:rPr>
          <w:rFonts w:ascii="Arial" w:hAnsi="Arial" w:cs="Arial"/>
          <w:sz w:val="22"/>
          <w:szCs w:val="22"/>
        </w:rPr>
      </w:pPr>
      <w:r w:rsidRPr="00213664">
        <w:rPr>
          <w:rFonts w:ascii="Arial" w:hAnsi="Arial" w:cs="Arial"/>
          <w:sz w:val="22"/>
          <w:szCs w:val="22"/>
        </w:rPr>
        <w:object w:dxaOrig="8234" w:dyaOrig="3140">
          <v:shape id="_x0000_i1040" type="#_x0000_t75" style="width:410.25pt;height:158.25pt" o:ole="">
            <v:imagedata r:id="rId48" o:title=""/>
          </v:shape>
          <o:OLEObject Type="Embed" ProgID="Excel.Sheet.12" ShapeID="_x0000_i1040" DrawAspect="Content" ObjectID="_1610733404" r:id="rId49"/>
        </w:object>
      </w:r>
    </w:p>
    <w:p w:rsidR="001401A6" w:rsidRDefault="001401A6">
      <w:pPr>
        <w:jc w:val="both"/>
        <w:rPr>
          <w:rFonts w:ascii="Arial" w:hAnsi="Arial" w:cs="Arial"/>
          <w:sz w:val="22"/>
          <w:szCs w:val="22"/>
        </w:rPr>
      </w:pPr>
    </w:p>
    <w:p w:rsidR="009F6E3E" w:rsidRPr="00D80990" w:rsidRDefault="009F6E3E" w:rsidP="006C582D">
      <w:pPr>
        <w:jc w:val="center"/>
        <w:rPr>
          <w:rFonts w:ascii="Arial" w:hAnsi="Arial" w:cs="Arial"/>
          <w:sz w:val="22"/>
          <w:szCs w:val="22"/>
        </w:rPr>
      </w:pPr>
    </w:p>
    <w:p w:rsidR="009F6E3E" w:rsidRPr="00D80990" w:rsidRDefault="007F766F">
      <w:pPr>
        <w:jc w:val="both"/>
        <w:rPr>
          <w:rFonts w:ascii="Arial" w:hAnsi="Arial" w:cs="Arial"/>
          <w:i/>
          <w:sz w:val="22"/>
          <w:szCs w:val="22"/>
        </w:rPr>
      </w:pPr>
      <w:r w:rsidRPr="00D80990">
        <w:rPr>
          <w:rFonts w:ascii="Arial" w:hAnsi="Arial" w:cs="Arial"/>
          <w:i/>
          <w:sz w:val="22"/>
          <w:szCs w:val="22"/>
        </w:rPr>
        <w:t>(solo se istituita l’imposta di soggiorno)</w:t>
      </w:r>
    </w:p>
    <w:p w:rsidR="009F6E3E" w:rsidRPr="00D80990" w:rsidRDefault="009F6E3E">
      <w:pPr>
        <w:jc w:val="both"/>
        <w:rPr>
          <w:rFonts w:ascii="Arial" w:hAnsi="Arial" w:cs="Arial"/>
          <w:sz w:val="22"/>
          <w:szCs w:val="22"/>
        </w:rPr>
      </w:pPr>
    </w:p>
    <w:p w:rsidR="009F6E3E" w:rsidRDefault="007F766F">
      <w:pPr>
        <w:jc w:val="both"/>
        <w:rPr>
          <w:rFonts w:ascii="Arial" w:hAnsi="Arial" w:cs="Arial"/>
          <w:sz w:val="22"/>
          <w:szCs w:val="22"/>
        </w:rPr>
      </w:pPr>
      <w:r w:rsidRPr="00D80990">
        <w:rPr>
          <w:rFonts w:ascii="Arial" w:hAnsi="Arial" w:cs="Arial"/>
          <w:sz w:val="22"/>
          <w:szCs w:val="22"/>
        </w:rPr>
        <w:t>Il comune, avendo istituito l’imposta di soggiorno a carico di coloro che alloggiano nelle strutture ricet</w:t>
      </w:r>
      <w:r w:rsidR="001C1946">
        <w:rPr>
          <w:rFonts w:ascii="Arial" w:hAnsi="Arial" w:cs="Arial"/>
          <w:sz w:val="22"/>
          <w:szCs w:val="22"/>
        </w:rPr>
        <w:t xml:space="preserve">tive situate </w:t>
      </w:r>
      <w:r w:rsidRPr="00D80990">
        <w:rPr>
          <w:rFonts w:ascii="Arial" w:hAnsi="Arial" w:cs="Arial"/>
          <w:sz w:val="22"/>
          <w:szCs w:val="22"/>
        </w:rPr>
        <w:t>sul proprio territorio, ha previsto che il relativo gettito sia destinato a finanziareinterventi in materia di turismo, ivi compresi quelli a sostegno delle strutture ricettive, nonché</w:t>
      </w:r>
      <w:bookmarkStart w:id="48" w:name="_GoBack"/>
      <w:bookmarkEnd w:id="48"/>
      <w:r w:rsidRPr="00D80990">
        <w:rPr>
          <w:rFonts w:ascii="Arial" w:hAnsi="Arial" w:cs="Arial"/>
          <w:sz w:val="22"/>
          <w:szCs w:val="22"/>
        </w:rPr>
        <w:t xml:space="preserve">interventi di manutenzione, fruizione e recupero dei beni culturali ed ambientali locali, nonché dei relativi servizi </w:t>
      </w:r>
      <w:r w:rsidR="001C1946">
        <w:rPr>
          <w:rFonts w:ascii="Arial" w:hAnsi="Arial" w:cs="Arial"/>
          <w:sz w:val="22"/>
          <w:szCs w:val="22"/>
        </w:rPr>
        <w:t>pubblici locali (rif. art. 4 D.</w:t>
      </w:r>
      <w:r w:rsidRPr="00D80990">
        <w:rPr>
          <w:rFonts w:ascii="Arial" w:hAnsi="Arial" w:cs="Arial"/>
          <w:sz w:val="22"/>
          <w:szCs w:val="22"/>
        </w:rPr>
        <w:t>Lgs n.23/2011).</w:t>
      </w:r>
    </w:p>
    <w:p w:rsidR="006233A2" w:rsidRDefault="006233A2">
      <w:pPr>
        <w:jc w:val="both"/>
        <w:rPr>
          <w:rFonts w:ascii="Arial" w:hAnsi="Arial" w:cs="Arial"/>
          <w:sz w:val="22"/>
          <w:szCs w:val="22"/>
        </w:rPr>
      </w:pPr>
    </w:p>
    <w:p w:rsidR="006233A2" w:rsidRDefault="006233A2">
      <w:pPr>
        <w:jc w:val="both"/>
        <w:rPr>
          <w:rFonts w:ascii="Arial" w:hAnsi="Arial" w:cs="Arial"/>
          <w:sz w:val="22"/>
          <w:szCs w:val="22"/>
        </w:rPr>
      </w:pPr>
    </w:p>
    <w:p w:rsidR="006233A2" w:rsidRDefault="006233A2">
      <w:pPr>
        <w:jc w:val="both"/>
        <w:rPr>
          <w:rFonts w:ascii="Arial" w:hAnsi="Arial" w:cs="Arial"/>
          <w:sz w:val="22"/>
          <w:szCs w:val="22"/>
        </w:rPr>
      </w:pPr>
    </w:p>
    <w:p w:rsidR="006233A2" w:rsidRDefault="006233A2">
      <w:r>
        <w:br w:type="page"/>
      </w:r>
    </w:p>
    <w:p w:rsidR="009F6E3E" w:rsidRPr="00D80990" w:rsidRDefault="007F766F">
      <w:pPr>
        <w:pStyle w:val="Titolo3"/>
      </w:pPr>
      <w:bookmarkStart w:id="49" w:name="_Toc535487613"/>
      <w:r w:rsidRPr="00D80990">
        <w:lastRenderedPageBreak/>
        <w:t>Risorse relative al recupero dell’evasione tributaria</w:t>
      </w:r>
      <w:bookmarkEnd w:id="49"/>
    </w:p>
    <w:p w:rsidR="009F6E3E" w:rsidRPr="00D80990" w:rsidRDefault="009F6E3E">
      <w:pPr>
        <w:rPr>
          <w:rFonts w:ascii="Arial" w:hAnsi="Arial" w:cs="Arial"/>
          <w:b/>
          <w:sz w:val="20"/>
          <w:u w:val="single"/>
        </w:rPr>
      </w:pPr>
    </w:p>
    <w:p w:rsidR="009F6E3E" w:rsidRPr="00D80990" w:rsidRDefault="007F766F">
      <w:pPr>
        <w:rPr>
          <w:rFonts w:ascii="Arial" w:hAnsi="Arial" w:cs="Arial"/>
          <w:sz w:val="22"/>
          <w:szCs w:val="22"/>
        </w:rPr>
      </w:pPr>
      <w:r w:rsidRPr="00D80990">
        <w:rPr>
          <w:rFonts w:ascii="Arial" w:hAnsi="Arial" w:cs="Arial"/>
          <w:sz w:val="22"/>
          <w:szCs w:val="22"/>
        </w:rPr>
        <w:t>Le entrate relative all’attività di controllo delle dichiarazioni subiscono le seguenti variazioni:</w:t>
      </w:r>
    </w:p>
    <w:p w:rsidR="009F6E3E" w:rsidRDefault="009F6E3E">
      <w:pPr>
        <w:rPr>
          <w:rFonts w:ascii="Arial" w:hAnsi="Arial" w:cs="Arial"/>
          <w:sz w:val="22"/>
          <w:szCs w:val="22"/>
        </w:rPr>
      </w:pPr>
    </w:p>
    <w:bookmarkStart w:id="50" w:name="_MON_1609226958"/>
    <w:bookmarkEnd w:id="50"/>
    <w:p w:rsidR="006C582D" w:rsidRDefault="006233A2" w:rsidP="001401A6">
      <w:pPr>
        <w:jc w:val="center"/>
        <w:rPr>
          <w:rFonts w:ascii="Arial" w:hAnsi="Arial" w:cs="Arial"/>
          <w:sz w:val="22"/>
          <w:szCs w:val="22"/>
        </w:rPr>
      </w:pPr>
      <w:r w:rsidRPr="00213664">
        <w:rPr>
          <w:rFonts w:ascii="Arial" w:hAnsi="Arial" w:cs="Arial"/>
          <w:sz w:val="22"/>
          <w:szCs w:val="22"/>
        </w:rPr>
        <w:object w:dxaOrig="11760" w:dyaOrig="3746">
          <v:shape id="_x0000_i1041" type="#_x0000_t75" style="width:496.5pt;height:158.25pt" o:ole="">
            <v:imagedata r:id="rId50" o:title=""/>
          </v:shape>
          <o:OLEObject Type="Embed" ProgID="Excel.Sheet.12" ShapeID="_x0000_i1041" DrawAspect="Content" ObjectID="_1610733405" r:id="rId51"/>
        </w:object>
      </w:r>
    </w:p>
    <w:p w:rsidR="009F6E3E" w:rsidRPr="006233A2" w:rsidRDefault="007F766F">
      <w:pPr>
        <w:rPr>
          <w:rFonts w:ascii="Arial" w:hAnsi="Arial" w:cs="Arial"/>
          <w:i/>
          <w:sz w:val="20"/>
          <w:szCs w:val="20"/>
        </w:rPr>
      </w:pPr>
      <w:r w:rsidRPr="006233A2">
        <w:rPr>
          <w:rFonts w:ascii="Arial" w:hAnsi="Arial" w:cs="Arial"/>
          <w:i/>
          <w:sz w:val="20"/>
          <w:szCs w:val="20"/>
        </w:rPr>
        <w:t>*accertato 201</w:t>
      </w:r>
      <w:r w:rsidR="00D80990" w:rsidRPr="006233A2">
        <w:rPr>
          <w:rFonts w:ascii="Arial" w:hAnsi="Arial" w:cs="Arial"/>
          <w:i/>
          <w:sz w:val="20"/>
          <w:szCs w:val="20"/>
        </w:rPr>
        <w:t>8 e residuo 2018 se approvato il rendiconto 2018</w:t>
      </w:r>
    </w:p>
    <w:p w:rsidR="009F6E3E" w:rsidRPr="00D80990" w:rsidRDefault="009F6E3E">
      <w:pPr>
        <w:rPr>
          <w:rFonts w:ascii="Arial" w:hAnsi="Arial" w:cs="Arial"/>
          <w:b/>
          <w:u w:val="single"/>
        </w:rPr>
      </w:pPr>
      <w:bookmarkStart w:id="51" w:name="_MON_1513857152"/>
      <w:bookmarkEnd w:id="51"/>
    </w:p>
    <w:p w:rsidR="009F6E3E" w:rsidRPr="00D80990" w:rsidRDefault="007F766F">
      <w:pPr>
        <w:jc w:val="both"/>
        <w:rPr>
          <w:rFonts w:ascii="Arial" w:hAnsi="Arial" w:cs="Arial"/>
          <w:b/>
          <w:u w:val="single"/>
        </w:rPr>
      </w:pPr>
      <w:r w:rsidRPr="00D80990">
        <w:rPr>
          <w:rFonts w:ascii="Arial" w:hAnsi="Arial" w:cs="Arial"/>
          <w:sz w:val="22"/>
          <w:szCs w:val="22"/>
        </w:rPr>
        <w:t xml:space="preserve">La quantificazione del fondo crediti di dubbia esigibilità per gli anni </w:t>
      </w:r>
      <w:r w:rsidR="00D80990">
        <w:rPr>
          <w:rFonts w:ascii="Arial" w:hAnsi="Arial" w:cs="Arial"/>
          <w:sz w:val="22"/>
          <w:szCs w:val="22"/>
        </w:rPr>
        <w:t>2019-2021</w:t>
      </w:r>
      <w:r w:rsidRPr="00D80990">
        <w:rPr>
          <w:rFonts w:ascii="Arial" w:hAnsi="Arial" w:cs="Arial"/>
          <w:sz w:val="22"/>
          <w:szCs w:val="22"/>
        </w:rPr>
        <w:t xml:space="preserve"> appare congrua in relazione all’andamento storico delle riscossioni rispetto agli accertamenti ed ai crediti dichiarati inesigibili inclusi tra le componenti di costo.</w:t>
      </w:r>
    </w:p>
    <w:p w:rsidR="009F6E3E" w:rsidRDefault="009F6E3E">
      <w:pPr>
        <w:jc w:val="both"/>
        <w:rPr>
          <w:rFonts w:ascii="Arial" w:hAnsi="Arial" w:cs="Arial"/>
          <w:b/>
          <w:u w:val="single"/>
        </w:rPr>
      </w:pPr>
    </w:p>
    <w:p w:rsidR="007839D7" w:rsidRPr="00D80990" w:rsidRDefault="007839D7">
      <w:pPr>
        <w:jc w:val="both"/>
        <w:rPr>
          <w:rFonts w:ascii="Arial" w:hAnsi="Arial" w:cs="Arial"/>
          <w:b/>
          <w:u w:val="single"/>
        </w:rPr>
      </w:pPr>
    </w:p>
    <w:p w:rsidR="009F6E3E" w:rsidRPr="00D80990" w:rsidRDefault="007F766F">
      <w:pPr>
        <w:pStyle w:val="Titolo3"/>
      </w:pPr>
      <w:bookmarkStart w:id="52" w:name="_Toc535487614"/>
      <w:r w:rsidRPr="00D80990">
        <w:t xml:space="preserve">Entrate da titoli abitativi </w:t>
      </w:r>
      <w:r w:rsidR="00AE2698" w:rsidRPr="00D80990">
        <w:t xml:space="preserve">(proventi da permessi da costruire) </w:t>
      </w:r>
      <w:r w:rsidRPr="00D80990">
        <w:t>e relative sanzioni</w:t>
      </w:r>
      <w:bookmarkEnd w:id="52"/>
    </w:p>
    <w:p w:rsidR="009F6E3E" w:rsidRPr="00D80990" w:rsidRDefault="009F6E3E">
      <w:pPr>
        <w:rPr>
          <w:rFonts w:ascii="Arial" w:hAnsi="Arial" w:cs="Arial"/>
          <w:b/>
          <w:sz w:val="22"/>
          <w:u w:val="single"/>
        </w:rPr>
      </w:pPr>
    </w:p>
    <w:p w:rsidR="009F6E3E" w:rsidRPr="00D80990" w:rsidRDefault="007F766F">
      <w:pPr>
        <w:jc w:val="both"/>
        <w:rPr>
          <w:rFonts w:ascii="Arial" w:hAnsi="Arial" w:cs="Arial"/>
          <w:sz w:val="22"/>
          <w:szCs w:val="22"/>
        </w:rPr>
      </w:pPr>
      <w:r w:rsidRPr="00D80990">
        <w:rPr>
          <w:rFonts w:ascii="Arial" w:hAnsi="Arial" w:cs="Arial"/>
          <w:sz w:val="22"/>
          <w:szCs w:val="22"/>
        </w:rPr>
        <w:t>La previsione delle entrate da titoli abitativi e relative sanzioni è la seguente:</w:t>
      </w:r>
    </w:p>
    <w:p w:rsidR="009F6E3E" w:rsidRPr="00D80990" w:rsidRDefault="009F6E3E" w:rsidP="006F3CC1">
      <w:pPr>
        <w:jc w:val="center"/>
        <w:rPr>
          <w:rFonts w:ascii="Arial" w:hAnsi="Arial" w:cs="Arial"/>
          <w:sz w:val="22"/>
          <w:szCs w:val="22"/>
        </w:rPr>
      </w:pPr>
    </w:p>
    <w:p w:rsidR="001401A6" w:rsidRDefault="001401A6" w:rsidP="006C582D">
      <w:pPr>
        <w:jc w:val="center"/>
        <w:rPr>
          <w:rFonts w:ascii="Arial" w:hAnsi="Arial" w:cs="Arial"/>
          <w:sz w:val="22"/>
          <w:szCs w:val="22"/>
        </w:rPr>
      </w:pPr>
    </w:p>
    <w:p w:rsidR="006C582D" w:rsidRPr="00D80990" w:rsidRDefault="006233A2" w:rsidP="006C582D">
      <w:pPr>
        <w:jc w:val="center"/>
        <w:rPr>
          <w:rFonts w:ascii="Arial" w:hAnsi="Arial" w:cs="Arial"/>
          <w:sz w:val="22"/>
          <w:szCs w:val="22"/>
        </w:rPr>
      </w:pPr>
      <w:r w:rsidRPr="00213664">
        <w:rPr>
          <w:rFonts w:ascii="Arial" w:hAnsi="Arial" w:cs="Arial"/>
          <w:sz w:val="22"/>
          <w:szCs w:val="22"/>
        </w:rPr>
        <w:object w:dxaOrig="6534" w:dyaOrig="4338">
          <v:shape id="_x0000_i1042" type="#_x0000_t75" style="width:324pt;height:3in" o:ole="">
            <v:imagedata r:id="rId52" o:title=""/>
          </v:shape>
          <o:OLEObject Type="Embed" ProgID="Excel.Sheet.12" ShapeID="_x0000_i1042" DrawAspect="Content" ObjectID="_1610733406" r:id="rId53"/>
        </w:object>
      </w:r>
    </w:p>
    <w:p w:rsidR="001401A6" w:rsidRDefault="001401A6" w:rsidP="00F238B4">
      <w:pPr>
        <w:jc w:val="both"/>
        <w:rPr>
          <w:rFonts w:ascii="Arial" w:hAnsi="Arial" w:cs="Arial"/>
          <w:sz w:val="22"/>
          <w:szCs w:val="22"/>
        </w:rPr>
      </w:pPr>
    </w:p>
    <w:p w:rsidR="00F238B4" w:rsidRPr="00231DB1" w:rsidRDefault="00F238B4" w:rsidP="00F238B4">
      <w:pPr>
        <w:jc w:val="both"/>
        <w:rPr>
          <w:rFonts w:ascii="Arial" w:hAnsi="Arial" w:cs="Arial"/>
          <w:sz w:val="22"/>
          <w:szCs w:val="22"/>
        </w:rPr>
      </w:pPr>
      <w:r w:rsidRPr="00231DB1">
        <w:rPr>
          <w:rFonts w:ascii="Arial" w:hAnsi="Arial" w:cs="Arial"/>
          <w:sz w:val="22"/>
          <w:szCs w:val="22"/>
        </w:rPr>
        <w:t>La legge n.232/2016 art. 1 comma 460, e smiha previsto che dal 1/1/2018 le entrate da titoli abitativi e relative sanzioni siano destinati esclusivamente e senza vincoli temporali a:</w:t>
      </w:r>
    </w:p>
    <w:p w:rsidR="00F238B4" w:rsidRPr="00231DB1" w:rsidRDefault="00F238B4" w:rsidP="00F238B4">
      <w:pPr>
        <w:pStyle w:val="Paragrafoelenco"/>
        <w:numPr>
          <w:ilvl w:val="0"/>
          <w:numId w:val="16"/>
        </w:numPr>
        <w:jc w:val="both"/>
        <w:rPr>
          <w:rFonts w:ascii="Arial" w:hAnsi="Arial" w:cs="Arial"/>
          <w:sz w:val="22"/>
          <w:szCs w:val="22"/>
        </w:rPr>
      </w:pPr>
      <w:r w:rsidRPr="00231DB1">
        <w:rPr>
          <w:rFonts w:ascii="Arial" w:hAnsi="Arial" w:cs="Arial"/>
          <w:sz w:val="22"/>
          <w:szCs w:val="22"/>
        </w:rPr>
        <w:t>realizzazione e manutenzione ordinaria e straordinaria delle opere di urbanizzazione primaria e secondaria;</w:t>
      </w:r>
    </w:p>
    <w:p w:rsidR="00F238B4" w:rsidRPr="00231DB1" w:rsidRDefault="00F238B4" w:rsidP="00F238B4">
      <w:pPr>
        <w:pStyle w:val="Paragrafoelenco"/>
        <w:numPr>
          <w:ilvl w:val="0"/>
          <w:numId w:val="16"/>
        </w:numPr>
        <w:jc w:val="both"/>
        <w:rPr>
          <w:rFonts w:ascii="Arial" w:hAnsi="Arial" w:cs="Arial"/>
          <w:sz w:val="22"/>
          <w:szCs w:val="22"/>
        </w:rPr>
      </w:pPr>
      <w:r w:rsidRPr="00231DB1">
        <w:rPr>
          <w:rFonts w:ascii="Arial" w:hAnsi="Arial" w:cs="Arial"/>
          <w:sz w:val="22"/>
          <w:szCs w:val="22"/>
        </w:rPr>
        <w:t>risanamento di complessi edilizi compresi nei centri storici e nelle periferie degradate;</w:t>
      </w:r>
    </w:p>
    <w:p w:rsidR="00F238B4" w:rsidRPr="00231DB1" w:rsidRDefault="00F238B4" w:rsidP="00F238B4">
      <w:pPr>
        <w:pStyle w:val="Paragrafoelenco"/>
        <w:numPr>
          <w:ilvl w:val="0"/>
          <w:numId w:val="16"/>
        </w:numPr>
        <w:jc w:val="both"/>
        <w:rPr>
          <w:rFonts w:ascii="Arial" w:hAnsi="Arial" w:cs="Arial"/>
          <w:sz w:val="22"/>
          <w:szCs w:val="22"/>
        </w:rPr>
      </w:pPr>
      <w:r w:rsidRPr="00231DB1">
        <w:rPr>
          <w:rFonts w:ascii="Arial" w:hAnsi="Arial" w:cs="Arial"/>
          <w:sz w:val="22"/>
          <w:szCs w:val="22"/>
        </w:rPr>
        <w:t>interventi di riuso e di rigenerazione;</w:t>
      </w:r>
    </w:p>
    <w:p w:rsidR="00F238B4" w:rsidRPr="00231DB1" w:rsidRDefault="00F238B4" w:rsidP="00F238B4">
      <w:pPr>
        <w:pStyle w:val="Paragrafoelenco"/>
        <w:numPr>
          <w:ilvl w:val="0"/>
          <w:numId w:val="16"/>
        </w:numPr>
        <w:jc w:val="both"/>
        <w:rPr>
          <w:rFonts w:ascii="Arial" w:hAnsi="Arial" w:cs="Arial"/>
          <w:sz w:val="22"/>
          <w:szCs w:val="22"/>
        </w:rPr>
      </w:pPr>
      <w:r w:rsidRPr="00231DB1">
        <w:rPr>
          <w:rFonts w:ascii="Arial" w:hAnsi="Arial" w:cs="Arial"/>
          <w:sz w:val="22"/>
          <w:szCs w:val="22"/>
        </w:rPr>
        <w:t>interventi di demolizione di costruzioni abusive;</w:t>
      </w:r>
    </w:p>
    <w:p w:rsidR="00F238B4" w:rsidRPr="00231DB1" w:rsidRDefault="00F238B4" w:rsidP="00F238B4">
      <w:pPr>
        <w:pStyle w:val="Paragrafoelenco"/>
        <w:numPr>
          <w:ilvl w:val="0"/>
          <w:numId w:val="16"/>
        </w:numPr>
        <w:jc w:val="both"/>
        <w:rPr>
          <w:rFonts w:ascii="Arial" w:hAnsi="Arial" w:cs="Arial"/>
          <w:sz w:val="22"/>
          <w:szCs w:val="22"/>
        </w:rPr>
      </w:pPr>
      <w:r w:rsidRPr="00231DB1">
        <w:rPr>
          <w:rFonts w:ascii="Arial" w:hAnsi="Arial" w:cs="Arial"/>
          <w:sz w:val="22"/>
          <w:szCs w:val="22"/>
        </w:rPr>
        <w:t>acquisizione e realizzazione di aree verdi destinate ad uso pubblico;</w:t>
      </w:r>
    </w:p>
    <w:p w:rsidR="00F238B4" w:rsidRPr="00231DB1" w:rsidRDefault="00F238B4" w:rsidP="00F238B4">
      <w:pPr>
        <w:pStyle w:val="Paragrafoelenco"/>
        <w:numPr>
          <w:ilvl w:val="0"/>
          <w:numId w:val="16"/>
        </w:numPr>
        <w:jc w:val="both"/>
        <w:rPr>
          <w:rFonts w:ascii="Arial" w:hAnsi="Arial" w:cs="Arial"/>
          <w:sz w:val="22"/>
          <w:szCs w:val="22"/>
        </w:rPr>
      </w:pPr>
      <w:r w:rsidRPr="00231DB1">
        <w:rPr>
          <w:rFonts w:ascii="Arial" w:hAnsi="Arial" w:cs="Arial"/>
          <w:sz w:val="22"/>
          <w:szCs w:val="22"/>
        </w:rPr>
        <w:lastRenderedPageBreak/>
        <w:t>interventi di tutela e riqualificazione dell’ambiente e del paesaggio, anche ai fini della prevenzione e della mitigazione del rischio idrogeologico e sismico e della tutela e riqualificazione del patrimonio rurale pubblico;</w:t>
      </w:r>
    </w:p>
    <w:p w:rsidR="00F238B4" w:rsidRPr="00231DB1" w:rsidRDefault="00F238B4" w:rsidP="00F238B4">
      <w:pPr>
        <w:pStyle w:val="Paragrafoelenco"/>
        <w:numPr>
          <w:ilvl w:val="0"/>
          <w:numId w:val="16"/>
        </w:numPr>
        <w:jc w:val="both"/>
        <w:rPr>
          <w:rFonts w:ascii="Arial" w:hAnsi="Arial" w:cs="Arial"/>
          <w:sz w:val="22"/>
          <w:szCs w:val="22"/>
        </w:rPr>
      </w:pPr>
      <w:r w:rsidRPr="00231DB1">
        <w:rPr>
          <w:rFonts w:ascii="Arial" w:hAnsi="Arial" w:cs="Arial"/>
          <w:sz w:val="22"/>
          <w:szCs w:val="22"/>
        </w:rPr>
        <w:t>interventi volti a favorire l’insediamento di attività di agricoltura in ambito urbano;</w:t>
      </w:r>
    </w:p>
    <w:p w:rsidR="00F238B4" w:rsidRPr="00231DB1" w:rsidRDefault="00F238B4" w:rsidP="00F238B4">
      <w:pPr>
        <w:pStyle w:val="Paragrafoelenco"/>
        <w:numPr>
          <w:ilvl w:val="0"/>
          <w:numId w:val="16"/>
        </w:numPr>
        <w:jc w:val="both"/>
        <w:rPr>
          <w:rFonts w:ascii="Arial" w:hAnsi="Arial" w:cs="Arial"/>
          <w:sz w:val="22"/>
          <w:szCs w:val="22"/>
        </w:rPr>
      </w:pPr>
      <w:r w:rsidRPr="00231DB1">
        <w:rPr>
          <w:rFonts w:ascii="Arial" w:hAnsi="Arial" w:cs="Arial"/>
          <w:sz w:val="22"/>
          <w:szCs w:val="22"/>
        </w:rPr>
        <w:t>spese di progettazione.</w:t>
      </w:r>
    </w:p>
    <w:p w:rsidR="00F238B4" w:rsidRPr="00231DB1" w:rsidRDefault="00F238B4" w:rsidP="00F238B4">
      <w:pPr>
        <w:numPr>
          <w:ilvl w:val="12"/>
          <w:numId w:val="0"/>
        </w:numPr>
        <w:rPr>
          <w:rFonts w:ascii="Arial" w:hAnsi="Arial" w:cs="Arial"/>
          <w:sz w:val="20"/>
        </w:rPr>
      </w:pPr>
    </w:p>
    <w:p w:rsidR="00F238B4" w:rsidRPr="001F0BEF" w:rsidRDefault="00F238B4" w:rsidP="00F238B4">
      <w:pPr>
        <w:numPr>
          <w:ilvl w:val="12"/>
          <w:numId w:val="0"/>
        </w:numPr>
        <w:jc w:val="both"/>
        <w:rPr>
          <w:rFonts w:ascii="Arial" w:hAnsi="Arial" w:cs="Arial"/>
          <w:sz w:val="22"/>
          <w:szCs w:val="22"/>
        </w:rPr>
      </w:pPr>
      <w:r w:rsidRPr="00231DB1">
        <w:rPr>
          <w:rFonts w:ascii="Arial" w:hAnsi="Arial" w:cs="Arial"/>
          <w:sz w:val="22"/>
          <w:szCs w:val="22"/>
        </w:rPr>
        <w:t>L'Organo di revisione ha verificato il rispetto dei vincoli di destinazione previsti dalla suddetta normativa.</w:t>
      </w:r>
    </w:p>
    <w:p w:rsidR="009F6E3E" w:rsidRDefault="009F6E3E">
      <w:pPr>
        <w:numPr>
          <w:ilvl w:val="12"/>
          <w:numId w:val="0"/>
        </w:numPr>
        <w:jc w:val="both"/>
        <w:rPr>
          <w:rFonts w:ascii="Arial" w:hAnsi="Arial" w:cs="Arial"/>
          <w:sz w:val="20"/>
        </w:rPr>
      </w:pPr>
    </w:p>
    <w:p w:rsidR="00832C47" w:rsidRDefault="00832C47" w:rsidP="00832C47">
      <w:pPr>
        <w:pStyle w:val="Titolo3"/>
      </w:pPr>
      <w:bookmarkStart w:id="53" w:name="_MON_1513327445"/>
      <w:bookmarkStart w:id="54" w:name="_Cosap_(Canone_occupazione"/>
      <w:bookmarkStart w:id="55" w:name="_SPESE_CORRENTI"/>
      <w:bookmarkStart w:id="56" w:name="_Toc535487615"/>
      <w:bookmarkStart w:id="57" w:name="_Toc346838832"/>
      <w:bookmarkEnd w:id="53"/>
      <w:bookmarkEnd w:id="54"/>
      <w:bookmarkEnd w:id="55"/>
      <w:r>
        <w:t>Sanzioni amministrative da codice della strada</w:t>
      </w:r>
      <w:bookmarkEnd w:id="56"/>
    </w:p>
    <w:p w:rsidR="00832C47" w:rsidRDefault="00832C47" w:rsidP="00832C47">
      <w:pPr>
        <w:numPr>
          <w:ilvl w:val="12"/>
          <w:numId w:val="0"/>
        </w:numPr>
        <w:spacing w:after="120"/>
        <w:jc w:val="both"/>
        <w:rPr>
          <w:rFonts w:ascii="Arial" w:hAnsi="Arial" w:cs="Arial"/>
          <w:sz w:val="22"/>
          <w:szCs w:val="22"/>
        </w:rPr>
      </w:pPr>
    </w:p>
    <w:p w:rsidR="00832C47" w:rsidRDefault="00832C47" w:rsidP="00832C47">
      <w:pPr>
        <w:numPr>
          <w:ilvl w:val="12"/>
          <w:numId w:val="0"/>
        </w:numPr>
        <w:spacing w:after="120"/>
        <w:jc w:val="both"/>
        <w:rPr>
          <w:rFonts w:ascii="Arial" w:hAnsi="Arial" w:cs="Arial"/>
          <w:sz w:val="22"/>
          <w:szCs w:val="22"/>
        </w:rPr>
      </w:pPr>
      <w:r>
        <w:rPr>
          <w:rFonts w:ascii="Arial" w:hAnsi="Arial" w:cs="Arial"/>
          <w:sz w:val="22"/>
          <w:szCs w:val="22"/>
        </w:rPr>
        <w:t>I proventi da sanzioni amministrative sono così previsti:</w:t>
      </w:r>
    </w:p>
    <w:p w:rsidR="00832C47" w:rsidRDefault="006233A2" w:rsidP="00832C47">
      <w:pPr>
        <w:numPr>
          <w:ilvl w:val="12"/>
          <w:numId w:val="0"/>
        </w:numPr>
        <w:spacing w:after="120"/>
        <w:jc w:val="center"/>
        <w:rPr>
          <w:rFonts w:ascii="Arial" w:hAnsi="Arial" w:cs="Arial"/>
          <w:sz w:val="22"/>
          <w:szCs w:val="22"/>
        </w:rPr>
      </w:pPr>
      <w:r w:rsidRPr="00213664">
        <w:rPr>
          <w:rFonts w:ascii="Arial" w:hAnsi="Arial" w:cs="Arial"/>
          <w:sz w:val="22"/>
          <w:szCs w:val="22"/>
        </w:rPr>
        <w:object w:dxaOrig="8401" w:dyaOrig="2919">
          <v:shape id="_x0000_i1043" type="#_x0000_t75" style="width:417.75pt;height:2in" o:ole="">
            <v:imagedata r:id="rId54" o:title=""/>
          </v:shape>
          <o:OLEObject Type="Embed" ProgID="Excel.Sheet.12" ShapeID="_x0000_i1043" DrawAspect="Content" ObjectID="_1610733407" r:id="rId55"/>
        </w:object>
      </w:r>
    </w:p>
    <w:p w:rsidR="00832C47" w:rsidRPr="00832C47" w:rsidRDefault="00832C47" w:rsidP="00832C47">
      <w:pPr>
        <w:numPr>
          <w:ilvl w:val="12"/>
          <w:numId w:val="0"/>
        </w:numPr>
        <w:spacing w:after="120"/>
        <w:jc w:val="both"/>
        <w:rPr>
          <w:rFonts w:ascii="Arial" w:hAnsi="Arial" w:cs="Arial"/>
          <w:sz w:val="22"/>
          <w:szCs w:val="22"/>
        </w:rPr>
      </w:pPr>
      <w:r>
        <w:rPr>
          <w:rFonts w:ascii="Arial" w:hAnsi="Arial" w:cs="Arial"/>
          <w:sz w:val="22"/>
          <w:szCs w:val="22"/>
        </w:rPr>
        <w:t xml:space="preserve">La quantificazione dello stesso appare congrua in relazione all’andamento storico delle riscossioni rispetto agli accertamenti. </w:t>
      </w:r>
      <w:r w:rsidRPr="00F238B4">
        <w:rPr>
          <w:rFonts w:ascii="Arial" w:hAnsi="Arial" w:cs="Arial"/>
          <w:sz w:val="22"/>
          <w:szCs w:val="22"/>
        </w:rPr>
        <w:t xml:space="preserve">L’organo di revisione prende atto che l’ente nella determinazione del FDCE </w:t>
      </w:r>
      <w:r w:rsidRPr="00F238B4">
        <w:rPr>
          <w:rFonts w:ascii="Arial" w:hAnsi="Arial" w:cs="Arial"/>
          <w:b/>
          <w:i/>
          <w:sz w:val="22"/>
          <w:szCs w:val="22"/>
        </w:rPr>
        <w:t>ha/non</w:t>
      </w:r>
      <w:r w:rsidRPr="00F238B4">
        <w:rPr>
          <w:rFonts w:ascii="Arial" w:hAnsi="Arial" w:cs="Arial"/>
          <w:sz w:val="22"/>
          <w:szCs w:val="22"/>
        </w:rPr>
        <w:t xml:space="preserve"> ha tenuto conto delle disposizioni recate dall’art. 4 del D.L. 23.10.2018 n. 119 (Stralcio dei debiti fino a mille euro affidati agli agenti della riscossione dal 2000 al 2010).</w:t>
      </w:r>
    </w:p>
    <w:p w:rsidR="00832C47" w:rsidRDefault="00832C47" w:rsidP="00832C47">
      <w:pPr>
        <w:numPr>
          <w:ilvl w:val="12"/>
          <w:numId w:val="0"/>
        </w:numPr>
        <w:spacing w:after="120"/>
        <w:jc w:val="both"/>
        <w:rPr>
          <w:rFonts w:ascii="Arial" w:hAnsi="Arial" w:cs="Arial"/>
          <w:sz w:val="22"/>
          <w:szCs w:val="22"/>
        </w:rPr>
      </w:pPr>
      <w:r>
        <w:rPr>
          <w:rFonts w:ascii="Arial" w:hAnsi="Arial" w:cs="Arial"/>
          <w:sz w:val="22"/>
          <w:szCs w:val="22"/>
        </w:rPr>
        <w:t>La somma da assoggettare a vincoli è così distinta:</w:t>
      </w:r>
    </w:p>
    <w:p w:rsidR="00832C47" w:rsidRDefault="00832C47" w:rsidP="00832C47">
      <w:pPr>
        <w:numPr>
          <w:ilvl w:val="12"/>
          <w:numId w:val="0"/>
        </w:numPr>
        <w:spacing w:after="120"/>
        <w:jc w:val="both"/>
        <w:rPr>
          <w:rFonts w:ascii="Arial" w:hAnsi="Arial" w:cs="Arial"/>
          <w:sz w:val="22"/>
          <w:szCs w:val="22"/>
        </w:rPr>
      </w:pPr>
      <w:r>
        <w:rPr>
          <w:rFonts w:ascii="Arial" w:hAnsi="Arial" w:cs="Arial"/>
          <w:sz w:val="22"/>
          <w:szCs w:val="22"/>
        </w:rPr>
        <w:t xml:space="preserve">- euro ……………. per sanzioni ex art. 208 comma 1 del codice della strada </w:t>
      </w:r>
      <w:r w:rsidRPr="00832C47">
        <w:rPr>
          <w:rFonts w:ascii="Arial" w:hAnsi="Arial" w:cs="Arial"/>
          <w:sz w:val="22"/>
          <w:szCs w:val="22"/>
        </w:rPr>
        <w:t>(D.Lgs 30.4.1992 n. 285)</w:t>
      </w:r>
      <w:r>
        <w:rPr>
          <w:rFonts w:ascii="Arial" w:hAnsi="Arial" w:cs="Arial"/>
          <w:sz w:val="22"/>
          <w:szCs w:val="22"/>
        </w:rPr>
        <w:t>;</w:t>
      </w:r>
    </w:p>
    <w:p w:rsidR="00832C47" w:rsidRDefault="00832C47" w:rsidP="00832C47">
      <w:pPr>
        <w:numPr>
          <w:ilvl w:val="12"/>
          <w:numId w:val="0"/>
        </w:numPr>
        <w:spacing w:after="120"/>
        <w:jc w:val="both"/>
        <w:rPr>
          <w:rFonts w:ascii="Arial" w:hAnsi="Arial" w:cs="Arial"/>
          <w:sz w:val="22"/>
          <w:szCs w:val="22"/>
        </w:rPr>
      </w:pPr>
      <w:r>
        <w:rPr>
          <w:rFonts w:ascii="Arial" w:hAnsi="Arial" w:cs="Arial"/>
          <w:sz w:val="22"/>
          <w:szCs w:val="22"/>
        </w:rPr>
        <w:t xml:space="preserve">- euro ……………. per sanzioni ex art.142, comma 12 </w:t>
      </w:r>
      <w:r w:rsidRPr="00832C47">
        <w:rPr>
          <w:rFonts w:ascii="Arial" w:hAnsi="Arial" w:cs="Arial"/>
          <w:sz w:val="22"/>
          <w:szCs w:val="22"/>
        </w:rPr>
        <w:t>bis</w:t>
      </w:r>
      <w:r>
        <w:rPr>
          <w:rFonts w:ascii="Arial" w:hAnsi="Arial" w:cs="Arial"/>
          <w:sz w:val="22"/>
          <w:szCs w:val="22"/>
        </w:rPr>
        <w:t xml:space="preserve"> del codice della strada </w:t>
      </w:r>
      <w:r w:rsidRPr="00832C47">
        <w:rPr>
          <w:rFonts w:ascii="Arial" w:hAnsi="Arial" w:cs="Arial"/>
          <w:sz w:val="22"/>
          <w:szCs w:val="22"/>
        </w:rPr>
        <w:t>(D.Lgs 30.4.1992 n. 285)</w:t>
      </w:r>
      <w:r>
        <w:rPr>
          <w:rFonts w:ascii="Arial" w:hAnsi="Arial" w:cs="Arial"/>
          <w:sz w:val="22"/>
          <w:szCs w:val="22"/>
        </w:rPr>
        <w:t>.</w:t>
      </w:r>
    </w:p>
    <w:p w:rsidR="00832C47" w:rsidRDefault="00832C47" w:rsidP="00832C47">
      <w:pPr>
        <w:numPr>
          <w:ilvl w:val="12"/>
          <w:numId w:val="0"/>
        </w:numPr>
        <w:spacing w:after="120"/>
        <w:jc w:val="both"/>
        <w:rPr>
          <w:rFonts w:ascii="Arial" w:hAnsi="Arial" w:cs="Arial"/>
          <w:sz w:val="22"/>
          <w:szCs w:val="22"/>
        </w:rPr>
      </w:pPr>
      <w:r>
        <w:rPr>
          <w:rFonts w:ascii="Arial" w:hAnsi="Arial" w:cs="Arial"/>
          <w:sz w:val="22"/>
          <w:szCs w:val="22"/>
        </w:rPr>
        <w:t xml:space="preserve">Con atto di Giunta  …… in data ……. la somma di euro …….. (previsione meno fondo) è stata destinata per il 50% negli interventi di spesa alle finalità di cui agli articoli 142 </w:t>
      </w:r>
      <w:r w:rsidRPr="00832C47">
        <w:rPr>
          <w:rFonts w:ascii="Arial" w:hAnsi="Arial" w:cs="Arial"/>
          <w:sz w:val="22"/>
          <w:szCs w:val="22"/>
        </w:rPr>
        <w:t>comma 12 ter</w:t>
      </w:r>
      <w:r>
        <w:rPr>
          <w:rFonts w:ascii="Arial" w:hAnsi="Arial" w:cs="Arial"/>
          <w:sz w:val="22"/>
          <w:szCs w:val="22"/>
        </w:rPr>
        <w:t xml:space="preserve"> e 208, comma 4 </w:t>
      </w:r>
      <w:r w:rsidRPr="00832C47">
        <w:rPr>
          <w:rFonts w:ascii="Arial" w:hAnsi="Arial" w:cs="Arial"/>
          <w:sz w:val="22"/>
          <w:szCs w:val="22"/>
        </w:rPr>
        <w:t>e comma 5 bis</w:t>
      </w:r>
      <w:r>
        <w:rPr>
          <w:rFonts w:ascii="Arial" w:hAnsi="Arial" w:cs="Arial"/>
          <w:sz w:val="22"/>
          <w:szCs w:val="22"/>
        </w:rPr>
        <w:t>, del codice della strada, come modificato dall’</w:t>
      </w:r>
      <w:r w:rsidRPr="00832C47">
        <w:rPr>
          <w:rFonts w:ascii="Arial" w:hAnsi="Arial" w:cs="Arial"/>
          <w:sz w:val="22"/>
          <w:szCs w:val="22"/>
        </w:rPr>
        <w:t>art. 40 della</w:t>
      </w:r>
      <w:r>
        <w:rPr>
          <w:rFonts w:ascii="Arial" w:hAnsi="Arial" w:cs="Arial"/>
          <w:sz w:val="22"/>
          <w:szCs w:val="22"/>
        </w:rPr>
        <w:t xml:space="preserve"> Legge n. 120 del 29/7/2010.</w:t>
      </w:r>
    </w:p>
    <w:p w:rsidR="00832C47" w:rsidRDefault="00832C47" w:rsidP="00832C47">
      <w:pPr>
        <w:numPr>
          <w:ilvl w:val="12"/>
          <w:numId w:val="0"/>
        </w:numPr>
        <w:spacing w:after="120"/>
        <w:jc w:val="both"/>
        <w:rPr>
          <w:rFonts w:ascii="Arial" w:hAnsi="Arial" w:cs="Arial"/>
          <w:sz w:val="22"/>
          <w:szCs w:val="22"/>
        </w:rPr>
      </w:pPr>
      <w:r>
        <w:rPr>
          <w:rFonts w:ascii="Arial" w:hAnsi="Arial" w:cs="Arial"/>
          <w:sz w:val="22"/>
          <w:szCs w:val="22"/>
        </w:rPr>
        <w:t>La Giunta ha destinato euro ……………….. alla previdenza ed assistenza del personale Polizia Municipale.</w:t>
      </w:r>
    </w:p>
    <w:p w:rsidR="00832C47" w:rsidRDefault="00832C47" w:rsidP="00832C47">
      <w:pPr>
        <w:numPr>
          <w:ilvl w:val="12"/>
          <w:numId w:val="0"/>
        </w:numPr>
        <w:spacing w:after="120"/>
        <w:jc w:val="both"/>
        <w:rPr>
          <w:rFonts w:ascii="Arial" w:hAnsi="Arial" w:cs="Arial"/>
          <w:sz w:val="22"/>
          <w:szCs w:val="22"/>
        </w:rPr>
      </w:pPr>
      <w:r>
        <w:rPr>
          <w:rFonts w:ascii="Arial" w:hAnsi="Arial" w:cs="Arial"/>
          <w:sz w:val="22"/>
          <w:szCs w:val="22"/>
        </w:rPr>
        <w:t>La quota vincolata è destinata:</w:t>
      </w:r>
    </w:p>
    <w:p w:rsidR="00832C47" w:rsidRDefault="00832C47" w:rsidP="00832C47">
      <w:pPr>
        <w:numPr>
          <w:ilvl w:val="12"/>
          <w:numId w:val="0"/>
        </w:numPr>
        <w:spacing w:after="120"/>
        <w:jc w:val="both"/>
        <w:rPr>
          <w:rFonts w:ascii="Arial" w:hAnsi="Arial" w:cs="Arial"/>
          <w:sz w:val="22"/>
          <w:szCs w:val="22"/>
        </w:rPr>
      </w:pPr>
      <w:r>
        <w:rPr>
          <w:rFonts w:ascii="Arial" w:hAnsi="Arial" w:cs="Arial"/>
          <w:sz w:val="22"/>
          <w:szCs w:val="22"/>
        </w:rPr>
        <w:t xml:space="preserve"> - al titolo 1 spesa corrente per euro ………….. </w:t>
      </w:r>
    </w:p>
    <w:p w:rsidR="00832C47" w:rsidRDefault="00832C47" w:rsidP="00832C47">
      <w:pPr>
        <w:numPr>
          <w:ilvl w:val="12"/>
          <w:numId w:val="0"/>
        </w:numPr>
        <w:spacing w:after="120"/>
        <w:jc w:val="both"/>
        <w:rPr>
          <w:rFonts w:ascii="Arial" w:hAnsi="Arial" w:cs="Arial"/>
          <w:sz w:val="22"/>
          <w:szCs w:val="22"/>
        </w:rPr>
      </w:pPr>
      <w:r>
        <w:rPr>
          <w:rFonts w:ascii="Arial" w:hAnsi="Arial" w:cs="Arial"/>
          <w:sz w:val="22"/>
          <w:szCs w:val="22"/>
        </w:rPr>
        <w:t xml:space="preserve"> - al titolo 2 spesa in conto capitale per euro…………...</w:t>
      </w:r>
    </w:p>
    <w:p w:rsidR="00832C47" w:rsidRDefault="00832C47" w:rsidP="00832C47">
      <w:pPr>
        <w:numPr>
          <w:ilvl w:val="12"/>
          <w:numId w:val="0"/>
        </w:numPr>
        <w:spacing w:after="120"/>
        <w:jc w:val="both"/>
        <w:rPr>
          <w:rFonts w:ascii="Arial" w:hAnsi="Arial" w:cs="Arial"/>
          <w:sz w:val="22"/>
          <w:szCs w:val="22"/>
        </w:rPr>
      </w:pPr>
    </w:p>
    <w:p w:rsidR="00832C47" w:rsidRDefault="00832C47" w:rsidP="00832C47">
      <w:pPr>
        <w:numPr>
          <w:ilvl w:val="12"/>
          <w:numId w:val="0"/>
        </w:numPr>
        <w:spacing w:after="120"/>
        <w:jc w:val="both"/>
        <w:rPr>
          <w:rFonts w:ascii="Arial" w:hAnsi="Arial" w:cs="Arial"/>
          <w:sz w:val="22"/>
          <w:szCs w:val="22"/>
        </w:rPr>
      </w:pPr>
      <w:r w:rsidRPr="00832C47">
        <w:rPr>
          <w:rFonts w:ascii="Arial" w:hAnsi="Arial" w:cs="Arial"/>
          <w:sz w:val="22"/>
          <w:szCs w:val="22"/>
        </w:rPr>
        <w:t>L’organo di revisione ha verificato che l’ente ha/non ha correttamente suddiviso nel bilancio le risorse relative alle sanzioni amministrative da codice della strada sulla base delle indicazioni fornite con il D.M</w:t>
      </w:r>
      <w:r w:rsidR="001C1946">
        <w:rPr>
          <w:rFonts w:ascii="Arial" w:hAnsi="Arial" w:cs="Arial"/>
          <w:sz w:val="22"/>
          <w:szCs w:val="22"/>
        </w:rPr>
        <w:t>.</w:t>
      </w:r>
      <w:r w:rsidRPr="00832C47">
        <w:rPr>
          <w:rFonts w:ascii="Arial" w:hAnsi="Arial" w:cs="Arial"/>
          <w:sz w:val="22"/>
          <w:szCs w:val="22"/>
        </w:rPr>
        <w:t xml:space="preserve"> 29 agosto 2018. </w:t>
      </w:r>
    </w:p>
    <w:p w:rsidR="00480DAF" w:rsidRDefault="00480DAF" w:rsidP="00832C47">
      <w:pPr>
        <w:numPr>
          <w:ilvl w:val="12"/>
          <w:numId w:val="0"/>
        </w:numPr>
        <w:spacing w:after="120"/>
        <w:jc w:val="both"/>
        <w:rPr>
          <w:rFonts w:ascii="Arial" w:hAnsi="Arial" w:cs="Arial"/>
          <w:sz w:val="22"/>
          <w:szCs w:val="22"/>
        </w:rPr>
      </w:pPr>
    </w:p>
    <w:p w:rsidR="00480DAF" w:rsidRDefault="00480DAF" w:rsidP="00480DAF">
      <w:pPr>
        <w:jc w:val="both"/>
        <w:rPr>
          <w:rFonts w:ascii="Arial" w:hAnsi="Arial" w:cs="Arial"/>
          <w:i/>
          <w:color w:val="00B0F0"/>
          <w:sz w:val="22"/>
          <w:szCs w:val="22"/>
        </w:rPr>
      </w:pPr>
      <w:r w:rsidRPr="008B1A79">
        <w:rPr>
          <w:rFonts w:ascii="Arial" w:hAnsi="Arial" w:cs="Arial"/>
          <w:i/>
          <w:color w:val="00B0F0"/>
          <w:sz w:val="22"/>
          <w:szCs w:val="22"/>
        </w:rPr>
        <w:t xml:space="preserve">La Corte dei Conti – Sezione delle Autonomie con deliberazione n. 1/SEZAUT/2019/QMIG del 21.12.2018 ha enunciato il seguente principio di diritto: “ai fini della corretta quantificazione della </w:t>
      </w:r>
      <w:r w:rsidRPr="008B1A79">
        <w:rPr>
          <w:rFonts w:ascii="Arial" w:hAnsi="Arial" w:cs="Arial"/>
          <w:i/>
          <w:color w:val="00B0F0"/>
          <w:sz w:val="22"/>
          <w:szCs w:val="22"/>
        </w:rPr>
        <w:lastRenderedPageBreak/>
        <w:t>quota del 50 % dei proventi derivanti dall’accertamento delle violazioni dei limiti massimi di velocità, di cui all’art. 142, comma 12-bis, del d.lgs. n. 285/1992, attribuita all’ente da cui dipende l’organo accertatore, non devono essere detratte le spese per il personale impiegato nella specifica attività di controllo e di accertamento delle violazioni, le spese connesse al rilevamento, all’accertamento e alla notifica delle stese e quelle successive relative alla riscossione della sanzione”.</w:t>
      </w:r>
    </w:p>
    <w:p w:rsidR="008B1A79" w:rsidRPr="008B1A79" w:rsidRDefault="008B1A79" w:rsidP="00480DAF">
      <w:pPr>
        <w:jc w:val="both"/>
        <w:rPr>
          <w:rFonts w:ascii="Arial" w:hAnsi="Arial" w:cs="Arial"/>
          <w:i/>
          <w:color w:val="00B0F0"/>
          <w:sz w:val="22"/>
          <w:szCs w:val="22"/>
        </w:rPr>
      </w:pPr>
    </w:p>
    <w:p w:rsidR="00832C47" w:rsidRDefault="00832C47" w:rsidP="00832C47">
      <w:pPr>
        <w:pStyle w:val="Titolo3"/>
      </w:pPr>
      <w:bookmarkStart w:id="58" w:name="_Toc535487616"/>
      <w:r>
        <w:t>Proventi dei beni dell’ente</w:t>
      </w:r>
      <w:bookmarkEnd w:id="58"/>
    </w:p>
    <w:p w:rsidR="00832C47" w:rsidRDefault="00832C47" w:rsidP="00832C47">
      <w:pPr>
        <w:numPr>
          <w:ilvl w:val="12"/>
          <w:numId w:val="0"/>
        </w:numPr>
        <w:spacing w:after="120"/>
        <w:jc w:val="both"/>
        <w:rPr>
          <w:rFonts w:ascii="Arial" w:hAnsi="Arial" w:cs="Arial"/>
          <w:sz w:val="22"/>
          <w:szCs w:val="22"/>
        </w:rPr>
      </w:pPr>
    </w:p>
    <w:p w:rsidR="00832C47" w:rsidRDefault="00832C47" w:rsidP="00832C47">
      <w:pPr>
        <w:numPr>
          <w:ilvl w:val="12"/>
          <w:numId w:val="0"/>
        </w:numPr>
        <w:spacing w:after="120"/>
        <w:jc w:val="both"/>
        <w:rPr>
          <w:rFonts w:ascii="Arial" w:hAnsi="Arial" w:cs="Arial"/>
          <w:sz w:val="22"/>
          <w:szCs w:val="22"/>
        </w:rPr>
      </w:pPr>
      <w:r>
        <w:rPr>
          <w:rFonts w:ascii="Arial" w:hAnsi="Arial" w:cs="Arial"/>
          <w:sz w:val="22"/>
          <w:szCs w:val="22"/>
        </w:rPr>
        <w:t>I proventi dei beni dell’ente per locazioni, fitti attivi e canoni patrimoniali sono così previsti:</w:t>
      </w:r>
    </w:p>
    <w:p w:rsidR="00832C47" w:rsidRDefault="000E4A5C" w:rsidP="007839D7">
      <w:pPr>
        <w:numPr>
          <w:ilvl w:val="12"/>
          <w:numId w:val="0"/>
        </w:numPr>
        <w:spacing w:after="120"/>
        <w:jc w:val="center"/>
        <w:rPr>
          <w:rFonts w:ascii="Arial" w:hAnsi="Arial" w:cs="Arial"/>
          <w:sz w:val="22"/>
          <w:szCs w:val="22"/>
        </w:rPr>
      </w:pPr>
      <w:r w:rsidRPr="00213664">
        <w:rPr>
          <w:rFonts w:ascii="Arial" w:hAnsi="Arial" w:cs="Arial"/>
          <w:sz w:val="22"/>
          <w:szCs w:val="22"/>
        </w:rPr>
        <w:object w:dxaOrig="8401" w:dyaOrig="2049">
          <v:shape id="_x0000_i1044" type="#_x0000_t75" style="width:417.75pt;height:100.5pt" o:ole="">
            <v:imagedata r:id="rId56" o:title=""/>
          </v:shape>
          <o:OLEObject Type="Embed" ProgID="Excel.Sheet.12" ShapeID="_x0000_i1044" DrawAspect="Content" ObjectID="_1610733408" r:id="rId57"/>
        </w:object>
      </w:r>
    </w:p>
    <w:p w:rsidR="00832C47" w:rsidRDefault="00832C47" w:rsidP="00832C47">
      <w:pPr>
        <w:numPr>
          <w:ilvl w:val="12"/>
          <w:numId w:val="0"/>
        </w:numPr>
        <w:spacing w:after="120"/>
        <w:jc w:val="both"/>
        <w:rPr>
          <w:rFonts w:ascii="Arial" w:hAnsi="Arial" w:cs="Arial"/>
          <w:sz w:val="22"/>
          <w:szCs w:val="22"/>
        </w:rPr>
      </w:pPr>
      <w:r>
        <w:rPr>
          <w:rFonts w:ascii="Arial" w:hAnsi="Arial" w:cs="Arial"/>
          <w:sz w:val="22"/>
          <w:szCs w:val="22"/>
        </w:rPr>
        <w:t>La quantificazione dello stesso appare congrua in relazione all’andamento storico delle riscossioni rispetto agli accertamenti.</w:t>
      </w:r>
    </w:p>
    <w:p w:rsidR="00832C47" w:rsidRDefault="00832C47" w:rsidP="00832C47">
      <w:pPr>
        <w:numPr>
          <w:ilvl w:val="12"/>
          <w:numId w:val="0"/>
        </w:numPr>
        <w:spacing w:after="120"/>
        <w:jc w:val="both"/>
        <w:rPr>
          <w:rFonts w:ascii="Arial" w:hAnsi="Arial" w:cs="Arial"/>
          <w:sz w:val="22"/>
          <w:szCs w:val="22"/>
        </w:rPr>
      </w:pPr>
    </w:p>
    <w:p w:rsidR="00832C47" w:rsidRDefault="00832C47" w:rsidP="00832C47">
      <w:pPr>
        <w:pStyle w:val="Titolo3"/>
      </w:pPr>
      <w:bookmarkStart w:id="59" w:name="_Toc535487617"/>
      <w:r>
        <w:t>Proventi dei servizi pubblici</w:t>
      </w:r>
      <w:bookmarkEnd w:id="59"/>
    </w:p>
    <w:p w:rsidR="00832C47" w:rsidRDefault="00832C47" w:rsidP="00832C47">
      <w:pPr>
        <w:rPr>
          <w:rFonts w:ascii="Arial" w:hAnsi="Arial" w:cs="Arial"/>
          <w:b/>
          <w:u w:val="single"/>
        </w:rPr>
      </w:pPr>
    </w:p>
    <w:p w:rsidR="00832C47" w:rsidRDefault="00832C47" w:rsidP="00832C47">
      <w:pPr>
        <w:pStyle w:val="Corpodeltesto21"/>
        <w:numPr>
          <w:ilvl w:val="12"/>
          <w:numId w:val="0"/>
        </w:numPr>
        <w:rPr>
          <w:rFonts w:cs="Arial"/>
          <w:b w:val="0"/>
          <w:i w:val="0"/>
          <w:sz w:val="22"/>
          <w:szCs w:val="22"/>
        </w:rPr>
      </w:pPr>
      <w:r>
        <w:rPr>
          <w:rFonts w:cs="Arial"/>
          <w:b w:val="0"/>
          <w:i w:val="0"/>
          <w:sz w:val="22"/>
          <w:szCs w:val="22"/>
        </w:rPr>
        <w:t>Il dettaglio delle previsioni di proventi e costi dei servizi dell’ente dei servizi a domanda individuale è il seguente:</w:t>
      </w:r>
    </w:p>
    <w:p w:rsidR="00832C47" w:rsidRDefault="000E4A5C" w:rsidP="00832C47">
      <w:pPr>
        <w:pStyle w:val="Corpodeltesto21"/>
        <w:numPr>
          <w:ilvl w:val="12"/>
          <w:numId w:val="0"/>
        </w:numPr>
        <w:jc w:val="center"/>
        <w:rPr>
          <w:rFonts w:cs="Arial"/>
          <w:b w:val="0"/>
          <w:i w:val="0"/>
          <w:sz w:val="22"/>
          <w:szCs w:val="22"/>
        </w:rPr>
      </w:pPr>
      <w:r w:rsidRPr="00213664">
        <w:rPr>
          <w:rFonts w:cs="Arial"/>
          <w:sz w:val="22"/>
          <w:szCs w:val="22"/>
        </w:rPr>
        <w:object w:dxaOrig="7055" w:dyaOrig="4996">
          <v:shape id="_x0000_i1045" type="#_x0000_t75" style="width:352.5pt;height:252pt" o:ole="">
            <v:imagedata r:id="rId58" o:title=""/>
          </v:shape>
          <o:OLEObject Type="Embed" ProgID="Excel.Sheet.12" ShapeID="_x0000_i1045" DrawAspect="Content" ObjectID="_1610733409" r:id="rId59"/>
        </w:object>
      </w:r>
    </w:p>
    <w:p w:rsidR="00832C47" w:rsidRDefault="00832C47" w:rsidP="00832C47">
      <w:pPr>
        <w:numPr>
          <w:ilvl w:val="12"/>
          <w:numId w:val="0"/>
        </w:numPr>
        <w:jc w:val="both"/>
        <w:rPr>
          <w:rFonts w:ascii="Arial" w:hAnsi="Arial" w:cs="Arial"/>
          <w:sz w:val="20"/>
        </w:rPr>
      </w:pPr>
    </w:p>
    <w:p w:rsidR="008B1A79" w:rsidRDefault="008B1A79" w:rsidP="00832C47">
      <w:pPr>
        <w:jc w:val="both"/>
        <w:rPr>
          <w:rFonts w:ascii="Arial" w:hAnsi="Arial" w:cs="Arial"/>
          <w:sz w:val="22"/>
          <w:szCs w:val="22"/>
        </w:rPr>
      </w:pPr>
    </w:p>
    <w:p w:rsidR="008B1A79" w:rsidRDefault="008B1A79" w:rsidP="00832C47">
      <w:pPr>
        <w:jc w:val="both"/>
        <w:rPr>
          <w:rFonts w:ascii="Arial" w:hAnsi="Arial" w:cs="Arial"/>
          <w:sz w:val="22"/>
          <w:szCs w:val="22"/>
        </w:rPr>
      </w:pPr>
    </w:p>
    <w:p w:rsidR="008B1A79" w:rsidRDefault="008B1A79" w:rsidP="00832C47">
      <w:pPr>
        <w:jc w:val="both"/>
        <w:rPr>
          <w:rFonts w:ascii="Arial" w:hAnsi="Arial" w:cs="Arial"/>
          <w:sz w:val="22"/>
          <w:szCs w:val="22"/>
        </w:rPr>
      </w:pPr>
    </w:p>
    <w:p w:rsidR="008B1A79" w:rsidRDefault="008B1A79" w:rsidP="00832C47">
      <w:pPr>
        <w:jc w:val="both"/>
        <w:rPr>
          <w:rFonts w:ascii="Arial" w:hAnsi="Arial" w:cs="Arial"/>
          <w:sz w:val="22"/>
          <w:szCs w:val="22"/>
        </w:rPr>
      </w:pPr>
    </w:p>
    <w:p w:rsidR="008B1A79" w:rsidRDefault="008B1A79">
      <w:pPr>
        <w:rPr>
          <w:rFonts w:ascii="Arial" w:hAnsi="Arial" w:cs="Arial"/>
          <w:sz w:val="22"/>
          <w:szCs w:val="22"/>
        </w:rPr>
      </w:pPr>
    </w:p>
    <w:p w:rsidR="008B1A79" w:rsidRDefault="008B1A79" w:rsidP="00832C47">
      <w:pPr>
        <w:jc w:val="both"/>
        <w:rPr>
          <w:rFonts w:ascii="Arial" w:hAnsi="Arial" w:cs="Arial"/>
          <w:sz w:val="22"/>
          <w:szCs w:val="22"/>
        </w:rPr>
      </w:pPr>
    </w:p>
    <w:p w:rsidR="008B1A79" w:rsidRDefault="008B1A79" w:rsidP="00832C47">
      <w:pPr>
        <w:jc w:val="both"/>
        <w:rPr>
          <w:rFonts w:ascii="Arial" w:hAnsi="Arial" w:cs="Arial"/>
          <w:sz w:val="22"/>
          <w:szCs w:val="22"/>
        </w:rPr>
      </w:pPr>
    </w:p>
    <w:p w:rsidR="00832C47" w:rsidRDefault="00832C47" w:rsidP="00832C47">
      <w:pPr>
        <w:jc w:val="both"/>
        <w:rPr>
          <w:rFonts w:ascii="Arial" w:hAnsi="Arial" w:cs="Arial"/>
          <w:sz w:val="22"/>
          <w:szCs w:val="22"/>
        </w:rPr>
      </w:pPr>
      <w:r>
        <w:rPr>
          <w:rFonts w:ascii="Arial" w:hAnsi="Arial" w:cs="Arial"/>
          <w:sz w:val="22"/>
          <w:szCs w:val="22"/>
        </w:rPr>
        <w:t>Il Fondo Crediti di Dubbia Esigibilità (FCDE) in corrispondenza delle previsioni di cui sopra è così quantificato:</w:t>
      </w:r>
    </w:p>
    <w:p w:rsidR="00832C47" w:rsidRDefault="00832C47" w:rsidP="00832C47">
      <w:pPr>
        <w:jc w:val="both"/>
        <w:rPr>
          <w:rFonts w:ascii="Arial" w:hAnsi="Arial" w:cs="Arial"/>
          <w:sz w:val="22"/>
          <w:szCs w:val="22"/>
        </w:rPr>
      </w:pPr>
    </w:p>
    <w:p w:rsidR="00832C47" w:rsidRDefault="000E4A5C" w:rsidP="00832C47">
      <w:pPr>
        <w:jc w:val="center"/>
        <w:rPr>
          <w:rFonts w:ascii="Arial" w:hAnsi="Arial" w:cs="Arial"/>
          <w:b/>
          <w:u w:val="single"/>
        </w:rPr>
      </w:pPr>
      <w:r w:rsidRPr="00213664">
        <w:rPr>
          <w:rFonts w:cs="Arial"/>
          <w:sz w:val="22"/>
          <w:szCs w:val="22"/>
        </w:rPr>
        <w:object w:dxaOrig="11070" w:dyaOrig="4795">
          <v:shape id="_x0000_i1046" type="#_x0000_t75" style="width:483pt;height:208.5pt" o:ole="">
            <v:imagedata r:id="rId60" o:title=""/>
          </v:shape>
          <o:OLEObject Type="Embed" ProgID="Excel.Sheet.12" ShapeID="_x0000_i1046" DrawAspect="Content" ObjectID="_1610733410" r:id="rId61"/>
        </w:object>
      </w:r>
    </w:p>
    <w:p w:rsidR="00832C47" w:rsidRDefault="00832C47" w:rsidP="00832C47">
      <w:pPr>
        <w:rPr>
          <w:rFonts w:ascii="Arial" w:hAnsi="Arial" w:cs="Arial"/>
          <w:b/>
          <w:u w:val="single"/>
        </w:rPr>
      </w:pPr>
      <w:r>
        <w:rPr>
          <w:rFonts w:ascii="Arial" w:hAnsi="Arial" w:cs="Arial"/>
          <w:sz w:val="22"/>
          <w:szCs w:val="22"/>
        </w:rPr>
        <w:t>La quantificazione dello stesso appare congrua in relazione all’andamento storico delle riscossioni rispetto agli accertamenti.</w:t>
      </w:r>
    </w:p>
    <w:p w:rsidR="00832C47" w:rsidRDefault="00832C47" w:rsidP="00832C47">
      <w:pPr>
        <w:rPr>
          <w:rFonts w:ascii="Arial" w:hAnsi="Arial" w:cs="Arial"/>
          <w:b/>
          <w:u w:val="single"/>
        </w:rPr>
      </w:pPr>
    </w:p>
    <w:p w:rsidR="00832C47" w:rsidRDefault="00832C47" w:rsidP="00832C47">
      <w:pPr>
        <w:numPr>
          <w:ilvl w:val="12"/>
          <w:numId w:val="0"/>
        </w:numPr>
        <w:jc w:val="both"/>
        <w:rPr>
          <w:rFonts w:ascii="Arial" w:hAnsi="Arial" w:cs="Arial"/>
          <w:sz w:val="22"/>
          <w:szCs w:val="22"/>
        </w:rPr>
      </w:pPr>
      <w:r>
        <w:rPr>
          <w:rFonts w:ascii="Arial" w:hAnsi="Arial" w:cs="Arial"/>
          <w:sz w:val="22"/>
          <w:szCs w:val="22"/>
        </w:rPr>
        <w:t>L’organo esecutivo con deliberazione n. ……. del ………., allegata al  bilancio, ha determinato la percentuale complessiva di copertura dei servizi a domanda individuale nella misura del …. %.</w:t>
      </w:r>
    </w:p>
    <w:p w:rsidR="00832C47" w:rsidRDefault="00832C47" w:rsidP="00832C47">
      <w:pPr>
        <w:jc w:val="both"/>
        <w:rPr>
          <w:rFonts w:ascii="Arial" w:hAnsi="Arial" w:cs="Arial"/>
          <w:sz w:val="22"/>
          <w:szCs w:val="22"/>
        </w:rPr>
      </w:pPr>
      <w:r>
        <w:rPr>
          <w:rFonts w:ascii="Arial" w:hAnsi="Arial" w:cs="Arial"/>
          <w:sz w:val="22"/>
          <w:szCs w:val="22"/>
        </w:rPr>
        <w:t>Sulla base dei dati di cui sopra e tenuto conto del dato storico sulla parziale esigibilità delle rette e contribuzione per i servizi pubblici a domanda è previsto nella spesa un fondo svalutazione crediti di euro ……</w:t>
      </w:r>
    </w:p>
    <w:p w:rsidR="00832C47" w:rsidRDefault="00832C47" w:rsidP="00832C47">
      <w:pPr>
        <w:numPr>
          <w:ilvl w:val="12"/>
          <w:numId w:val="0"/>
        </w:numPr>
        <w:jc w:val="both"/>
        <w:rPr>
          <w:rFonts w:ascii="Arial" w:hAnsi="Arial" w:cs="Arial"/>
          <w:sz w:val="22"/>
          <w:szCs w:val="22"/>
        </w:rPr>
      </w:pPr>
    </w:p>
    <w:p w:rsidR="00832C47" w:rsidRDefault="00832C47" w:rsidP="00832C47">
      <w:pPr>
        <w:numPr>
          <w:ilvl w:val="12"/>
          <w:numId w:val="0"/>
        </w:numPr>
        <w:jc w:val="both"/>
        <w:rPr>
          <w:rFonts w:ascii="Arial" w:hAnsi="Arial" w:cs="Arial"/>
          <w:sz w:val="22"/>
          <w:szCs w:val="22"/>
        </w:rPr>
      </w:pPr>
      <w:r>
        <w:rPr>
          <w:rFonts w:ascii="Arial" w:hAnsi="Arial" w:cs="Arial"/>
          <w:sz w:val="22"/>
          <w:szCs w:val="22"/>
        </w:rPr>
        <w:t>In merito si osserva:  …………………………..</w:t>
      </w:r>
    </w:p>
    <w:p w:rsidR="00832C47" w:rsidRDefault="00832C47" w:rsidP="00832C47">
      <w:pPr>
        <w:numPr>
          <w:ilvl w:val="12"/>
          <w:numId w:val="0"/>
        </w:numPr>
        <w:jc w:val="both"/>
        <w:rPr>
          <w:rFonts w:ascii="Arial" w:hAnsi="Arial" w:cs="Arial"/>
          <w:b/>
          <w:color w:val="FF0000"/>
          <w:sz w:val="22"/>
          <w:szCs w:val="22"/>
        </w:rPr>
      </w:pPr>
    </w:p>
    <w:p w:rsidR="00832C47" w:rsidRDefault="00832C47" w:rsidP="00832C47">
      <w:pPr>
        <w:numPr>
          <w:ilvl w:val="12"/>
          <w:numId w:val="0"/>
        </w:numPr>
        <w:jc w:val="both"/>
        <w:rPr>
          <w:rFonts w:ascii="Arial" w:hAnsi="Arial" w:cs="Arial"/>
          <w:sz w:val="22"/>
          <w:szCs w:val="22"/>
        </w:rPr>
      </w:pPr>
      <w:r>
        <w:rPr>
          <w:rFonts w:ascii="Arial" w:hAnsi="Arial" w:cs="Arial"/>
          <w:sz w:val="22"/>
          <w:szCs w:val="22"/>
        </w:rPr>
        <w:t xml:space="preserve">L’organo di revisione prende atto che l’ente </w:t>
      </w:r>
      <w:r>
        <w:rPr>
          <w:rFonts w:ascii="Arial" w:hAnsi="Arial" w:cs="Arial"/>
          <w:b/>
          <w:i/>
          <w:sz w:val="22"/>
          <w:szCs w:val="22"/>
        </w:rPr>
        <w:t>ha/non ha</w:t>
      </w:r>
      <w:r>
        <w:rPr>
          <w:rFonts w:ascii="Arial" w:hAnsi="Arial" w:cs="Arial"/>
          <w:sz w:val="22"/>
          <w:szCs w:val="22"/>
        </w:rPr>
        <w:t xml:space="preserve"> provveduto ad adeguare le seguenti tariffe:…………</w:t>
      </w: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rsidP="00832C47">
      <w:pPr>
        <w:numPr>
          <w:ilvl w:val="12"/>
          <w:numId w:val="0"/>
        </w:numPr>
        <w:jc w:val="both"/>
        <w:rPr>
          <w:rFonts w:ascii="Arial" w:hAnsi="Arial" w:cs="Arial"/>
          <w:sz w:val="22"/>
          <w:szCs w:val="22"/>
        </w:rPr>
      </w:pPr>
    </w:p>
    <w:p w:rsidR="008B1A79" w:rsidRDefault="008B1A79">
      <w:pPr>
        <w:rPr>
          <w:rFonts w:ascii="Arial" w:hAnsi="Arial" w:cs="Arial"/>
          <w:sz w:val="22"/>
          <w:szCs w:val="22"/>
        </w:rPr>
      </w:pPr>
      <w:r>
        <w:rPr>
          <w:rFonts w:ascii="Arial" w:hAnsi="Arial" w:cs="Arial"/>
          <w:sz w:val="22"/>
          <w:szCs w:val="22"/>
        </w:rPr>
        <w:br w:type="page"/>
      </w:r>
    </w:p>
    <w:p w:rsidR="009F6E3E" w:rsidRPr="00D80990" w:rsidRDefault="007F766F">
      <w:pPr>
        <w:pStyle w:val="Titolo2"/>
      </w:pPr>
      <w:bookmarkStart w:id="60" w:name="_Toc535487618"/>
      <w:r w:rsidRPr="00D80990">
        <w:lastRenderedPageBreak/>
        <w:t>B) SPESE PER TITOLI E MACROAGGREGATI</w:t>
      </w:r>
      <w:bookmarkEnd w:id="57"/>
      <w:bookmarkEnd w:id="60"/>
    </w:p>
    <w:p w:rsidR="009F6E3E" w:rsidRPr="00D80990" w:rsidRDefault="009F6E3E">
      <w:pPr>
        <w:rPr>
          <w:rFonts w:ascii="Arial" w:hAnsi="Arial" w:cs="Arial"/>
          <w:sz w:val="22"/>
          <w:szCs w:val="22"/>
        </w:rPr>
      </w:pPr>
    </w:p>
    <w:p w:rsidR="009F6E3E" w:rsidRPr="00D80990" w:rsidRDefault="007F766F">
      <w:pPr>
        <w:jc w:val="both"/>
        <w:rPr>
          <w:rFonts w:ascii="Arial" w:hAnsi="Arial" w:cs="Arial"/>
          <w:sz w:val="22"/>
          <w:szCs w:val="22"/>
        </w:rPr>
      </w:pPr>
      <w:r w:rsidRPr="00D80990">
        <w:rPr>
          <w:rFonts w:ascii="Arial" w:hAnsi="Arial" w:cs="Arial"/>
          <w:sz w:val="22"/>
          <w:szCs w:val="22"/>
        </w:rPr>
        <w:t>L</w:t>
      </w:r>
      <w:r w:rsidR="00D80990">
        <w:rPr>
          <w:rFonts w:ascii="Arial" w:hAnsi="Arial" w:cs="Arial"/>
          <w:sz w:val="22"/>
          <w:szCs w:val="22"/>
        </w:rPr>
        <w:t>e previsioni degli esercizi 2019-2021</w:t>
      </w:r>
      <w:r w:rsidRPr="00D80990">
        <w:rPr>
          <w:rFonts w:ascii="Arial" w:hAnsi="Arial" w:cs="Arial"/>
          <w:sz w:val="22"/>
          <w:szCs w:val="22"/>
        </w:rPr>
        <w:t xml:space="preserve"> per macroaggregati di spesa corrente confrontate con la spesa risultante dalla previsione definitiva 201</w:t>
      </w:r>
      <w:r w:rsidR="00D80990">
        <w:rPr>
          <w:rFonts w:ascii="Arial" w:hAnsi="Arial" w:cs="Arial"/>
          <w:sz w:val="22"/>
          <w:szCs w:val="22"/>
        </w:rPr>
        <w:t>8</w:t>
      </w:r>
      <w:r w:rsidRPr="00D80990">
        <w:rPr>
          <w:rFonts w:ascii="Arial" w:hAnsi="Arial" w:cs="Arial"/>
          <w:sz w:val="22"/>
          <w:szCs w:val="22"/>
        </w:rPr>
        <w:t xml:space="preserve"> è la seguente:</w:t>
      </w:r>
    </w:p>
    <w:p w:rsidR="009F6E3E" w:rsidRPr="00D80990" w:rsidRDefault="009F6E3E">
      <w:pPr>
        <w:rPr>
          <w:rFonts w:ascii="Arial" w:hAnsi="Arial" w:cs="Arial"/>
          <w:sz w:val="22"/>
          <w:szCs w:val="22"/>
        </w:rPr>
      </w:pPr>
    </w:p>
    <w:p w:rsidR="009F6E3E" w:rsidRPr="00D80990" w:rsidRDefault="007F766F">
      <w:pPr>
        <w:rPr>
          <w:rFonts w:ascii="Arial" w:hAnsi="Arial" w:cs="Arial"/>
          <w:i/>
          <w:sz w:val="22"/>
          <w:szCs w:val="22"/>
          <w:u w:val="single"/>
        </w:rPr>
      </w:pPr>
      <w:r w:rsidRPr="00D80990">
        <w:rPr>
          <w:rFonts w:ascii="Arial" w:hAnsi="Arial" w:cs="Arial"/>
          <w:i/>
          <w:sz w:val="22"/>
          <w:szCs w:val="22"/>
          <w:u w:val="single"/>
        </w:rPr>
        <w:t>Sviluppo previsione per aggregati di spesa:</w:t>
      </w:r>
    </w:p>
    <w:p w:rsidR="009F6E3E" w:rsidRPr="00D80990" w:rsidRDefault="009F6E3E">
      <w:pPr>
        <w:spacing w:after="120"/>
        <w:jc w:val="both"/>
        <w:rPr>
          <w:rFonts w:ascii="Arial" w:hAnsi="Arial" w:cs="Arial"/>
          <w:b/>
          <w:i/>
          <w:color w:val="0000FF"/>
          <w:sz w:val="18"/>
          <w:szCs w:val="18"/>
        </w:rPr>
      </w:pPr>
      <w:bookmarkStart w:id="61" w:name="_MON_1513321737"/>
      <w:bookmarkEnd w:id="61"/>
    </w:p>
    <w:p w:rsidR="009F6E3E" w:rsidRPr="00D80990" w:rsidRDefault="00EE41C1" w:rsidP="00E518B7">
      <w:pPr>
        <w:spacing w:after="120"/>
        <w:jc w:val="center"/>
        <w:rPr>
          <w:rFonts w:ascii="Arial" w:hAnsi="Arial" w:cs="Arial"/>
          <w:sz w:val="22"/>
          <w:szCs w:val="22"/>
        </w:rPr>
      </w:pPr>
      <w:r w:rsidRPr="00213664">
        <w:rPr>
          <w:rFonts w:cs="Arial"/>
          <w:sz w:val="22"/>
          <w:szCs w:val="22"/>
        </w:rPr>
        <w:object w:dxaOrig="10360" w:dyaOrig="4078">
          <v:shape id="_x0000_i1047" type="#_x0000_t75" style="width:518.25pt;height:201.75pt" o:ole="">
            <v:imagedata r:id="rId62" o:title=""/>
          </v:shape>
          <o:OLEObject Type="Embed" ProgID="Excel.Sheet.12" ShapeID="_x0000_i1047" DrawAspect="Content" ObjectID="_1610733411" r:id="rId63"/>
        </w:object>
      </w:r>
    </w:p>
    <w:p w:rsidR="009F6E3E" w:rsidRPr="00D80990" w:rsidRDefault="007F766F">
      <w:pPr>
        <w:pStyle w:val="Titolo3"/>
      </w:pPr>
      <w:bookmarkStart w:id="62" w:name="_Toc535487619"/>
      <w:r w:rsidRPr="00D80990">
        <w:t>Spese di personale</w:t>
      </w:r>
      <w:bookmarkEnd w:id="62"/>
    </w:p>
    <w:p w:rsidR="009F6E3E" w:rsidRPr="00D80990" w:rsidRDefault="009F6E3E">
      <w:pPr>
        <w:tabs>
          <w:tab w:val="left" w:pos="720"/>
        </w:tabs>
        <w:rPr>
          <w:rFonts w:ascii="Arial" w:hAnsi="Arial" w:cs="Arial"/>
          <w:i/>
          <w:sz w:val="22"/>
          <w:szCs w:val="22"/>
        </w:rPr>
      </w:pPr>
    </w:p>
    <w:p w:rsidR="00136623" w:rsidRPr="00D80990" w:rsidRDefault="00136623" w:rsidP="00136623">
      <w:pPr>
        <w:jc w:val="both"/>
        <w:rPr>
          <w:rFonts w:ascii="Arial" w:hAnsi="Arial" w:cs="Arial"/>
          <w:sz w:val="22"/>
          <w:szCs w:val="22"/>
        </w:rPr>
      </w:pPr>
      <w:r w:rsidRPr="00D80990">
        <w:rPr>
          <w:rFonts w:ascii="Arial" w:hAnsi="Arial" w:cs="Arial"/>
          <w:sz w:val="22"/>
          <w:szCs w:val="22"/>
        </w:rPr>
        <w:t xml:space="preserve">La spesa per redditi di lavoro dipendente prevista per gli esercizi </w:t>
      </w:r>
      <w:r>
        <w:rPr>
          <w:rFonts w:ascii="Arial" w:hAnsi="Arial" w:cs="Arial"/>
          <w:sz w:val="22"/>
          <w:szCs w:val="22"/>
        </w:rPr>
        <w:t>2019-2021</w:t>
      </w:r>
      <w:r w:rsidRPr="00D80990">
        <w:rPr>
          <w:rFonts w:ascii="Arial" w:hAnsi="Arial" w:cs="Arial"/>
          <w:sz w:val="22"/>
          <w:szCs w:val="22"/>
        </w:rPr>
        <w:t xml:space="preserve">, tiene conto </w:t>
      </w:r>
      <w:r>
        <w:rPr>
          <w:rFonts w:ascii="Arial" w:hAnsi="Arial" w:cs="Arial"/>
          <w:sz w:val="22"/>
          <w:szCs w:val="22"/>
        </w:rPr>
        <w:t>delle assunzioni previste nella programmazione del fabbisogno e risulta coerente:</w:t>
      </w:r>
    </w:p>
    <w:p w:rsidR="00136623" w:rsidRPr="00130DD4" w:rsidRDefault="00136623" w:rsidP="00136623">
      <w:pPr>
        <w:numPr>
          <w:ilvl w:val="0"/>
          <w:numId w:val="17"/>
        </w:numPr>
        <w:tabs>
          <w:tab w:val="left" w:pos="360"/>
        </w:tabs>
        <w:spacing w:before="120"/>
        <w:jc w:val="both"/>
        <w:rPr>
          <w:rFonts w:ascii="Arial" w:hAnsi="Arial" w:cs="Arial"/>
          <w:sz w:val="22"/>
          <w:szCs w:val="22"/>
        </w:rPr>
      </w:pPr>
      <w:r>
        <w:rPr>
          <w:rFonts w:ascii="Arial" w:hAnsi="Arial" w:cs="Arial"/>
          <w:sz w:val="22"/>
          <w:szCs w:val="22"/>
        </w:rPr>
        <w:t xml:space="preserve">con </w:t>
      </w:r>
      <w:r w:rsidRPr="00D80990">
        <w:rPr>
          <w:rFonts w:ascii="Arial" w:hAnsi="Arial" w:cs="Arial"/>
          <w:sz w:val="22"/>
          <w:szCs w:val="22"/>
        </w:rPr>
        <w:t xml:space="preserve">l’obbligo di riduzione della spesa di personale disposto dall’art. 1 comma 557 della Legge 296/2006 </w:t>
      </w:r>
      <w:r>
        <w:rPr>
          <w:rFonts w:ascii="Arial" w:hAnsi="Arial" w:cs="Arial"/>
          <w:sz w:val="22"/>
          <w:szCs w:val="22"/>
        </w:rPr>
        <w:t>rispetto</w:t>
      </w:r>
      <w:r w:rsidRPr="00D80990">
        <w:rPr>
          <w:rFonts w:ascii="Arial" w:hAnsi="Arial" w:cs="Arial"/>
          <w:sz w:val="22"/>
          <w:szCs w:val="22"/>
        </w:rPr>
        <w:t xml:space="preserve"> a</w:t>
      </w:r>
      <w:r>
        <w:rPr>
          <w:rFonts w:ascii="Arial" w:hAnsi="Arial" w:cs="Arial"/>
          <w:sz w:val="22"/>
          <w:szCs w:val="22"/>
        </w:rPr>
        <w:t>l</w:t>
      </w:r>
      <w:r w:rsidRPr="00D80990">
        <w:rPr>
          <w:rFonts w:ascii="Arial" w:hAnsi="Arial" w:cs="Arial"/>
          <w:sz w:val="22"/>
          <w:szCs w:val="22"/>
        </w:rPr>
        <w:t xml:space="preserve"> valore medio del triennio 2011/2013</w:t>
      </w:r>
      <w:r>
        <w:rPr>
          <w:rFonts w:ascii="Arial" w:hAnsi="Arial" w:cs="Arial"/>
          <w:sz w:val="22"/>
          <w:szCs w:val="22"/>
        </w:rPr>
        <w:t>, pari ad € ….., considerando l’aggregato rilevante comprensivo dell’IRAP ed al netto dei rinnovi contrattuali, come risultante da……..</w:t>
      </w:r>
      <w:r w:rsidRPr="00D80990">
        <w:rPr>
          <w:rFonts w:ascii="Arial" w:hAnsi="Arial" w:cs="Arial"/>
          <w:sz w:val="22"/>
          <w:szCs w:val="22"/>
        </w:rPr>
        <w:t>;</w:t>
      </w:r>
    </w:p>
    <w:p w:rsidR="00136623" w:rsidRPr="00D80990" w:rsidRDefault="00136623" w:rsidP="00136623">
      <w:pPr>
        <w:numPr>
          <w:ilvl w:val="0"/>
          <w:numId w:val="17"/>
        </w:numPr>
        <w:tabs>
          <w:tab w:val="left" w:pos="360"/>
        </w:tabs>
        <w:spacing w:before="120"/>
        <w:jc w:val="both"/>
        <w:rPr>
          <w:rFonts w:ascii="Arial" w:hAnsi="Arial" w:cs="Arial"/>
          <w:sz w:val="22"/>
          <w:szCs w:val="22"/>
        </w:rPr>
      </w:pPr>
      <w:r>
        <w:rPr>
          <w:rFonts w:ascii="Arial" w:hAnsi="Arial" w:cs="Arial"/>
          <w:sz w:val="22"/>
          <w:szCs w:val="22"/>
        </w:rPr>
        <w:t>con l’obbligo di contenimento della spesa di personale disposto dall’art. 1</w:t>
      </w:r>
      <w:r w:rsidRPr="00D80990">
        <w:rPr>
          <w:rFonts w:ascii="Arial" w:hAnsi="Arial" w:cs="Arial"/>
          <w:sz w:val="22"/>
          <w:szCs w:val="22"/>
        </w:rPr>
        <w:t xml:space="preserve"> comma 562 della Legge 296/2006 </w:t>
      </w:r>
      <w:r>
        <w:rPr>
          <w:rFonts w:ascii="Arial" w:hAnsi="Arial" w:cs="Arial"/>
          <w:sz w:val="22"/>
          <w:szCs w:val="22"/>
        </w:rPr>
        <w:t>rispetto al valore 2008, pari ad € ………, considerando l’aggregato rilevante comprensivo dell’IRAP ed al netto dei rinnovi contrattuali, come risultante da ….,</w:t>
      </w:r>
      <w:r w:rsidRPr="00D80990">
        <w:rPr>
          <w:rFonts w:ascii="Arial" w:hAnsi="Arial" w:cs="Arial"/>
          <w:sz w:val="22"/>
          <w:szCs w:val="22"/>
        </w:rPr>
        <w:t>per gli enti che nel 2015 non erano assoggettati al patto di stabilità;</w:t>
      </w:r>
    </w:p>
    <w:p w:rsidR="00136623" w:rsidRPr="00D80990" w:rsidRDefault="00136623" w:rsidP="00136623">
      <w:pPr>
        <w:numPr>
          <w:ilvl w:val="0"/>
          <w:numId w:val="17"/>
        </w:numPr>
        <w:tabs>
          <w:tab w:val="left" w:pos="360"/>
        </w:tabs>
        <w:spacing w:before="120"/>
        <w:jc w:val="both"/>
        <w:rPr>
          <w:rFonts w:ascii="Arial" w:hAnsi="Arial" w:cs="Arial"/>
          <w:sz w:val="22"/>
          <w:szCs w:val="22"/>
        </w:rPr>
      </w:pPr>
      <w:r w:rsidRPr="00D80990">
        <w:rPr>
          <w:rFonts w:ascii="Arial" w:hAnsi="Arial" w:cs="Arial"/>
          <w:sz w:val="22"/>
          <w:szCs w:val="22"/>
        </w:rPr>
        <w:t>dei vincoli disposti dall’art. 9, comma 28 del D.L. 78/2010 sulla spesa per personale a tempo determinato, con convenzioni o con contratti di collaborazione coordinata e continuativa</w:t>
      </w:r>
      <w:r>
        <w:rPr>
          <w:rFonts w:ascii="Arial" w:hAnsi="Arial" w:cs="Arial"/>
          <w:sz w:val="22"/>
          <w:szCs w:val="22"/>
        </w:rPr>
        <w:t xml:space="preserve"> che fanno riferimento alla corrispondente</w:t>
      </w:r>
      <w:r w:rsidRPr="00D80990">
        <w:rPr>
          <w:rFonts w:ascii="Arial" w:hAnsi="Arial" w:cs="Arial"/>
          <w:sz w:val="22"/>
          <w:szCs w:val="22"/>
        </w:rPr>
        <w:t xml:space="preserve"> spesa dell’anno 2009 di euro ………………..</w:t>
      </w:r>
      <w:r>
        <w:rPr>
          <w:rFonts w:ascii="Arial" w:hAnsi="Arial" w:cs="Arial"/>
          <w:sz w:val="22"/>
          <w:szCs w:val="22"/>
        </w:rPr>
        <w:t>, come risultante da….</w:t>
      </w:r>
      <w:r w:rsidRPr="00D80990">
        <w:rPr>
          <w:rFonts w:ascii="Arial" w:hAnsi="Arial" w:cs="Arial"/>
          <w:sz w:val="22"/>
          <w:szCs w:val="22"/>
        </w:rPr>
        <w:t>;</w:t>
      </w:r>
    </w:p>
    <w:p w:rsidR="00136623" w:rsidRDefault="00136623" w:rsidP="00136623">
      <w:pPr>
        <w:rPr>
          <w:rFonts w:ascii="Arial" w:hAnsi="Arial" w:cs="Arial"/>
          <w:sz w:val="22"/>
          <w:szCs w:val="22"/>
        </w:rPr>
      </w:pPr>
    </w:p>
    <w:p w:rsidR="008B1A79" w:rsidRDefault="008B1A79" w:rsidP="00136623">
      <w:pPr>
        <w:rPr>
          <w:rFonts w:ascii="Arial" w:hAnsi="Arial" w:cs="Arial"/>
          <w:sz w:val="22"/>
          <w:szCs w:val="22"/>
        </w:rPr>
      </w:pPr>
    </w:p>
    <w:p w:rsidR="008B1A79" w:rsidRPr="00D80990" w:rsidRDefault="008B1A79" w:rsidP="00136623">
      <w:pPr>
        <w:rPr>
          <w:rFonts w:ascii="Arial" w:hAnsi="Arial" w:cs="Arial"/>
          <w:sz w:val="22"/>
          <w:szCs w:val="22"/>
        </w:rPr>
      </w:pPr>
    </w:p>
    <w:p w:rsidR="00136623" w:rsidRPr="00D80990" w:rsidRDefault="00136623" w:rsidP="00136623">
      <w:pPr>
        <w:jc w:val="both"/>
        <w:rPr>
          <w:rFonts w:ascii="Arial" w:hAnsi="Arial" w:cs="Arial"/>
          <w:sz w:val="22"/>
          <w:szCs w:val="22"/>
        </w:rPr>
      </w:pPr>
      <w:r>
        <w:rPr>
          <w:rFonts w:ascii="Arial" w:hAnsi="Arial" w:cs="Arial"/>
          <w:sz w:val="22"/>
          <w:szCs w:val="22"/>
        </w:rPr>
        <w:t>L’andamento dell’aggregato rilevante nei diversi esercizi compresi nel bilancio di previsione raffrontato con il vincolo da rispettare è il seguente</w:t>
      </w:r>
      <w:r w:rsidRPr="00D80990">
        <w:rPr>
          <w:rFonts w:ascii="Arial" w:hAnsi="Arial" w:cs="Arial"/>
          <w:sz w:val="22"/>
          <w:szCs w:val="22"/>
        </w:rPr>
        <w:t xml:space="preserve">: </w:t>
      </w:r>
    </w:p>
    <w:p w:rsidR="009F6E3E" w:rsidRPr="00D80990" w:rsidRDefault="009F6E3E">
      <w:pPr>
        <w:rPr>
          <w:rFonts w:ascii="Arial" w:hAnsi="Arial" w:cs="Arial"/>
          <w:sz w:val="22"/>
          <w:szCs w:val="22"/>
        </w:rPr>
      </w:pPr>
    </w:p>
    <w:p w:rsidR="009F6E3E" w:rsidRPr="00D80990" w:rsidRDefault="00EE41C1" w:rsidP="00E518B7">
      <w:pPr>
        <w:jc w:val="center"/>
        <w:rPr>
          <w:rFonts w:ascii="Arial" w:hAnsi="Arial" w:cs="Arial"/>
          <w:sz w:val="22"/>
          <w:szCs w:val="22"/>
        </w:rPr>
      </w:pPr>
      <w:r w:rsidRPr="00213664">
        <w:rPr>
          <w:rFonts w:cs="Arial"/>
          <w:sz w:val="22"/>
          <w:szCs w:val="22"/>
        </w:rPr>
        <w:object w:dxaOrig="10067" w:dyaOrig="3456">
          <v:shape id="_x0000_i1048" type="#_x0000_t75" style="width:7in;height:172.5pt" o:ole="">
            <v:imagedata r:id="rId64" o:title=""/>
          </v:shape>
          <o:OLEObject Type="Embed" ProgID="Excel.Sheet.12" ShapeID="_x0000_i1048" DrawAspect="Content" ObjectID="_1610733412" r:id="rId65"/>
        </w:object>
      </w:r>
    </w:p>
    <w:p w:rsidR="009F6E3E" w:rsidRPr="00D80990" w:rsidRDefault="007F766F">
      <w:pPr>
        <w:jc w:val="both"/>
        <w:rPr>
          <w:rFonts w:ascii="Arial" w:hAnsi="Arial" w:cs="Arial"/>
          <w:b/>
          <w:i/>
          <w:sz w:val="22"/>
          <w:szCs w:val="22"/>
        </w:rPr>
      </w:pPr>
      <w:r w:rsidRPr="00D80990">
        <w:rPr>
          <w:rFonts w:ascii="Arial" w:hAnsi="Arial" w:cs="Arial"/>
          <w:sz w:val="22"/>
          <w:szCs w:val="22"/>
        </w:rPr>
        <w:t xml:space="preserve">La previsione per gli anni </w:t>
      </w:r>
      <w:r w:rsidR="00CD4510">
        <w:rPr>
          <w:rFonts w:ascii="Arial" w:hAnsi="Arial" w:cs="Arial"/>
          <w:sz w:val="22"/>
          <w:szCs w:val="22"/>
        </w:rPr>
        <w:t>2019, 2</w:t>
      </w:r>
      <w:r w:rsidRPr="00D80990">
        <w:rPr>
          <w:rFonts w:ascii="Arial" w:hAnsi="Arial" w:cs="Arial"/>
          <w:sz w:val="22"/>
          <w:szCs w:val="22"/>
        </w:rPr>
        <w:t>020</w:t>
      </w:r>
      <w:r w:rsidR="00CD4510">
        <w:rPr>
          <w:rFonts w:ascii="Arial" w:hAnsi="Arial" w:cs="Arial"/>
          <w:sz w:val="22"/>
          <w:szCs w:val="22"/>
        </w:rPr>
        <w:t xml:space="preserve"> e 2021</w:t>
      </w:r>
      <w:r w:rsidRPr="00D80990">
        <w:rPr>
          <w:rFonts w:ascii="Arial" w:hAnsi="Arial" w:cs="Arial"/>
          <w:sz w:val="22"/>
          <w:szCs w:val="22"/>
        </w:rPr>
        <w:t xml:space="preserve"> è inferiore alla spesa media del triennio 2011/2013 (</w:t>
      </w:r>
      <w:r w:rsidRPr="00D80990">
        <w:rPr>
          <w:rFonts w:ascii="Arial" w:hAnsi="Arial" w:cs="Arial"/>
          <w:i/>
          <w:sz w:val="22"/>
          <w:szCs w:val="22"/>
        </w:rPr>
        <w:t xml:space="preserve">o all’anno 2008 per gli enti che nel 2015 non erano soggetti al patto) </w:t>
      </w:r>
      <w:r w:rsidRPr="00D80990">
        <w:rPr>
          <w:rFonts w:ascii="Arial" w:hAnsi="Arial" w:cs="Arial"/>
          <w:sz w:val="22"/>
          <w:szCs w:val="22"/>
        </w:rPr>
        <w:t>che era pari a euro</w:t>
      </w:r>
      <w:r w:rsidRPr="00D80990">
        <w:rPr>
          <w:rFonts w:ascii="Arial" w:hAnsi="Arial" w:cs="Arial"/>
          <w:i/>
          <w:sz w:val="22"/>
          <w:szCs w:val="22"/>
        </w:rPr>
        <w:t>……………….</w:t>
      </w:r>
    </w:p>
    <w:p w:rsidR="009F6E3E" w:rsidRPr="00D80990" w:rsidRDefault="009F6E3E">
      <w:pPr>
        <w:rPr>
          <w:rFonts w:ascii="Arial" w:hAnsi="Arial" w:cs="Arial"/>
          <w:i/>
          <w:sz w:val="16"/>
          <w:szCs w:val="16"/>
        </w:rPr>
      </w:pPr>
    </w:p>
    <w:p w:rsidR="009F6E3E" w:rsidRPr="00D80990" w:rsidRDefault="007F766F">
      <w:pPr>
        <w:pStyle w:val="Titolo3"/>
      </w:pPr>
      <w:bookmarkStart w:id="63" w:name="_Toc535487620"/>
      <w:r w:rsidRPr="00D80990">
        <w:t>Spese per incarichi di collaborazione autonoma</w:t>
      </w:r>
      <w:bookmarkEnd w:id="63"/>
    </w:p>
    <w:p w:rsidR="009F6E3E" w:rsidRPr="00D80990" w:rsidRDefault="007F766F">
      <w:pPr>
        <w:rPr>
          <w:rFonts w:ascii="Arial" w:hAnsi="Arial" w:cs="Arial"/>
          <w:sz w:val="22"/>
          <w:szCs w:val="22"/>
        </w:rPr>
      </w:pPr>
      <w:r w:rsidRPr="00D80990">
        <w:rPr>
          <w:rFonts w:ascii="Arial" w:hAnsi="Arial" w:cs="Arial"/>
          <w:sz w:val="22"/>
          <w:szCs w:val="22"/>
        </w:rPr>
        <w:t>(art.7 comma 6, D.Lgs. 165/2001)</w:t>
      </w:r>
    </w:p>
    <w:p w:rsidR="009F6E3E" w:rsidRPr="00D80990" w:rsidRDefault="009F6E3E">
      <w:pPr>
        <w:jc w:val="both"/>
        <w:rPr>
          <w:rFonts w:ascii="Arial" w:hAnsi="Arial" w:cs="Arial"/>
          <w:sz w:val="22"/>
          <w:szCs w:val="22"/>
        </w:rPr>
      </w:pPr>
    </w:p>
    <w:p w:rsidR="00136623" w:rsidRPr="00D80990" w:rsidRDefault="00136623" w:rsidP="00136623">
      <w:pPr>
        <w:jc w:val="both"/>
        <w:rPr>
          <w:rFonts w:ascii="Arial" w:hAnsi="Arial" w:cs="Arial"/>
          <w:i/>
          <w:sz w:val="18"/>
          <w:szCs w:val="18"/>
        </w:rPr>
      </w:pPr>
      <w:r w:rsidRPr="00D80990">
        <w:rPr>
          <w:rFonts w:ascii="Arial" w:hAnsi="Arial" w:cs="Arial"/>
          <w:sz w:val="22"/>
          <w:szCs w:val="22"/>
        </w:rPr>
        <w:t>Il limite massimo previsto in bilancio per incarichi di collaborazione auton</w:t>
      </w:r>
      <w:r>
        <w:rPr>
          <w:rFonts w:ascii="Arial" w:hAnsi="Arial" w:cs="Arial"/>
          <w:sz w:val="22"/>
          <w:szCs w:val="22"/>
        </w:rPr>
        <w:t>oma previsto per gli anni 2019-2021</w:t>
      </w:r>
      <w:r w:rsidRPr="00D80990">
        <w:rPr>
          <w:rFonts w:ascii="Arial" w:hAnsi="Arial" w:cs="Arial"/>
          <w:sz w:val="22"/>
          <w:szCs w:val="22"/>
        </w:rPr>
        <w:t xml:space="preserve"> è di euro ………... I contratti di collaborazione potranno essere stipulati con riferimento alle attività istituzionali stabilite dalla Legge e con riferimento al programma sottoposto all’approvazione del Consiglio</w:t>
      </w:r>
      <w:r w:rsidRPr="00D80990">
        <w:rPr>
          <w:rFonts w:ascii="Arial" w:hAnsi="Arial" w:cs="Arial"/>
          <w:i/>
          <w:sz w:val="18"/>
          <w:szCs w:val="18"/>
        </w:rPr>
        <w:t>.</w:t>
      </w:r>
    </w:p>
    <w:p w:rsidR="00136623" w:rsidRPr="00D80990" w:rsidRDefault="00136623" w:rsidP="00136623">
      <w:pPr>
        <w:jc w:val="both"/>
        <w:rPr>
          <w:rFonts w:ascii="Arial" w:hAnsi="Arial" w:cs="Arial"/>
          <w:sz w:val="22"/>
          <w:szCs w:val="22"/>
        </w:rPr>
      </w:pPr>
      <w:r w:rsidRPr="00D80990">
        <w:rPr>
          <w:rFonts w:ascii="Arial" w:hAnsi="Arial" w:cs="Arial"/>
          <w:sz w:val="22"/>
          <w:szCs w:val="22"/>
        </w:rPr>
        <w:t xml:space="preserve">L’ente </w:t>
      </w:r>
      <w:r>
        <w:rPr>
          <w:rFonts w:ascii="Arial" w:hAnsi="Arial" w:cs="Arial"/>
          <w:sz w:val="22"/>
          <w:szCs w:val="22"/>
        </w:rPr>
        <w:t xml:space="preserve">è dotato di un </w:t>
      </w:r>
      <w:r w:rsidRPr="00D80990">
        <w:rPr>
          <w:rFonts w:ascii="Arial" w:hAnsi="Arial" w:cs="Arial"/>
          <w:sz w:val="22"/>
          <w:szCs w:val="22"/>
        </w:rPr>
        <w:t xml:space="preserve">regolamento per </w:t>
      </w:r>
      <w:r>
        <w:rPr>
          <w:rFonts w:ascii="Arial" w:hAnsi="Arial" w:cs="Arial"/>
          <w:sz w:val="22"/>
          <w:szCs w:val="22"/>
        </w:rPr>
        <w:t>l’affidamento de</w:t>
      </w:r>
      <w:r w:rsidRPr="00D80990">
        <w:rPr>
          <w:rFonts w:ascii="Arial" w:hAnsi="Arial" w:cs="Arial"/>
          <w:sz w:val="22"/>
          <w:szCs w:val="22"/>
        </w:rPr>
        <w:t xml:space="preserve">gli incarichi di collaborazione autonoma sulla base delle disposizioni introdotte dall’art. 46 del D.L. 25 giugno 2008 n. 112, </w:t>
      </w:r>
      <w:r>
        <w:rPr>
          <w:rFonts w:ascii="Arial" w:hAnsi="Arial" w:cs="Arial"/>
          <w:sz w:val="22"/>
          <w:szCs w:val="22"/>
        </w:rPr>
        <w:t>trasmesso alla Corte dei Conti alle cui previsioni si raccomanda di attenersi rigorosamente</w:t>
      </w:r>
      <w:r w:rsidRPr="00D80990">
        <w:rPr>
          <w:rFonts w:ascii="Arial" w:hAnsi="Arial" w:cs="Arial"/>
          <w:sz w:val="22"/>
          <w:szCs w:val="22"/>
        </w:rPr>
        <w:t>.</w:t>
      </w:r>
    </w:p>
    <w:p w:rsidR="009F6E3E" w:rsidRPr="00D80990" w:rsidRDefault="00136623" w:rsidP="00136623">
      <w:pPr>
        <w:jc w:val="both"/>
        <w:rPr>
          <w:rFonts w:ascii="Arial" w:hAnsi="Arial" w:cs="Arial"/>
          <w:b/>
          <w:i/>
          <w:color w:val="0070C0"/>
          <w:sz w:val="20"/>
          <w:szCs w:val="18"/>
        </w:rPr>
      </w:pPr>
      <w:r w:rsidRPr="00D80990">
        <w:rPr>
          <w:rFonts w:ascii="Arial" w:hAnsi="Arial" w:cs="Arial"/>
          <w:sz w:val="22"/>
          <w:szCs w:val="22"/>
        </w:rPr>
        <w:t xml:space="preserve">L’ente </w:t>
      </w:r>
      <w:r>
        <w:rPr>
          <w:rFonts w:ascii="Arial" w:hAnsi="Arial" w:cs="Arial"/>
          <w:sz w:val="22"/>
          <w:szCs w:val="22"/>
        </w:rPr>
        <w:t>è tenuto a pubblicare</w:t>
      </w:r>
      <w:r w:rsidRPr="00D80990">
        <w:rPr>
          <w:rFonts w:ascii="Arial" w:hAnsi="Arial" w:cs="Arial"/>
          <w:sz w:val="22"/>
          <w:szCs w:val="22"/>
        </w:rPr>
        <w:t xml:space="preserve"> regolarmente nel sito istituzionale i provvedimenti di incarico con l’indicazione dei soggetti percettori, della ragione dell’incarico e del compenso</w:t>
      </w:r>
      <w:r>
        <w:rPr>
          <w:rFonts w:ascii="Arial" w:hAnsi="Arial" w:cs="Arial"/>
          <w:sz w:val="22"/>
          <w:szCs w:val="22"/>
        </w:rPr>
        <w:t xml:space="preserve"> e delle altre informazioni previste dalla legge.</w:t>
      </w:r>
    </w:p>
    <w:p w:rsidR="009F6E3E" w:rsidRPr="00D80990" w:rsidRDefault="009F6E3E">
      <w:pPr>
        <w:pStyle w:val="Titolo3"/>
      </w:pPr>
    </w:p>
    <w:p w:rsidR="009F6E3E" w:rsidRPr="00D80990" w:rsidRDefault="007F766F">
      <w:pPr>
        <w:pStyle w:val="Titolo3"/>
      </w:pPr>
      <w:bookmarkStart w:id="64" w:name="_Toc535487621"/>
      <w:r w:rsidRPr="00D80990">
        <w:t>Spese per acquisto beni e servizi</w:t>
      </w:r>
      <w:bookmarkEnd w:id="64"/>
    </w:p>
    <w:p w:rsidR="00136623" w:rsidRPr="00D80990" w:rsidRDefault="00136623" w:rsidP="00136623">
      <w:pPr>
        <w:pStyle w:val="Corpodeltesto3"/>
        <w:spacing w:before="120"/>
        <w:rPr>
          <w:rFonts w:cs="Arial"/>
          <w:sz w:val="22"/>
          <w:szCs w:val="22"/>
        </w:rPr>
      </w:pPr>
      <w:r w:rsidRPr="00D80990">
        <w:rPr>
          <w:rFonts w:cs="Arial"/>
          <w:sz w:val="22"/>
          <w:szCs w:val="22"/>
        </w:rPr>
        <w:t>La previsione di spesa tiene conto dei vincoli posti dal saldo di finanza pubblica, dal piano triennale di contenimento delle spese di cui all’art. 2, commi da 594 a 599 della Legge 244/2007 e di quelle dell’art. 1, commi 146 e 147 della Legge 24/12/2012 n. 228</w:t>
      </w:r>
      <w:r>
        <w:rPr>
          <w:rFonts w:cs="Arial"/>
          <w:sz w:val="22"/>
          <w:szCs w:val="22"/>
        </w:rPr>
        <w:t xml:space="preserve"> (in materia di consulenza informatica).</w:t>
      </w:r>
    </w:p>
    <w:p w:rsidR="009F6E3E" w:rsidRPr="00D80990" w:rsidRDefault="00136623" w:rsidP="00136623">
      <w:pPr>
        <w:pStyle w:val="Corpodeltesto3"/>
        <w:spacing w:before="120"/>
        <w:rPr>
          <w:rFonts w:cs="Arial"/>
          <w:sz w:val="22"/>
          <w:szCs w:val="22"/>
        </w:rPr>
      </w:pPr>
      <w:r>
        <w:rPr>
          <w:rFonts w:cs="Arial"/>
          <w:sz w:val="22"/>
          <w:szCs w:val="22"/>
        </w:rPr>
        <w:t xml:space="preserve">La previsione di spesa </w:t>
      </w:r>
      <w:r w:rsidRPr="00136623">
        <w:rPr>
          <w:rFonts w:cs="Arial"/>
          <w:b/>
          <w:i/>
          <w:sz w:val="22"/>
          <w:szCs w:val="22"/>
        </w:rPr>
        <w:t>tiene/non tiene</w:t>
      </w:r>
      <w:r>
        <w:rPr>
          <w:rFonts w:cs="Arial"/>
          <w:sz w:val="22"/>
          <w:szCs w:val="22"/>
        </w:rPr>
        <w:t xml:space="preserve"> altresì conto </w:t>
      </w:r>
      <w:r w:rsidRPr="00D80990">
        <w:rPr>
          <w:rFonts w:cs="Arial"/>
          <w:sz w:val="22"/>
          <w:szCs w:val="22"/>
        </w:rPr>
        <w:t>delle riduzioni disposte dall’art. 6 del D.L. 78/2010</w:t>
      </w:r>
      <w:r>
        <w:rPr>
          <w:rFonts w:cs="Arial"/>
          <w:sz w:val="22"/>
          <w:szCs w:val="22"/>
        </w:rPr>
        <w:t xml:space="preserve"> posto che l’ente </w:t>
      </w:r>
      <w:r w:rsidRPr="00136623">
        <w:rPr>
          <w:rFonts w:cs="Arial"/>
          <w:b/>
          <w:i/>
          <w:sz w:val="22"/>
          <w:szCs w:val="22"/>
        </w:rPr>
        <w:t>rientra/non rientra</w:t>
      </w:r>
      <w:r>
        <w:rPr>
          <w:rFonts w:cs="Arial"/>
          <w:sz w:val="22"/>
          <w:szCs w:val="22"/>
        </w:rPr>
        <w:t xml:space="preserve"> nella previsione di cui all’art. 21 bis comma 2 del D.L. 50/2017 (per i comuni e le forme associative che approvano il bilancio di previsione entro il 31/12 dell’anno precedente e che </w:t>
      </w:r>
      <w:r w:rsidR="005F1085" w:rsidRPr="008B1A79">
        <w:rPr>
          <w:rFonts w:cs="Arial"/>
          <w:sz w:val="22"/>
          <w:szCs w:val="22"/>
        </w:rPr>
        <w:t>hanno rispettato nell'anno precedente il saldo tra entrate finali e spese finali di cui all'articolo 9 della legge 24 dicembre 2012, n. 243</w:t>
      </w:r>
      <w:r>
        <w:rPr>
          <w:rFonts w:cs="Arial"/>
          <w:sz w:val="22"/>
          <w:szCs w:val="22"/>
        </w:rPr>
        <w:t>).</w:t>
      </w:r>
    </w:p>
    <w:p w:rsidR="009F6E3E" w:rsidRPr="00D80990" w:rsidRDefault="007F766F">
      <w:pPr>
        <w:pStyle w:val="Corpodeltesto3"/>
        <w:spacing w:before="120"/>
        <w:rPr>
          <w:rFonts w:cs="Arial"/>
          <w:sz w:val="22"/>
          <w:szCs w:val="22"/>
        </w:rPr>
      </w:pPr>
      <w:r w:rsidRPr="00D80990">
        <w:rPr>
          <w:rFonts w:cs="Arial"/>
          <w:sz w:val="22"/>
          <w:szCs w:val="22"/>
        </w:rPr>
        <w:t>In particolare</w:t>
      </w:r>
      <w:r w:rsidR="00CD4510">
        <w:rPr>
          <w:rFonts w:cs="Arial"/>
          <w:sz w:val="22"/>
          <w:szCs w:val="22"/>
        </w:rPr>
        <w:t xml:space="preserve"> le previsioni per gli anni 2019-2021</w:t>
      </w:r>
      <w:r w:rsidRPr="00D80990">
        <w:rPr>
          <w:rFonts w:cs="Arial"/>
          <w:sz w:val="22"/>
          <w:szCs w:val="22"/>
        </w:rPr>
        <w:t xml:space="preserve"> rispettano i seguenti limiti:</w:t>
      </w:r>
    </w:p>
    <w:p w:rsidR="009F6E3E" w:rsidRPr="00D80990" w:rsidRDefault="00EE41C1" w:rsidP="00937836">
      <w:pPr>
        <w:pStyle w:val="Corpodeltesto3"/>
        <w:spacing w:before="120"/>
        <w:jc w:val="center"/>
        <w:rPr>
          <w:rFonts w:cs="Arial"/>
          <w:sz w:val="22"/>
          <w:szCs w:val="22"/>
        </w:rPr>
      </w:pPr>
      <w:r w:rsidRPr="00213664">
        <w:rPr>
          <w:rFonts w:cs="Arial"/>
          <w:sz w:val="22"/>
          <w:szCs w:val="22"/>
        </w:rPr>
        <w:object w:dxaOrig="10240" w:dyaOrig="2620">
          <v:shape id="_x0000_i1049" type="#_x0000_t75" style="width:489.75pt;height:122.25pt" o:ole="">
            <v:imagedata r:id="rId66" o:title=""/>
          </v:shape>
          <o:OLEObject Type="Embed" ProgID="Excel.Sheet.12" ShapeID="_x0000_i1049" DrawAspect="Content" ObjectID="_1610733413" r:id="rId67"/>
        </w:object>
      </w:r>
    </w:p>
    <w:p w:rsidR="009F6E3E" w:rsidRDefault="007F766F">
      <w:pPr>
        <w:jc w:val="both"/>
        <w:rPr>
          <w:rFonts w:ascii="Arial" w:hAnsi="Arial" w:cs="Arial"/>
          <w:i/>
          <w:color w:val="00B0F0"/>
          <w:sz w:val="22"/>
          <w:szCs w:val="22"/>
        </w:rPr>
      </w:pPr>
      <w:bookmarkStart w:id="65" w:name="_MON_1513857507"/>
      <w:bookmarkEnd w:id="65"/>
      <w:r w:rsidRPr="00D80990">
        <w:rPr>
          <w:rFonts w:ascii="Arial" w:hAnsi="Arial" w:cs="Arial"/>
          <w:i/>
          <w:color w:val="00B0F0"/>
          <w:sz w:val="22"/>
          <w:szCs w:val="22"/>
        </w:rPr>
        <w:lastRenderedPageBreak/>
        <w:t xml:space="preserve">La </w:t>
      </w:r>
      <w:hyperlink r:id="rId68" w:history="1">
        <w:r w:rsidRPr="00D80990">
          <w:rPr>
            <w:rStyle w:val="Collegamentoipertestuale"/>
            <w:rFonts w:ascii="Arial" w:hAnsi="Arial" w:cs="Arial"/>
            <w:i/>
            <w:color w:val="00B0F0"/>
            <w:sz w:val="22"/>
            <w:szCs w:val="22"/>
            <w:u w:val="none"/>
          </w:rPr>
          <w:t>Corte costituzionale con sentenza n.139 del 2012</w:t>
        </w:r>
      </w:hyperlink>
      <w:r w:rsidRPr="00D80990">
        <w:rPr>
          <w:rFonts w:ascii="Arial" w:hAnsi="Arial" w:cs="Arial"/>
          <w:i/>
          <w:color w:val="00B0F0"/>
          <w:sz w:val="22"/>
          <w:szCs w:val="22"/>
        </w:rPr>
        <w:t xml:space="preserve"> e la </w:t>
      </w:r>
      <w:hyperlink r:id="rId69" w:history="1">
        <w:r w:rsidRPr="00D80990">
          <w:rPr>
            <w:rStyle w:val="Collegamentoipertestuale"/>
            <w:rFonts w:ascii="Arial" w:hAnsi="Arial" w:cs="Arial"/>
            <w:i/>
            <w:color w:val="00B0F0"/>
            <w:sz w:val="22"/>
            <w:szCs w:val="22"/>
            <w:u w:val="none"/>
          </w:rPr>
          <w:t>Sezione Autonomie della Corte dei Conti con delibera 26 del 20/12/2013</w:t>
        </w:r>
      </w:hyperlink>
      <w:r w:rsidRPr="00D80990">
        <w:rPr>
          <w:rFonts w:ascii="Arial" w:hAnsi="Arial" w:cs="Arial"/>
          <w:i/>
          <w:color w:val="00B0F0"/>
          <w:sz w:val="22"/>
          <w:szCs w:val="22"/>
        </w:rPr>
        <w:t>, hanno stabilito che deve essere rispettato il limite complessivo ed è consentito che lo stanziamento in bilancio fra le diverse tipologie avvenga in base alle necessità derivanti dalle attività istituzionali dell’ente.</w:t>
      </w:r>
    </w:p>
    <w:p w:rsidR="009D14EE" w:rsidRPr="009D14EE" w:rsidRDefault="00414C97" w:rsidP="009D14EE">
      <w:pPr>
        <w:pStyle w:val="xmsonormal"/>
        <w:shd w:val="clear" w:color="auto" w:fill="FFFFFF"/>
        <w:jc w:val="both"/>
        <w:rPr>
          <w:rFonts w:ascii="Arial" w:hAnsi="Arial" w:cs="Arial"/>
          <w:i/>
          <w:color w:val="00B0F0"/>
          <w:sz w:val="22"/>
          <w:szCs w:val="22"/>
        </w:rPr>
      </w:pPr>
      <w:r>
        <w:rPr>
          <w:rFonts w:ascii="Arial" w:hAnsi="Arial" w:cs="Arial"/>
          <w:i/>
          <w:color w:val="00B0F0"/>
          <w:sz w:val="22"/>
          <w:szCs w:val="22"/>
        </w:rPr>
        <w:t xml:space="preserve">Si tenga presente che il D.L. 50/2017 all’art. 21-bis prevede che a </w:t>
      </w:r>
      <w:r w:rsidRPr="00414C97">
        <w:rPr>
          <w:rFonts w:ascii="Arial" w:hAnsi="Arial" w:cs="Arial"/>
          <w:i/>
          <w:color w:val="00B0F0"/>
          <w:sz w:val="22"/>
          <w:szCs w:val="22"/>
        </w:rPr>
        <w:t>decorrere dall’esercizio2018 </w:t>
      </w:r>
      <w:r w:rsidR="009D14EE" w:rsidRPr="009D14EE">
        <w:rPr>
          <w:rFonts w:ascii="Arial" w:hAnsi="Arial" w:cs="Arial"/>
          <w:i/>
          <w:color w:val="00B0F0"/>
          <w:sz w:val="22"/>
          <w:szCs w:val="22"/>
        </w:rPr>
        <w:t>le</w:t>
      </w:r>
      <w:r w:rsidR="009D14EE">
        <w:rPr>
          <w:rFonts w:ascii="Arial" w:hAnsi="Arial" w:cs="Arial"/>
          <w:i/>
          <w:color w:val="00B0F0"/>
          <w:sz w:val="22"/>
          <w:szCs w:val="22"/>
        </w:rPr>
        <w:t xml:space="preserve"> seguenti </w:t>
      </w:r>
      <w:r w:rsidR="009D14EE" w:rsidRPr="009D14EE">
        <w:rPr>
          <w:rFonts w:ascii="Arial" w:hAnsi="Arial" w:cs="Arial"/>
          <w:i/>
          <w:color w:val="00B0F0"/>
          <w:sz w:val="22"/>
          <w:szCs w:val="22"/>
        </w:rPr>
        <w:t xml:space="preserve">limitazioni e i </w:t>
      </w:r>
      <w:r w:rsidR="009D14EE">
        <w:rPr>
          <w:rFonts w:ascii="Arial" w:hAnsi="Arial" w:cs="Arial"/>
          <w:i/>
          <w:color w:val="00B0F0"/>
          <w:sz w:val="22"/>
          <w:szCs w:val="22"/>
        </w:rPr>
        <w:t xml:space="preserve">seguenti </w:t>
      </w:r>
      <w:r w:rsidR="009D14EE" w:rsidRPr="009D14EE">
        <w:rPr>
          <w:rFonts w:ascii="Arial" w:hAnsi="Arial" w:cs="Arial"/>
          <w:i/>
          <w:color w:val="00B0F0"/>
          <w:sz w:val="22"/>
          <w:szCs w:val="22"/>
        </w:rPr>
        <w:t>vincoli:</w:t>
      </w:r>
    </w:p>
    <w:p w:rsidR="009D14EE" w:rsidRPr="009D14EE" w:rsidRDefault="009D14EE" w:rsidP="009D14EE">
      <w:pPr>
        <w:pStyle w:val="xmsonormal"/>
        <w:shd w:val="clear" w:color="auto" w:fill="FFFFFF"/>
        <w:jc w:val="both"/>
        <w:rPr>
          <w:rFonts w:ascii="Arial" w:hAnsi="Arial" w:cs="Arial"/>
          <w:i/>
          <w:color w:val="00B0F0"/>
          <w:sz w:val="22"/>
          <w:szCs w:val="22"/>
        </w:rPr>
      </w:pPr>
      <w:r w:rsidRPr="009D14EE">
        <w:rPr>
          <w:rFonts w:ascii="Arial" w:hAnsi="Arial" w:cs="Arial"/>
          <w:i/>
          <w:color w:val="00B0F0"/>
          <w:sz w:val="22"/>
          <w:szCs w:val="22"/>
        </w:rPr>
        <w:t>a) all’articolo 6, commi 7, 8, fatta eccezione delle spese per mostre, 9 e 13, deldecreto-legge 31 maggio 2010, n. 78, convertito, con modificazioni, dallalegge 30 luglio 2010, n. 122;</w:t>
      </w:r>
    </w:p>
    <w:p w:rsidR="009D14EE" w:rsidRPr="009D14EE" w:rsidRDefault="009D14EE" w:rsidP="009D14EE">
      <w:pPr>
        <w:pStyle w:val="xmsonormal"/>
        <w:shd w:val="clear" w:color="auto" w:fill="FFFFFF"/>
        <w:jc w:val="both"/>
        <w:rPr>
          <w:rFonts w:ascii="Arial" w:hAnsi="Arial" w:cs="Arial"/>
          <w:i/>
          <w:color w:val="00B0F0"/>
          <w:sz w:val="22"/>
          <w:szCs w:val="22"/>
        </w:rPr>
      </w:pPr>
      <w:r w:rsidRPr="009D14EE">
        <w:rPr>
          <w:rFonts w:ascii="Arial" w:hAnsi="Arial" w:cs="Arial"/>
          <w:i/>
          <w:color w:val="00B0F0"/>
          <w:sz w:val="22"/>
          <w:szCs w:val="22"/>
        </w:rPr>
        <w:t>b) all’articolo 27, comma 1, del decreto-legge 25 giugno 2008, n. 112,convertito, con modificazioni, dalla legge 6 agosto 2008, n. 133</w:t>
      </w:r>
    </w:p>
    <w:p w:rsidR="00414C97" w:rsidRDefault="009D14EE" w:rsidP="009D14EE">
      <w:pPr>
        <w:pStyle w:val="xmsonormal"/>
        <w:shd w:val="clear" w:color="auto" w:fill="FFFFFF"/>
        <w:jc w:val="both"/>
        <w:rPr>
          <w:rFonts w:ascii="Arial" w:hAnsi="Arial" w:cs="Arial"/>
          <w:i/>
          <w:color w:val="00B0F0"/>
          <w:sz w:val="22"/>
          <w:szCs w:val="22"/>
        </w:rPr>
      </w:pPr>
      <w:r>
        <w:rPr>
          <w:rFonts w:ascii="Arial" w:hAnsi="Arial" w:cs="Arial"/>
          <w:i/>
          <w:color w:val="00B0F0"/>
          <w:sz w:val="22"/>
          <w:szCs w:val="22"/>
        </w:rPr>
        <w:t xml:space="preserve">non si applicano </w:t>
      </w:r>
      <w:r w:rsidR="00414C97" w:rsidRPr="00414C97">
        <w:rPr>
          <w:rFonts w:ascii="Arial" w:hAnsi="Arial" w:cs="Arial"/>
          <w:i/>
          <w:color w:val="00B0F0"/>
          <w:sz w:val="22"/>
          <w:szCs w:val="22"/>
        </w:rPr>
        <w:t xml:space="preserve">esclusivamente ai comuni e alle loro forme associative che hannoapprovato ilbilancio preventivo dell’esercizio di riferimento entro il 31 dicembredell’anno precedente e che hanno rispettato nell’anno precedente il saldotra entrate finali e spese finali di cui all’articolo 9 della legge 24 dicembre2012, n. 243. </w:t>
      </w:r>
    </w:p>
    <w:p w:rsidR="003D7428" w:rsidRPr="000E4A5C" w:rsidRDefault="003D7428" w:rsidP="003D7428">
      <w:pPr>
        <w:pStyle w:val="xmsonormal"/>
        <w:shd w:val="clear" w:color="auto" w:fill="FFFFFF"/>
        <w:jc w:val="both"/>
        <w:rPr>
          <w:rFonts w:ascii="Arial" w:hAnsi="Arial" w:cs="Arial"/>
          <w:i/>
          <w:iCs/>
          <w:color w:val="00B0F0"/>
          <w:sz w:val="22"/>
          <w:szCs w:val="22"/>
        </w:rPr>
      </w:pPr>
      <w:r w:rsidRPr="000E4A5C">
        <w:rPr>
          <w:rFonts w:ascii="Arial" w:hAnsi="Arial" w:cs="Arial"/>
          <w:i/>
          <w:color w:val="00B0F0"/>
          <w:sz w:val="22"/>
          <w:szCs w:val="22"/>
        </w:rPr>
        <w:t>Il comma 905 della L</w:t>
      </w:r>
      <w:r w:rsidR="0036319E" w:rsidRPr="000E4A5C">
        <w:rPr>
          <w:rFonts w:ascii="Arial" w:hAnsi="Arial" w:cs="Arial"/>
          <w:i/>
          <w:color w:val="00B0F0"/>
          <w:sz w:val="22"/>
          <w:szCs w:val="22"/>
        </w:rPr>
        <w:t>egge di bilancio 2019 (</w:t>
      </w:r>
      <w:r w:rsidR="000E4A5C">
        <w:rPr>
          <w:rFonts w:ascii="Arial" w:hAnsi="Arial" w:cs="Arial"/>
          <w:i/>
          <w:color w:val="00B0F0"/>
          <w:sz w:val="22"/>
          <w:szCs w:val="22"/>
        </w:rPr>
        <w:t>n.</w:t>
      </w:r>
      <w:r w:rsidR="0036319E" w:rsidRPr="000E4A5C">
        <w:rPr>
          <w:rFonts w:ascii="Arial" w:hAnsi="Arial" w:cs="Arial"/>
          <w:i/>
          <w:color w:val="00B0F0"/>
          <w:sz w:val="22"/>
          <w:szCs w:val="22"/>
        </w:rPr>
        <w:t xml:space="preserve">145/2018) </w:t>
      </w:r>
      <w:r w:rsidR="0036319E" w:rsidRPr="000E4A5C">
        <w:rPr>
          <w:rFonts w:ascii="Arial" w:hAnsi="Arial" w:cs="Arial"/>
          <w:b/>
          <w:bCs/>
          <w:i/>
          <w:iCs/>
          <w:color w:val="00B0F0"/>
          <w:sz w:val="22"/>
          <w:szCs w:val="22"/>
        </w:rPr>
        <w:t>introduce alcune semplificazioni per i comuni (e le loro forme associative) condizionate all’approvazione dei bilanci entro i termini ordinari previsti dal TUEL</w:t>
      </w:r>
      <w:r w:rsidR="0036319E" w:rsidRPr="000E4A5C">
        <w:rPr>
          <w:rFonts w:ascii="Arial" w:hAnsi="Arial" w:cs="Arial"/>
          <w:i/>
          <w:iCs/>
          <w:color w:val="00B0F0"/>
          <w:sz w:val="22"/>
          <w:szCs w:val="22"/>
        </w:rPr>
        <w:t xml:space="preserve">, ossia il bilancio consuntivo entro il 30 aprile dell’anno successivo e il bilancio preventivo entro il 31 dicembre dell'anno precedente all’esercizio di riferimento. Le norme che non trovano applicazione sono le seguenti: </w:t>
      </w:r>
    </w:p>
    <w:p w:rsidR="0036319E" w:rsidRPr="000E4A5C" w:rsidRDefault="0036319E" w:rsidP="003D7428">
      <w:pPr>
        <w:pStyle w:val="Paragrafoelenco"/>
        <w:numPr>
          <w:ilvl w:val="0"/>
          <w:numId w:val="30"/>
        </w:numPr>
        <w:autoSpaceDE w:val="0"/>
        <w:autoSpaceDN w:val="0"/>
        <w:adjustRightInd w:val="0"/>
        <w:jc w:val="both"/>
        <w:rPr>
          <w:rFonts w:ascii="Arial" w:hAnsi="Arial" w:cs="Arial"/>
          <w:i/>
          <w:iCs/>
          <w:color w:val="00B0F0"/>
          <w:sz w:val="22"/>
          <w:szCs w:val="22"/>
        </w:rPr>
      </w:pPr>
      <w:r w:rsidRPr="000E4A5C">
        <w:rPr>
          <w:rFonts w:ascii="Arial" w:hAnsi="Arial" w:cs="Arial"/>
          <w:b/>
          <w:i/>
          <w:iCs/>
          <w:color w:val="00B0F0"/>
          <w:sz w:val="22"/>
          <w:szCs w:val="22"/>
        </w:rPr>
        <w:t>commi 4 e 5 dell’articolo 5 della legge n. 67/1987</w:t>
      </w:r>
      <w:r w:rsidR="000E4A5C">
        <w:rPr>
          <w:rFonts w:ascii="Arial" w:hAnsi="Arial" w:cs="Arial"/>
          <w:i/>
          <w:iCs/>
          <w:color w:val="00B0F0"/>
          <w:sz w:val="22"/>
          <w:szCs w:val="22"/>
        </w:rPr>
        <w:t>, relativo</w:t>
      </w:r>
      <w:r w:rsidRPr="000E4A5C">
        <w:rPr>
          <w:rFonts w:ascii="Arial" w:hAnsi="Arial" w:cs="Arial"/>
          <w:i/>
          <w:iCs/>
          <w:color w:val="00B0F0"/>
          <w:sz w:val="22"/>
          <w:szCs w:val="22"/>
        </w:rPr>
        <w:t xml:space="preserve"> all’obbligo di comunicazione al Garante delle telecomunicazioni delle spese pubblicitarie effettuate nel corso di ogni esercizio finanziario, con deposito di riepilogo analitico. L’obbligo riguarda tutte le amministrazioni pubbliche anche in caso di dichiarazione negativa. A norma del comma 5, sono esentati dalla comunicazione negativa i comuni con meno di 40.000 abitanti; </w:t>
      </w:r>
    </w:p>
    <w:p w:rsidR="0036319E" w:rsidRPr="000E4A5C" w:rsidRDefault="0036319E" w:rsidP="00F442A3">
      <w:pPr>
        <w:pStyle w:val="Paragrafoelenco"/>
        <w:numPr>
          <w:ilvl w:val="0"/>
          <w:numId w:val="30"/>
        </w:numPr>
        <w:autoSpaceDE w:val="0"/>
        <w:autoSpaceDN w:val="0"/>
        <w:adjustRightInd w:val="0"/>
        <w:jc w:val="both"/>
        <w:rPr>
          <w:rFonts w:ascii="Arial" w:hAnsi="Arial" w:cs="Arial"/>
          <w:i/>
          <w:color w:val="00B0F0"/>
          <w:sz w:val="22"/>
          <w:szCs w:val="22"/>
        </w:rPr>
      </w:pPr>
      <w:r w:rsidRPr="000E4A5C">
        <w:rPr>
          <w:rFonts w:ascii="Arial" w:hAnsi="Arial" w:cs="Arial"/>
          <w:b/>
          <w:i/>
          <w:iCs/>
          <w:color w:val="00B0F0"/>
          <w:sz w:val="22"/>
          <w:szCs w:val="22"/>
        </w:rPr>
        <w:t>comma 594, articolo 2, della legge n. 244/2007</w:t>
      </w:r>
      <w:r w:rsidRPr="000E4A5C">
        <w:rPr>
          <w:rFonts w:ascii="Arial" w:hAnsi="Arial" w:cs="Arial"/>
          <w:i/>
          <w:iCs/>
          <w:color w:val="00B0F0"/>
          <w:sz w:val="22"/>
          <w:szCs w:val="22"/>
        </w:rPr>
        <w:t xml:space="preserve">, il quale dispone che ai fini del contenimento delle spese di funzionamento delle proprie strutture, le amministrazioni pubbliche (di cui all’art.1, co.2, del D.lgs. 165/2001), adottano </w:t>
      </w:r>
      <w:r w:rsidRPr="000E4A5C">
        <w:rPr>
          <w:rFonts w:ascii="Arial" w:hAnsi="Arial" w:cs="Arial"/>
          <w:b/>
          <w:bCs/>
          <w:i/>
          <w:iCs/>
          <w:color w:val="00B0F0"/>
          <w:sz w:val="22"/>
          <w:szCs w:val="22"/>
        </w:rPr>
        <w:t xml:space="preserve">piani triennali </w:t>
      </w:r>
      <w:r w:rsidRPr="000E4A5C">
        <w:rPr>
          <w:rFonts w:ascii="Arial" w:hAnsi="Arial" w:cs="Arial"/>
          <w:i/>
          <w:iCs/>
          <w:color w:val="00B0F0"/>
          <w:sz w:val="22"/>
          <w:szCs w:val="22"/>
        </w:rPr>
        <w:t xml:space="preserve">per l’individuazione di misure finalizzate alla </w:t>
      </w:r>
      <w:r w:rsidRPr="000E4A5C">
        <w:rPr>
          <w:rFonts w:ascii="Arial" w:hAnsi="Arial" w:cs="Arial"/>
          <w:b/>
          <w:bCs/>
          <w:i/>
          <w:iCs/>
          <w:color w:val="00B0F0"/>
          <w:sz w:val="22"/>
          <w:szCs w:val="22"/>
        </w:rPr>
        <w:t>razionalizzazione dell’utilizzo delle dotazioni strumentali</w:t>
      </w:r>
      <w:r w:rsidRPr="000E4A5C">
        <w:rPr>
          <w:rFonts w:ascii="Arial" w:hAnsi="Arial" w:cs="Arial"/>
          <w:i/>
          <w:iCs/>
          <w:color w:val="00B0F0"/>
          <w:sz w:val="22"/>
          <w:szCs w:val="22"/>
        </w:rPr>
        <w:t xml:space="preserve">, anche informatiche, delle autovetture di servizio, dei beni immobili ad uso abitativo o di servizio, con esclusione dei beni infrastrutturali; </w:t>
      </w:r>
    </w:p>
    <w:p w:rsidR="0036319E" w:rsidRPr="000E4A5C" w:rsidRDefault="0036319E" w:rsidP="003D7428">
      <w:pPr>
        <w:pStyle w:val="Paragrafoelenco"/>
        <w:numPr>
          <w:ilvl w:val="0"/>
          <w:numId w:val="30"/>
        </w:numPr>
        <w:autoSpaceDE w:val="0"/>
        <w:autoSpaceDN w:val="0"/>
        <w:adjustRightInd w:val="0"/>
        <w:jc w:val="both"/>
        <w:rPr>
          <w:rFonts w:ascii="Arial" w:hAnsi="Arial" w:cs="Arial"/>
          <w:i/>
          <w:color w:val="00B0F0"/>
          <w:sz w:val="22"/>
          <w:szCs w:val="22"/>
        </w:rPr>
      </w:pPr>
      <w:r w:rsidRPr="000E4A5C">
        <w:rPr>
          <w:rFonts w:ascii="Arial" w:hAnsi="Arial" w:cs="Arial"/>
          <w:b/>
          <w:i/>
          <w:iCs/>
          <w:color w:val="00B0F0"/>
          <w:sz w:val="22"/>
          <w:szCs w:val="22"/>
        </w:rPr>
        <w:t>commi 12 e 14 dell’articolo 6 del Dl 78/2010</w:t>
      </w:r>
      <w:r w:rsidRPr="000E4A5C">
        <w:rPr>
          <w:rFonts w:ascii="Arial" w:hAnsi="Arial" w:cs="Arial"/>
          <w:i/>
          <w:iCs/>
          <w:color w:val="00B0F0"/>
          <w:sz w:val="22"/>
          <w:szCs w:val="22"/>
        </w:rPr>
        <w:t xml:space="preserve">, relativi alla riduzione dei costi degli apparati amministrativi. In sintesi, il comma 12 prevede che le amministrazioni pubbliche non possono effettuare </w:t>
      </w:r>
      <w:r w:rsidRPr="000E4A5C">
        <w:rPr>
          <w:rFonts w:ascii="Arial" w:hAnsi="Arial" w:cs="Arial"/>
          <w:b/>
          <w:bCs/>
          <w:i/>
          <w:iCs/>
          <w:color w:val="00B0F0"/>
          <w:sz w:val="22"/>
          <w:szCs w:val="22"/>
        </w:rPr>
        <w:t>spese per missioni per un ammontare superiore al 50% della spesa sostenuta nell'anno 2009</w:t>
      </w:r>
      <w:r w:rsidRPr="000E4A5C">
        <w:rPr>
          <w:rFonts w:ascii="Arial" w:hAnsi="Arial" w:cs="Arial"/>
          <w:i/>
          <w:iCs/>
          <w:color w:val="00B0F0"/>
          <w:sz w:val="22"/>
          <w:szCs w:val="22"/>
        </w:rPr>
        <w:t xml:space="preserve">. Il comma 14 dispone che a decorrere dall'anno 2011 le amministrazioni pubbliche non possono </w:t>
      </w:r>
      <w:r w:rsidRPr="000E4A5C">
        <w:rPr>
          <w:rFonts w:ascii="Arial" w:hAnsi="Arial" w:cs="Arial"/>
          <w:b/>
          <w:bCs/>
          <w:i/>
          <w:iCs/>
          <w:color w:val="00B0F0"/>
          <w:sz w:val="22"/>
          <w:szCs w:val="22"/>
        </w:rPr>
        <w:t xml:space="preserve">effettuare spese per autovetture </w:t>
      </w:r>
      <w:r w:rsidRPr="000E4A5C">
        <w:rPr>
          <w:rFonts w:ascii="Arial" w:hAnsi="Arial" w:cs="Arial"/>
          <w:i/>
          <w:iCs/>
          <w:color w:val="00B0F0"/>
          <w:sz w:val="22"/>
          <w:szCs w:val="22"/>
        </w:rPr>
        <w:t xml:space="preserve">(acquisto, manutenzione, noleggio, buoni taxi), </w:t>
      </w:r>
      <w:r w:rsidRPr="000E4A5C">
        <w:rPr>
          <w:rFonts w:ascii="Arial" w:hAnsi="Arial" w:cs="Arial"/>
          <w:b/>
          <w:bCs/>
          <w:i/>
          <w:iCs/>
          <w:color w:val="00B0F0"/>
          <w:sz w:val="22"/>
          <w:szCs w:val="22"/>
        </w:rPr>
        <w:t>per un ammontare superiore all'80 per cento della spesa sostenuta nell'anno 2009</w:t>
      </w:r>
      <w:r w:rsidRPr="000E4A5C">
        <w:rPr>
          <w:rFonts w:ascii="Arial" w:hAnsi="Arial" w:cs="Arial"/>
          <w:i/>
          <w:iCs/>
          <w:color w:val="00B0F0"/>
          <w:sz w:val="22"/>
          <w:szCs w:val="22"/>
        </w:rPr>
        <w:t xml:space="preserve">; </w:t>
      </w:r>
    </w:p>
    <w:p w:rsidR="0036319E" w:rsidRPr="000E4A5C" w:rsidRDefault="0036319E" w:rsidP="003D7428">
      <w:pPr>
        <w:pStyle w:val="Paragrafoelenco"/>
        <w:numPr>
          <w:ilvl w:val="0"/>
          <w:numId w:val="30"/>
        </w:numPr>
        <w:autoSpaceDE w:val="0"/>
        <w:autoSpaceDN w:val="0"/>
        <w:adjustRightInd w:val="0"/>
        <w:jc w:val="both"/>
        <w:rPr>
          <w:rFonts w:ascii="Arial" w:hAnsi="Arial" w:cs="Arial"/>
          <w:i/>
          <w:color w:val="00B0F0"/>
          <w:sz w:val="22"/>
          <w:szCs w:val="22"/>
        </w:rPr>
      </w:pPr>
      <w:r w:rsidRPr="000E4A5C">
        <w:rPr>
          <w:rFonts w:ascii="Arial" w:hAnsi="Arial" w:cs="Arial"/>
          <w:b/>
          <w:i/>
          <w:iCs/>
          <w:color w:val="00B0F0"/>
          <w:sz w:val="22"/>
          <w:szCs w:val="22"/>
        </w:rPr>
        <w:t>comma 1-ter dell’articolo 12 del Dl 98/2011</w:t>
      </w:r>
      <w:r w:rsidRPr="000E4A5C">
        <w:rPr>
          <w:rFonts w:ascii="Arial" w:hAnsi="Arial" w:cs="Arial"/>
          <w:i/>
          <w:iCs/>
          <w:color w:val="00B0F0"/>
          <w:sz w:val="22"/>
          <w:szCs w:val="22"/>
        </w:rPr>
        <w:t xml:space="preserve">, il quale prevede che a decorrere dal 1° gennaio 2014, gli enti territoriali e gli enti del Servizio sanitario nazionale, al fine di pervenire a risparmi di spesa ulteriori rispetto a quelli previsti dal patto di stabilità interno, effettuano </w:t>
      </w:r>
      <w:r w:rsidRPr="000E4A5C">
        <w:rPr>
          <w:rFonts w:ascii="Arial" w:hAnsi="Arial" w:cs="Arial"/>
          <w:b/>
          <w:bCs/>
          <w:i/>
          <w:iCs/>
          <w:color w:val="00B0F0"/>
          <w:sz w:val="22"/>
          <w:szCs w:val="22"/>
        </w:rPr>
        <w:t xml:space="preserve">operazioni di acquisto di immobili solo ove ne siano comprovate documentalmente l'indispensabilità e l'indilazionabilità </w:t>
      </w:r>
      <w:r w:rsidRPr="000E4A5C">
        <w:rPr>
          <w:rFonts w:ascii="Arial" w:hAnsi="Arial" w:cs="Arial"/>
          <w:i/>
          <w:iCs/>
          <w:color w:val="00B0F0"/>
          <w:sz w:val="22"/>
          <w:szCs w:val="22"/>
        </w:rPr>
        <w:t xml:space="preserve">attestate dal responsabile del procedimento; </w:t>
      </w:r>
    </w:p>
    <w:p w:rsidR="0036319E" w:rsidRPr="000E4A5C" w:rsidRDefault="0036319E" w:rsidP="003D7428">
      <w:pPr>
        <w:pStyle w:val="Paragrafoelenco"/>
        <w:numPr>
          <w:ilvl w:val="0"/>
          <w:numId w:val="30"/>
        </w:numPr>
        <w:autoSpaceDE w:val="0"/>
        <w:autoSpaceDN w:val="0"/>
        <w:adjustRightInd w:val="0"/>
        <w:jc w:val="both"/>
        <w:rPr>
          <w:rFonts w:ascii="Arial" w:hAnsi="Arial" w:cs="Arial"/>
          <w:i/>
          <w:color w:val="00B0F0"/>
          <w:sz w:val="22"/>
          <w:szCs w:val="22"/>
        </w:rPr>
      </w:pPr>
      <w:r w:rsidRPr="000E4A5C">
        <w:rPr>
          <w:rFonts w:ascii="Arial" w:hAnsi="Arial" w:cs="Arial"/>
          <w:b/>
          <w:i/>
          <w:iCs/>
          <w:color w:val="00B0F0"/>
          <w:sz w:val="22"/>
          <w:szCs w:val="22"/>
        </w:rPr>
        <w:t>comma 2 dell’articolo 5 del Dl 95/2012</w:t>
      </w:r>
      <w:r w:rsidRPr="000E4A5C">
        <w:rPr>
          <w:rFonts w:ascii="Arial" w:hAnsi="Arial" w:cs="Arial"/>
          <w:i/>
          <w:iCs/>
          <w:color w:val="00B0F0"/>
          <w:sz w:val="22"/>
          <w:szCs w:val="22"/>
        </w:rPr>
        <w:t xml:space="preserve">, che dispone che a decorrere dal 1° maggio 2014, le amministrazioni pubbliche non possono effettuare </w:t>
      </w:r>
      <w:r w:rsidRPr="000E4A5C">
        <w:rPr>
          <w:rFonts w:ascii="Arial" w:hAnsi="Arial" w:cs="Arial"/>
          <w:b/>
          <w:bCs/>
          <w:i/>
          <w:iCs/>
          <w:color w:val="00B0F0"/>
          <w:sz w:val="22"/>
          <w:szCs w:val="22"/>
        </w:rPr>
        <w:t>spese per autovetture</w:t>
      </w:r>
      <w:r w:rsidRPr="000E4A5C">
        <w:rPr>
          <w:rFonts w:ascii="Arial" w:hAnsi="Arial" w:cs="Arial"/>
          <w:i/>
          <w:iCs/>
          <w:color w:val="00B0F0"/>
          <w:sz w:val="22"/>
          <w:szCs w:val="22"/>
        </w:rPr>
        <w:t xml:space="preserve">, </w:t>
      </w:r>
      <w:r w:rsidRPr="000E4A5C">
        <w:rPr>
          <w:rFonts w:ascii="Arial" w:hAnsi="Arial" w:cs="Arial"/>
          <w:b/>
          <w:bCs/>
          <w:i/>
          <w:iCs/>
          <w:color w:val="00B0F0"/>
          <w:sz w:val="22"/>
          <w:szCs w:val="22"/>
        </w:rPr>
        <w:t>di ammontare superiore al 30 per cento della spesa sostenuta nell'anno 2011</w:t>
      </w:r>
      <w:r w:rsidRPr="000E4A5C">
        <w:rPr>
          <w:rFonts w:ascii="Arial" w:hAnsi="Arial" w:cs="Arial"/>
          <w:i/>
          <w:iCs/>
          <w:color w:val="00B0F0"/>
          <w:sz w:val="22"/>
          <w:szCs w:val="22"/>
        </w:rPr>
        <w:t xml:space="preserve">; </w:t>
      </w:r>
    </w:p>
    <w:p w:rsidR="0036319E" w:rsidRPr="000E4A5C" w:rsidRDefault="0036319E" w:rsidP="003D7428">
      <w:pPr>
        <w:pStyle w:val="Paragrafoelenco"/>
        <w:numPr>
          <w:ilvl w:val="0"/>
          <w:numId w:val="30"/>
        </w:numPr>
        <w:autoSpaceDE w:val="0"/>
        <w:autoSpaceDN w:val="0"/>
        <w:adjustRightInd w:val="0"/>
        <w:jc w:val="both"/>
        <w:rPr>
          <w:rFonts w:ascii="Arial" w:hAnsi="Arial" w:cs="Arial"/>
          <w:i/>
          <w:color w:val="00B0F0"/>
          <w:sz w:val="22"/>
          <w:szCs w:val="22"/>
        </w:rPr>
      </w:pPr>
      <w:r w:rsidRPr="000E4A5C">
        <w:rPr>
          <w:rFonts w:ascii="Arial" w:hAnsi="Arial" w:cs="Arial"/>
          <w:b/>
          <w:i/>
          <w:iCs/>
          <w:color w:val="00B0F0"/>
          <w:sz w:val="22"/>
          <w:szCs w:val="22"/>
        </w:rPr>
        <w:t>articolo 24 del Dl 66/2014</w:t>
      </w:r>
      <w:r w:rsidRPr="000E4A5C">
        <w:rPr>
          <w:rFonts w:ascii="Arial" w:hAnsi="Arial" w:cs="Arial"/>
          <w:i/>
          <w:iCs/>
          <w:color w:val="00B0F0"/>
          <w:sz w:val="22"/>
          <w:szCs w:val="22"/>
        </w:rPr>
        <w:t xml:space="preserve">, che riguarda le norme in materia di locazioni e manutenzioni di immobili da parte delle pubbliche amministrazioni. In particolare, la disposizione in </w:t>
      </w:r>
      <w:r w:rsidRPr="000E4A5C">
        <w:rPr>
          <w:rFonts w:ascii="Arial" w:hAnsi="Arial" w:cs="Arial"/>
          <w:i/>
          <w:iCs/>
          <w:color w:val="00B0F0"/>
          <w:sz w:val="22"/>
          <w:szCs w:val="22"/>
        </w:rPr>
        <w:lastRenderedPageBreak/>
        <w:t xml:space="preserve">questione prevede specifici </w:t>
      </w:r>
      <w:r w:rsidRPr="000E4A5C">
        <w:rPr>
          <w:rFonts w:ascii="Arial" w:hAnsi="Arial" w:cs="Arial"/>
          <w:b/>
          <w:bCs/>
          <w:i/>
          <w:iCs/>
          <w:color w:val="00B0F0"/>
          <w:sz w:val="22"/>
          <w:szCs w:val="22"/>
        </w:rPr>
        <w:t>obblighi volti a ridurre le spese concernenti la locazione e la manutenzione degli immobili</w:t>
      </w:r>
      <w:r w:rsidRPr="000E4A5C">
        <w:rPr>
          <w:rFonts w:ascii="Arial" w:hAnsi="Arial" w:cs="Arial"/>
          <w:i/>
          <w:iCs/>
          <w:color w:val="00B0F0"/>
          <w:sz w:val="22"/>
          <w:szCs w:val="22"/>
        </w:rPr>
        <w:t xml:space="preserve">, anche attraverso il recesso contrattuale. </w:t>
      </w:r>
    </w:p>
    <w:p w:rsidR="0036319E" w:rsidRPr="003D7428" w:rsidRDefault="0036319E">
      <w:pPr>
        <w:jc w:val="both"/>
        <w:rPr>
          <w:rFonts w:ascii="Arial" w:hAnsi="Arial" w:cs="Arial"/>
          <w:i/>
          <w:color w:val="00B0F0"/>
          <w:sz w:val="22"/>
          <w:szCs w:val="22"/>
        </w:rPr>
      </w:pPr>
    </w:p>
    <w:p w:rsidR="009F6E3E" w:rsidRPr="00D80990" w:rsidRDefault="009F6E3E">
      <w:pPr>
        <w:jc w:val="both"/>
        <w:rPr>
          <w:rFonts w:ascii="Arial" w:hAnsi="Arial" w:cs="Arial"/>
          <w:sz w:val="22"/>
          <w:szCs w:val="22"/>
        </w:rPr>
      </w:pPr>
    </w:p>
    <w:p w:rsidR="00E453A3" w:rsidRPr="00D80990" w:rsidRDefault="00E453A3" w:rsidP="00E453A3">
      <w:pPr>
        <w:pStyle w:val="Titolo3"/>
        <w:rPr>
          <w:szCs w:val="22"/>
        </w:rPr>
      </w:pPr>
      <w:bookmarkStart w:id="66" w:name="_Toc535487622"/>
      <w:bookmarkStart w:id="67" w:name="_Toc346838833"/>
      <w:r w:rsidRPr="00D80990">
        <w:rPr>
          <w:szCs w:val="22"/>
        </w:rPr>
        <w:t>Fondo crediti di dubbia esigibilità (FCDE)</w:t>
      </w:r>
      <w:bookmarkEnd w:id="66"/>
    </w:p>
    <w:p w:rsidR="00E453A3" w:rsidRPr="00D80990" w:rsidRDefault="00E453A3" w:rsidP="00E453A3">
      <w:pPr>
        <w:rPr>
          <w:rFonts w:ascii="Arial" w:hAnsi="Arial" w:cs="Arial"/>
          <w:sz w:val="22"/>
          <w:szCs w:val="22"/>
        </w:rPr>
      </w:pPr>
    </w:p>
    <w:p w:rsidR="00E453A3" w:rsidRPr="00D80990" w:rsidRDefault="00E453A3" w:rsidP="00E453A3">
      <w:pPr>
        <w:jc w:val="both"/>
        <w:rPr>
          <w:rFonts w:ascii="Arial" w:hAnsi="Arial" w:cs="Arial"/>
          <w:i/>
          <w:color w:val="365F91" w:themeColor="accent1" w:themeShade="BF"/>
          <w:sz w:val="22"/>
          <w:szCs w:val="22"/>
        </w:rPr>
      </w:pPr>
      <w:r w:rsidRPr="00D80990">
        <w:rPr>
          <w:rFonts w:ascii="Arial" w:hAnsi="Arial" w:cs="Arial"/>
          <w:i/>
          <w:color w:val="00B0F0"/>
          <w:sz w:val="22"/>
          <w:szCs w:val="22"/>
        </w:rPr>
        <w:t>Riferimento punto 3.3 del principio applicato 4/2 D.Lgs. 118/2011</w:t>
      </w:r>
      <w:r>
        <w:rPr>
          <w:rFonts w:ascii="Arial" w:hAnsi="Arial" w:cs="Arial"/>
          <w:i/>
          <w:color w:val="00B0F0"/>
          <w:sz w:val="22"/>
          <w:szCs w:val="22"/>
        </w:rPr>
        <w:t xml:space="preserve"> e esempio n. 5</w:t>
      </w:r>
    </w:p>
    <w:p w:rsidR="00E453A3" w:rsidRPr="00D80990" w:rsidRDefault="00E453A3" w:rsidP="00E453A3">
      <w:pPr>
        <w:jc w:val="both"/>
        <w:rPr>
          <w:rFonts w:ascii="Arial" w:hAnsi="Arial" w:cs="Arial"/>
          <w:sz w:val="22"/>
          <w:szCs w:val="22"/>
        </w:rPr>
      </w:pPr>
    </w:p>
    <w:p w:rsidR="00E453A3" w:rsidRPr="00D80990" w:rsidRDefault="00E453A3" w:rsidP="00E453A3">
      <w:pPr>
        <w:jc w:val="both"/>
        <w:rPr>
          <w:rFonts w:ascii="Arial" w:hAnsi="Arial" w:cs="Arial"/>
          <w:sz w:val="22"/>
          <w:szCs w:val="22"/>
        </w:rPr>
      </w:pPr>
      <w:r>
        <w:rPr>
          <w:rFonts w:ascii="Arial" w:hAnsi="Arial" w:cs="Arial"/>
          <w:sz w:val="22"/>
          <w:szCs w:val="22"/>
        </w:rPr>
        <w:t>Gli stanziamenti iscritti nella missione 20, programma 2(accantonamenti al fondo crediti dubbia esigibilità) a titolo di</w:t>
      </w:r>
      <w:r w:rsidRPr="00D80990">
        <w:rPr>
          <w:rFonts w:ascii="Arial" w:hAnsi="Arial" w:cs="Arial"/>
          <w:sz w:val="22"/>
          <w:szCs w:val="22"/>
        </w:rPr>
        <w:t xml:space="preserve"> FCDE </w:t>
      </w:r>
      <w:r>
        <w:rPr>
          <w:rFonts w:ascii="Arial" w:hAnsi="Arial" w:cs="Arial"/>
          <w:sz w:val="22"/>
          <w:szCs w:val="22"/>
        </w:rPr>
        <w:t>per ciascuno degli anni</w:t>
      </w:r>
      <w:r w:rsidRPr="00D80990">
        <w:rPr>
          <w:rFonts w:ascii="Arial" w:hAnsi="Arial" w:cs="Arial"/>
          <w:sz w:val="22"/>
          <w:szCs w:val="22"/>
        </w:rPr>
        <w:t xml:space="preserve"> 201</w:t>
      </w:r>
      <w:r>
        <w:rPr>
          <w:rFonts w:ascii="Arial" w:hAnsi="Arial" w:cs="Arial"/>
          <w:sz w:val="22"/>
          <w:szCs w:val="22"/>
        </w:rPr>
        <w:t xml:space="preserve">9-2021risultano dai </w:t>
      </w:r>
      <w:r w:rsidRPr="00D80990">
        <w:rPr>
          <w:rFonts w:ascii="Arial" w:hAnsi="Arial" w:cs="Arial"/>
          <w:sz w:val="22"/>
          <w:szCs w:val="22"/>
        </w:rPr>
        <w:t xml:space="preserve">prospetti che seguono per singola tipologia di entrata. </w:t>
      </w:r>
    </w:p>
    <w:p w:rsidR="00E453A3" w:rsidRDefault="00E453A3" w:rsidP="00E453A3">
      <w:pPr>
        <w:jc w:val="both"/>
        <w:rPr>
          <w:rFonts w:ascii="Arial" w:hAnsi="Arial" w:cs="Arial"/>
          <w:sz w:val="22"/>
          <w:szCs w:val="22"/>
        </w:rPr>
      </w:pPr>
    </w:p>
    <w:p w:rsidR="00E453A3" w:rsidRDefault="00E453A3" w:rsidP="00E453A3">
      <w:pPr>
        <w:tabs>
          <w:tab w:val="left" w:pos="284"/>
        </w:tabs>
        <w:ind w:right="-1"/>
        <w:jc w:val="both"/>
        <w:rPr>
          <w:rFonts w:ascii="Arial" w:hAnsi="Arial" w:cs="Arial"/>
          <w:i/>
          <w:color w:val="00B0F0"/>
          <w:sz w:val="22"/>
          <w:szCs w:val="22"/>
        </w:rPr>
      </w:pPr>
      <w:r w:rsidRPr="00D80990">
        <w:rPr>
          <w:rFonts w:ascii="Arial" w:hAnsi="Arial" w:cs="Arial"/>
          <w:i/>
          <w:color w:val="00B0F0"/>
          <w:sz w:val="22"/>
          <w:szCs w:val="22"/>
        </w:rPr>
        <w:t>Il fondo crediti di dubbia esigibilità, pur confluendo in un unico piano finanziario</w:t>
      </w:r>
      <w:r>
        <w:rPr>
          <w:rFonts w:ascii="Arial" w:hAnsi="Arial" w:cs="Arial"/>
          <w:i/>
          <w:color w:val="00B0F0"/>
          <w:sz w:val="22"/>
          <w:szCs w:val="22"/>
        </w:rPr>
        <w:t xml:space="preserve"> (distinto fra parte corrente e in conto capitale)</w:t>
      </w:r>
      <w:r w:rsidRPr="00D80990">
        <w:rPr>
          <w:rFonts w:ascii="Arial" w:hAnsi="Arial" w:cs="Arial"/>
          <w:i/>
          <w:color w:val="00B0F0"/>
          <w:sz w:val="22"/>
          <w:szCs w:val="22"/>
        </w:rPr>
        <w:t xml:space="preserve"> incluso nella missione 20 programma 2, deve essere articolato distintamente in considerazione della differente natura dei crediti.</w:t>
      </w:r>
    </w:p>
    <w:p w:rsidR="00E453A3" w:rsidRDefault="00E453A3" w:rsidP="00E453A3">
      <w:pPr>
        <w:tabs>
          <w:tab w:val="left" w:pos="284"/>
        </w:tabs>
        <w:ind w:right="-1"/>
        <w:jc w:val="both"/>
        <w:rPr>
          <w:rFonts w:ascii="Arial" w:hAnsi="Arial" w:cs="Arial"/>
          <w:i/>
          <w:color w:val="00B0F0"/>
          <w:sz w:val="22"/>
          <w:szCs w:val="22"/>
        </w:rPr>
      </w:pPr>
    </w:p>
    <w:p w:rsidR="00E453A3" w:rsidRPr="00536A56" w:rsidRDefault="00E453A3" w:rsidP="00E453A3">
      <w:pPr>
        <w:tabs>
          <w:tab w:val="left" w:pos="284"/>
        </w:tabs>
        <w:ind w:right="-1"/>
        <w:jc w:val="both"/>
        <w:rPr>
          <w:rFonts w:ascii="Arial" w:hAnsi="Arial" w:cs="Arial"/>
          <w:i/>
          <w:color w:val="00B0F0"/>
          <w:sz w:val="22"/>
          <w:szCs w:val="22"/>
          <w:u w:val="single"/>
        </w:rPr>
      </w:pPr>
      <w:r w:rsidRPr="00536A56">
        <w:rPr>
          <w:rFonts w:ascii="Arial" w:hAnsi="Arial" w:cs="Arial"/>
          <w:i/>
          <w:color w:val="00B0F0"/>
          <w:sz w:val="22"/>
          <w:szCs w:val="22"/>
          <w:u w:val="single"/>
        </w:rPr>
        <w:t>Inoltre</w:t>
      </w:r>
      <w:r w:rsidR="007E421F">
        <w:rPr>
          <w:rFonts w:ascii="Arial" w:hAnsi="Arial" w:cs="Arial"/>
          <w:i/>
          <w:color w:val="00B0F0"/>
          <w:sz w:val="22"/>
          <w:szCs w:val="22"/>
          <w:u w:val="single"/>
        </w:rPr>
        <w:t>,</w:t>
      </w:r>
      <w:r w:rsidRPr="00536A56">
        <w:rPr>
          <w:rFonts w:ascii="Arial" w:hAnsi="Arial" w:cs="Arial"/>
          <w:i/>
          <w:color w:val="00B0F0"/>
          <w:sz w:val="22"/>
          <w:szCs w:val="22"/>
          <w:u w:val="single"/>
        </w:rPr>
        <w:t xml:space="preserve"> l’importo indicato nel prospetto del fcde deve essere uguale a quello indicato nella missione 20, programma 1, e nel prospetto degli equilibri</w:t>
      </w:r>
      <w:r>
        <w:rPr>
          <w:rFonts w:ascii="Arial" w:hAnsi="Arial" w:cs="Arial"/>
          <w:i/>
          <w:color w:val="00B0F0"/>
          <w:sz w:val="22"/>
          <w:szCs w:val="22"/>
          <w:u w:val="single"/>
        </w:rPr>
        <w:t>.</w:t>
      </w:r>
    </w:p>
    <w:p w:rsidR="00E453A3" w:rsidRDefault="00E453A3" w:rsidP="00E453A3">
      <w:pPr>
        <w:tabs>
          <w:tab w:val="left" w:pos="284"/>
        </w:tabs>
        <w:ind w:right="-1"/>
        <w:jc w:val="both"/>
        <w:rPr>
          <w:rFonts w:ascii="Arial" w:hAnsi="Arial" w:cs="Arial"/>
          <w:i/>
          <w:color w:val="00B0F0"/>
          <w:sz w:val="22"/>
          <w:szCs w:val="22"/>
        </w:rPr>
      </w:pPr>
    </w:p>
    <w:p w:rsidR="00E453A3" w:rsidRPr="00D80990" w:rsidRDefault="00E453A3" w:rsidP="00E453A3">
      <w:pPr>
        <w:tabs>
          <w:tab w:val="left" w:pos="284"/>
        </w:tabs>
        <w:ind w:right="-1"/>
        <w:jc w:val="both"/>
        <w:rPr>
          <w:rFonts w:ascii="Arial" w:hAnsi="Arial" w:cs="Arial"/>
          <w:b/>
          <w:i/>
          <w:color w:val="00B0F0"/>
          <w:sz w:val="22"/>
          <w:szCs w:val="22"/>
        </w:rPr>
      </w:pPr>
      <w:r w:rsidRPr="00D80990">
        <w:rPr>
          <w:rFonts w:ascii="Arial" w:hAnsi="Arial" w:cs="Arial"/>
          <w:i/>
          <w:color w:val="00B0F0"/>
          <w:sz w:val="22"/>
          <w:szCs w:val="22"/>
        </w:rPr>
        <w:t>Non sono oggetto di svalutazione i crediti da altre amministrazioni pubbliche</w:t>
      </w:r>
      <w:r>
        <w:rPr>
          <w:rFonts w:ascii="Arial" w:hAnsi="Arial" w:cs="Arial"/>
          <w:i/>
          <w:color w:val="00B0F0"/>
          <w:sz w:val="22"/>
          <w:szCs w:val="22"/>
        </w:rPr>
        <w:t xml:space="preserve"> (si fa riferimento a Elenco Istat)</w:t>
      </w:r>
      <w:r w:rsidRPr="00D80990">
        <w:rPr>
          <w:rFonts w:ascii="Arial" w:hAnsi="Arial" w:cs="Arial"/>
          <w:i/>
          <w:color w:val="00B0F0"/>
          <w:sz w:val="22"/>
          <w:szCs w:val="22"/>
        </w:rPr>
        <w:t>, i crediti assistiti da fidejussione e le entrate tributarie che, sulla base dei principi contabili sono accertate per cassa. Per le entrate da tributi in autoliquidazione in ossequio al principio 3.7.5, stante le modalità di accertamento non è stato previsto il FCDE</w:t>
      </w:r>
    </w:p>
    <w:p w:rsidR="00E453A3" w:rsidRPr="00D80990" w:rsidRDefault="00E453A3" w:rsidP="00E453A3">
      <w:pPr>
        <w:tabs>
          <w:tab w:val="left" w:pos="284"/>
        </w:tabs>
        <w:ind w:right="-1"/>
        <w:jc w:val="both"/>
        <w:rPr>
          <w:rFonts w:ascii="Arial" w:hAnsi="Arial" w:cs="Arial"/>
          <w:i/>
          <w:color w:val="00B0F0"/>
          <w:sz w:val="22"/>
          <w:szCs w:val="22"/>
        </w:rPr>
      </w:pPr>
      <w:r w:rsidRPr="00D80990">
        <w:rPr>
          <w:rFonts w:ascii="Arial" w:hAnsi="Arial" w:cs="Arial"/>
          <w:i/>
          <w:color w:val="00B0F0"/>
          <w:sz w:val="22"/>
          <w:szCs w:val="22"/>
        </w:rPr>
        <w:t>Non sono altresì oggetto di svalutazione le entrate di dubbia e difficile esazione riguardanti entrate riscosse da un ente per conto di un altro ente e destinate ad essere versate all’ente beneficiario finale. Il fondo crediti di dubbia esigibilità è accantonato dall’ente beneficiario finale.</w:t>
      </w:r>
    </w:p>
    <w:p w:rsidR="00E453A3" w:rsidRDefault="00E453A3" w:rsidP="00E453A3">
      <w:pPr>
        <w:tabs>
          <w:tab w:val="left" w:pos="284"/>
        </w:tabs>
        <w:ind w:right="-1"/>
        <w:jc w:val="both"/>
        <w:rPr>
          <w:rFonts w:ascii="Arial" w:hAnsi="Arial" w:cs="Arial"/>
          <w:i/>
          <w:color w:val="00B0F0"/>
          <w:sz w:val="22"/>
          <w:szCs w:val="22"/>
        </w:rPr>
      </w:pPr>
    </w:p>
    <w:p w:rsidR="00E453A3" w:rsidRDefault="00E453A3" w:rsidP="00E453A3">
      <w:pPr>
        <w:tabs>
          <w:tab w:val="left" w:pos="284"/>
        </w:tabs>
        <w:ind w:right="-1"/>
        <w:jc w:val="both"/>
        <w:rPr>
          <w:rFonts w:ascii="Arial" w:hAnsi="Arial" w:cs="Arial"/>
          <w:i/>
          <w:color w:val="00B0F0"/>
          <w:sz w:val="22"/>
          <w:szCs w:val="22"/>
        </w:rPr>
      </w:pPr>
      <w:r w:rsidRPr="0019299F">
        <w:rPr>
          <w:rFonts w:ascii="Arial" w:hAnsi="Arial" w:cs="Arial"/>
          <w:i/>
          <w:color w:val="00B0F0"/>
          <w:sz w:val="22"/>
          <w:szCs w:val="22"/>
        </w:rPr>
        <w:t>Con riferimento alle entrate che l’ente non considera di dubbia e difficile esazione, per le quali non si provvede all’accantonamento al fondo crediti di dubbia esigibilità, è necessario dare adeguata illustrazione nella Nota integrativa al bilancio</w:t>
      </w:r>
      <w:r>
        <w:rPr>
          <w:rFonts w:ascii="Arial" w:hAnsi="Arial" w:cs="Arial"/>
          <w:i/>
          <w:color w:val="00B0F0"/>
          <w:sz w:val="22"/>
          <w:szCs w:val="22"/>
        </w:rPr>
        <w:t>.</w:t>
      </w:r>
    </w:p>
    <w:p w:rsidR="00E453A3" w:rsidRDefault="00E453A3" w:rsidP="00E453A3">
      <w:pPr>
        <w:tabs>
          <w:tab w:val="left" w:pos="284"/>
        </w:tabs>
        <w:ind w:right="-1"/>
        <w:jc w:val="both"/>
        <w:rPr>
          <w:rFonts w:ascii="Arial" w:hAnsi="Arial" w:cs="Arial"/>
          <w:i/>
          <w:color w:val="00B0F0"/>
          <w:sz w:val="22"/>
          <w:szCs w:val="22"/>
        </w:rPr>
      </w:pPr>
    </w:p>
    <w:p w:rsidR="00E453A3" w:rsidRPr="00D80990" w:rsidRDefault="00E453A3" w:rsidP="00E453A3">
      <w:pPr>
        <w:jc w:val="both"/>
        <w:rPr>
          <w:rFonts w:ascii="Arial" w:hAnsi="Arial" w:cs="Arial"/>
          <w:sz w:val="22"/>
          <w:szCs w:val="22"/>
        </w:rPr>
      </w:pPr>
      <w:r w:rsidRPr="00D80990">
        <w:rPr>
          <w:rFonts w:ascii="Arial" w:hAnsi="Arial" w:cs="Arial"/>
          <w:sz w:val="22"/>
          <w:szCs w:val="22"/>
        </w:rPr>
        <w:t xml:space="preserve">Il FCDE è determinato applicando all’importo complessivo degli stanziamenti di ciascuna delle entrate una percentuale pari al complemento a 100 delle medie calcolate come di seguito specificato. </w:t>
      </w:r>
    </w:p>
    <w:p w:rsidR="00E453A3" w:rsidRPr="00D80990" w:rsidRDefault="00E453A3" w:rsidP="00E453A3">
      <w:pPr>
        <w:tabs>
          <w:tab w:val="left" w:pos="284"/>
        </w:tabs>
        <w:ind w:right="-1"/>
        <w:jc w:val="both"/>
        <w:rPr>
          <w:rFonts w:ascii="Arial" w:hAnsi="Arial" w:cs="Arial"/>
          <w:color w:val="17365D" w:themeColor="text2" w:themeShade="BF"/>
          <w:sz w:val="22"/>
          <w:szCs w:val="22"/>
        </w:rPr>
      </w:pPr>
      <w:r w:rsidRPr="00D80990">
        <w:rPr>
          <w:rFonts w:ascii="Arial" w:hAnsi="Arial" w:cs="Arial"/>
          <w:sz w:val="22"/>
          <w:szCs w:val="22"/>
        </w:rPr>
        <w:t>I calcoli sono stati effettuati applicando al rapporto tra gli incassi in c/competenza e gli accertamenti degli ultimi 5 esercizi, il seguente metodo ………….(</w:t>
      </w:r>
      <w:r w:rsidRPr="00D80990">
        <w:rPr>
          <w:rFonts w:ascii="Arial" w:hAnsi="Arial" w:cs="Arial"/>
          <w:i/>
          <w:color w:val="00B0F0"/>
          <w:sz w:val="22"/>
          <w:szCs w:val="22"/>
        </w:rPr>
        <w:t>specificare  quali delle seguenti medie è stata prescelta</w:t>
      </w:r>
      <w:r w:rsidRPr="00D80990">
        <w:rPr>
          <w:rFonts w:ascii="Arial" w:hAnsi="Arial" w:cs="Arial"/>
          <w:color w:val="17365D" w:themeColor="text2" w:themeShade="BF"/>
          <w:sz w:val="22"/>
          <w:szCs w:val="22"/>
        </w:rPr>
        <w:t>):</w:t>
      </w:r>
    </w:p>
    <w:p w:rsidR="00E453A3" w:rsidRPr="00D80990" w:rsidRDefault="00E453A3" w:rsidP="00E453A3">
      <w:pPr>
        <w:pStyle w:val="Paragrafoelenco"/>
        <w:numPr>
          <w:ilvl w:val="0"/>
          <w:numId w:val="14"/>
        </w:numPr>
        <w:jc w:val="both"/>
        <w:rPr>
          <w:rFonts w:ascii="Arial" w:hAnsi="Arial" w:cs="Arial"/>
          <w:color w:val="17365D" w:themeColor="text2" w:themeShade="BF"/>
          <w:sz w:val="22"/>
          <w:szCs w:val="22"/>
        </w:rPr>
      </w:pPr>
      <w:r w:rsidRPr="00D80990">
        <w:rPr>
          <w:rFonts w:ascii="Arial" w:hAnsi="Arial" w:cs="Arial"/>
          <w:color w:val="17365D" w:themeColor="text2" w:themeShade="BF"/>
          <w:sz w:val="22"/>
          <w:szCs w:val="22"/>
        </w:rPr>
        <w:t>media semplice (sia la media fra totale incassato e totale accertato, sia la  media dei rapporti annui);</w:t>
      </w:r>
    </w:p>
    <w:p w:rsidR="00E453A3" w:rsidRPr="00D80990" w:rsidRDefault="00E453A3" w:rsidP="00E453A3">
      <w:pPr>
        <w:pStyle w:val="Paragrafoelenco"/>
        <w:numPr>
          <w:ilvl w:val="0"/>
          <w:numId w:val="14"/>
        </w:numPr>
        <w:jc w:val="both"/>
        <w:rPr>
          <w:rFonts w:ascii="Arial" w:hAnsi="Arial" w:cs="Arial"/>
          <w:color w:val="17365D" w:themeColor="text2" w:themeShade="BF"/>
          <w:sz w:val="22"/>
          <w:szCs w:val="22"/>
        </w:rPr>
      </w:pPr>
      <w:r w:rsidRPr="00D80990">
        <w:rPr>
          <w:rFonts w:ascii="Arial" w:hAnsi="Arial" w:cs="Arial"/>
          <w:color w:val="17365D" w:themeColor="text2" w:themeShade="BF"/>
          <w:sz w:val="22"/>
          <w:szCs w:val="22"/>
        </w:rPr>
        <w:t>rapporto tra la sommatoria degli incassi di ciascun anno ponderati con i seguenti pesi: 0,35 in ciascuno degli anni nel biennio precedente e lo 0,10 in ciascuno degli anni del primo triennio - rispetto alla sommatoria degli accertamenti di ciascuna anno ponderati con i medesimi pesi indicati per gli incassi;</w:t>
      </w:r>
    </w:p>
    <w:p w:rsidR="00E453A3" w:rsidRPr="00D80990" w:rsidRDefault="00E453A3" w:rsidP="00E453A3">
      <w:pPr>
        <w:pStyle w:val="Paragrafoelenco"/>
        <w:numPr>
          <w:ilvl w:val="0"/>
          <w:numId w:val="14"/>
        </w:numPr>
        <w:jc w:val="both"/>
        <w:rPr>
          <w:rFonts w:ascii="Arial" w:hAnsi="Arial" w:cs="Arial"/>
          <w:color w:val="17365D" w:themeColor="text2" w:themeShade="BF"/>
          <w:sz w:val="22"/>
          <w:szCs w:val="22"/>
        </w:rPr>
      </w:pPr>
      <w:r w:rsidRPr="00D80990">
        <w:rPr>
          <w:rFonts w:ascii="Arial" w:hAnsi="Arial" w:cs="Arial"/>
          <w:color w:val="17365D" w:themeColor="text2" w:themeShade="BF"/>
          <w:sz w:val="22"/>
          <w:szCs w:val="22"/>
        </w:rPr>
        <w:t>media ponderata del rapporto tra incassi e accertamenti registrato in ciascun anno del quinquennio con i seguenti pesi: 0,35 in ciascuno degli anni nel biennio precedente e il  0,10 in ciascuno degli anni del primo triennio).</w:t>
      </w:r>
    </w:p>
    <w:p w:rsidR="00E453A3" w:rsidRPr="00D80990" w:rsidRDefault="00E453A3" w:rsidP="00E453A3">
      <w:pPr>
        <w:tabs>
          <w:tab w:val="left" w:pos="284"/>
        </w:tabs>
        <w:ind w:right="-285"/>
        <w:jc w:val="both"/>
        <w:rPr>
          <w:rFonts w:ascii="Arial" w:hAnsi="Arial" w:cs="Arial"/>
          <w:b/>
          <w:color w:val="17365D" w:themeColor="text2" w:themeShade="BF"/>
          <w:sz w:val="22"/>
          <w:szCs w:val="22"/>
        </w:rPr>
      </w:pPr>
    </w:p>
    <w:p w:rsidR="00E453A3" w:rsidRDefault="00E453A3" w:rsidP="00E453A3">
      <w:pPr>
        <w:tabs>
          <w:tab w:val="left" w:pos="284"/>
        </w:tabs>
        <w:ind w:right="-1"/>
        <w:jc w:val="both"/>
        <w:rPr>
          <w:rFonts w:ascii="Arial" w:hAnsi="Arial" w:cs="Arial"/>
          <w:i/>
          <w:color w:val="00B0F0"/>
          <w:sz w:val="22"/>
          <w:szCs w:val="22"/>
        </w:rPr>
      </w:pPr>
      <w:r w:rsidRPr="00D80990">
        <w:rPr>
          <w:rFonts w:ascii="Arial" w:hAnsi="Arial" w:cs="Arial"/>
          <w:i/>
          <w:color w:val="00B0F0"/>
          <w:sz w:val="22"/>
          <w:szCs w:val="22"/>
        </w:rPr>
        <w:t xml:space="preserve">La possibilità di considerare al numeratore </w:t>
      </w:r>
      <w:r>
        <w:rPr>
          <w:rFonts w:ascii="Arial" w:hAnsi="Arial" w:cs="Arial"/>
          <w:i/>
          <w:color w:val="00B0F0"/>
          <w:sz w:val="22"/>
          <w:szCs w:val="22"/>
        </w:rPr>
        <w:t>il totale degli</w:t>
      </w:r>
      <w:r w:rsidRPr="00D80990">
        <w:rPr>
          <w:rFonts w:ascii="Arial" w:hAnsi="Arial" w:cs="Arial"/>
          <w:i/>
          <w:color w:val="00B0F0"/>
          <w:sz w:val="22"/>
          <w:szCs w:val="22"/>
        </w:rPr>
        <w:t xml:space="preserve"> incassic/competenza e in c/residui </w:t>
      </w:r>
      <w:r>
        <w:rPr>
          <w:rFonts w:ascii="Arial" w:hAnsi="Arial" w:cs="Arial"/>
          <w:i/>
          <w:color w:val="00B0F0"/>
          <w:sz w:val="22"/>
          <w:szCs w:val="22"/>
        </w:rPr>
        <w:t>è limitata agli esercizi del periodo considerato in cui non era in vigore la contabilità armonizzata.</w:t>
      </w:r>
    </w:p>
    <w:p w:rsidR="00E453A3" w:rsidRPr="00536A56" w:rsidRDefault="00E453A3" w:rsidP="00E453A3">
      <w:pPr>
        <w:tabs>
          <w:tab w:val="left" w:pos="284"/>
        </w:tabs>
        <w:ind w:right="-1"/>
        <w:jc w:val="both"/>
        <w:rPr>
          <w:rFonts w:ascii="Arial" w:hAnsi="Arial" w:cs="Arial"/>
          <w:i/>
          <w:color w:val="00B0F0"/>
          <w:sz w:val="22"/>
          <w:szCs w:val="22"/>
        </w:rPr>
      </w:pPr>
      <w:r w:rsidRPr="00536A56">
        <w:rPr>
          <w:rFonts w:ascii="Arial" w:hAnsi="Arial" w:cs="Arial"/>
          <w:i/>
          <w:color w:val="00B0F0"/>
          <w:sz w:val="22"/>
          <w:szCs w:val="22"/>
        </w:rPr>
        <w:t xml:space="preserve">Con riferimento agli esercizi in cui sono entrati in vigore i nuovi principi, </w:t>
      </w:r>
      <w:r>
        <w:rPr>
          <w:rFonts w:ascii="Arial" w:hAnsi="Arial" w:cs="Arial"/>
          <w:i/>
          <w:color w:val="00B0F0"/>
          <w:sz w:val="22"/>
          <w:szCs w:val="22"/>
        </w:rPr>
        <w:t xml:space="preserve">invece, </w:t>
      </w:r>
      <w:r w:rsidRPr="00536A56">
        <w:rPr>
          <w:rFonts w:ascii="Arial" w:hAnsi="Arial" w:cs="Arial"/>
          <w:i/>
          <w:color w:val="00B0F0"/>
          <w:sz w:val="22"/>
          <w:szCs w:val="22"/>
        </w:rPr>
        <w:t xml:space="preserve">il numeratore è formato solo dalle riscossioni in conto competenza.  </w:t>
      </w:r>
      <w:r>
        <w:rPr>
          <w:rFonts w:ascii="Arial" w:hAnsi="Arial" w:cs="Arial"/>
          <w:i/>
          <w:color w:val="00B0F0"/>
          <w:sz w:val="22"/>
          <w:szCs w:val="22"/>
        </w:rPr>
        <w:t>Sempre con riferimento a questi esercizi armonizzati gli enti hanno facoltà di</w:t>
      </w:r>
      <w:r w:rsidRPr="00536A56">
        <w:rPr>
          <w:rFonts w:ascii="Arial" w:hAnsi="Arial" w:cs="Arial"/>
          <w:i/>
          <w:color w:val="00B0F0"/>
          <w:sz w:val="22"/>
          <w:szCs w:val="22"/>
        </w:rPr>
        <w:t xml:space="preserve"> determinare il rapporto tra incassi di competenza e relativi accertamenti, considerando anche le riscossioni effettuate nell’anno successivo, in conto residui a valore su accertamenti dell’anno precedente e facendo slittare il quinquennio di riferimento per il calcolo della media indietro di un anno:                   </w:t>
      </w:r>
    </w:p>
    <w:p w:rsidR="00E453A3" w:rsidRPr="00D80990" w:rsidRDefault="00E453A3" w:rsidP="00E453A3">
      <w:pPr>
        <w:pStyle w:val="Paragrafoelenco"/>
        <w:ind w:left="1275" w:firstLine="141"/>
        <w:jc w:val="center"/>
        <w:rPr>
          <w:rFonts w:ascii="Arial" w:hAnsi="Arial" w:cs="Arial"/>
          <w:i/>
          <w:color w:val="00B0F0"/>
          <w:sz w:val="22"/>
          <w:szCs w:val="22"/>
          <w:u w:val="single"/>
        </w:rPr>
      </w:pPr>
      <w:r w:rsidRPr="00D80990">
        <w:rPr>
          <w:rFonts w:ascii="Arial" w:hAnsi="Arial" w:cs="Arial"/>
          <w:i/>
          <w:color w:val="00B0F0"/>
          <w:sz w:val="22"/>
          <w:szCs w:val="22"/>
          <w:u w:val="single"/>
        </w:rPr>
        <w:lastRenderedPageBreak/>
        <w:t>incassi di competenza es. X + incassi esercizio X+1 in c/residui X (*)</w:t>
      </w:r>
    </w:p>
    <w:p w:rsidR="00E453A3" w:rsidRPr="00D80990" w:rsidRDefault="00E453A3" w:rsidP="00E453A3">
      <w:pPr>
        <w:pStyle w:val="Paragrafoelenco"/>
        <w:ind w:left="567"/>
        <w:jc w:val="center"/>
        <w:rPr>
          <w:rFonts w:ascii="Arial" w:hAnsi="Arial" w:cs="Arial"/>
          <w:i/>
          <w:color w:val="00B0F0"/>
          <w:sz w:val="22"/>
          <w:szCs w:val="22"/>
        </w:rPr>
      </w:pPr>
      <w:r w:rsidRPr="00D80990">
        <w:rPr>
          <w:rFonts w:ascii="Arial" w:hAnsi="Arial" w:cs="Arial"/>
          <w:i/>
          <w:color w:val="00B0F0"/>
          <w:sz w:val="22"/>
          <w:szCs w:val="22"/>
        </w:rPr>
        <w:t>Accertamenti esercizio X</w:t>
      </w:r>
    </w:p>
    <w:p w:rsidR="00E453A3" w:rsidRPr="00D80990" w:rsidRDefault="00E453A3" w:rsidP="00E453A3">
      <w:pPr>
        <w:jc w:val="both"/>
        <w:rPr>
          <w:rFonts w:ascii="Arial" w:hAnsi="Arial" w:cs="Arial"/>
          <w:i/>
          <w:color w:val="00B0F0"/>
          <w:sz w:val="22"/>
          <w:szCs w:val="22"/>
          <w:u w:val="single"/>
        </w:rPr>
      </w:pPr>
      <w:r w:rsidRPr="00D80990">
        <w:rPr>
          <w:rFonts w:ascii="Arial" w:hAnsi="Arial" w:cs="Arial"/>
          <w:i/>
          <w:color w:val="00B0F0"/>
          <w:sz w:val="22"/>
          <w:szCs w:val="22"/>
          <w:u w:val="single"/>
        </w:rPr>
        <w:t>(specificare se l’ente si è avvalso di tale facoltà e se ha utilizzato metodi di calcolo diversi).</w:t>
      </w:r>
    </w:p>
    <w:p w:rsidR="00E453A3" w:rsidRPr="00D80990" w:rsidRDefault="00E453A3" w:rsidP="00E453A3">
      <w:pPr>
        <w:jc w:val="both"/>
        <w:rPr>
          <w:rFonts w:ascii="Arial" w:hAnsi="Arial" w:cs="Arial"/>
          <w:i/>
          <w:color w:val="00B0F0"/>
          <w:sz w:val="22"/>
          <w:szCs w:val="22"/>
        </w:rPr>
      </w:pPr>
    </w:p>
    <w:p w:rsidR="00E453A3" w:rsidRPr="00D80990" w:rsidRDefault="00E453A3" w:rsidP="00E453A3">
      <w:pPr>
        <w:jc w:val="both"/>
        <w:rPr>
          <w:rFonts w:ascii="Arial" w:hAnsi="Arial" w:cs="Arial"/>
          <w:i/>
          <w:color w:val="00B0F0"/>
          <w:sz w:val="22"/>
          <w:szCs w:val="22"/>
        </w:rPr>
      </w:pPr>
      <w:r w:rsidRPr="00D80990">
        <w:rPr>
          <w:rFonts w:ascii="Arial" w:hAnsi="Arial" w:cs="Arial"/>
          <w:i/>
          <w:color w:val="00B0F0"/>
          <w:sz w:val="22"/>
          <w:szCs w:val="22"/>
        </w:rPr>
        <w:t>(* riferimento FAQ Arconet 25 del 26.10.2017 e 26 del 27.10.2017)</w:t>
      </w:r>
    </w:p>
    <w:p w:rsidR="00E453A3" w:rsidRPr="00D80990" w:rsidRDefault="00E453A3" w:rsidP="00E453A3">
      <w:pPr>
        <w:jc w:val="both"/>
        <w:rPr>
          <w:rFonts w:ascii="Arial" w:hAnsi="Arial" w:cs="Arial"/>
          <w:i/>
          <w:color w:val="00B0F0"/>
          <w:sz w:val="22"/>
          <w:szCs w:val="22"/>
        </w:rPr>
      </w:pPr>
    </w:p>
    <w:p w:rsidR="00E453A3" w:rsidRPr="00D80990" w:rsidRDefault="00E453A3" w:rsidP="00E453A3">
      <w:pPr>
        <w:tabs>
          <w:tab w:val="left" w:pos="284"/>
        </w:tabs>
        <w:ind w:right="-1"/>
        <w:jc w:val="both"/>
        <w:rPr>
          <w:rFonts w:ascii="Arial" w:hAnsi="Arial" w:cs="Arial"/>
          <w:i/>
          <w:color w:val="00B0F0"/>
          <w:sz w:val="22"/>
          <w:szCs w:val="22"/>
        </w:rPr>
      </w:pPr>
      <w:r w:rsidRPr="00D80990">
        <w:rPr>
          <w:rFonts w:ascii="Arial" w:hAnsi="Arial" w:cs="Arial"/>
          <w:i/>
          <w:color w:val="00B0F0"/>
          <w:sz w:val="22"/>
          <w:szCs w:val="22"/>
        </w:rPr>
        <w:t>Per le entrate che negli esercizi precedenti all’adozione del nuovo ordinamento contabile erano state accertate per cassa, il fondo crediti di dubbia esigibilità è determinato sulla base di dati extra-contabili, ad esempio confrontando il totale dei ruoli ordinari emessi negli ultimi cinque anni con gli incassi complessivi (senza distinguere gli incassi relativi ai ruoli ordinari da quelli relativi ai ruoli coattivi) registrati nei medesimi esercizi.</w:t>
      </w:r>
    </w:p>
    <w:p w:rsidR="00E453A3" w:rsidRPr="00D80990" w:rsidRDefault="00E453A3" w:rsidP="00E453A3">
      <w:pPr>
        <w:tabs>
          <w:tab w:val="left" w:pos="284"/>
        </w:tabs>
        <w:ind w:right="-1"/>
        <w:jc w:val="both"/>
        <w:rPr>
          <w:rFonts w:ascii="Arial" w:hAnsi="Arial" w:cs="Arial"/>
          <w:color w:val="00B0F0"/>
          <w:sz w:val="22"/>
          <w:szCs w:val="22"/>
        </w:rPr>
      </w:pPr>
      <w:r w:rsidRPr="00D80990">
        <w:rPr>
          <w:rFonts w:ascii="Arial" w:hAnsi="Arial" w:cs="Arial"/>
          <w:i/>
          <w:color w:val="00B0F0"/>
          <w:sz w:val="22"/>
          <w:szCs w:val="22"/>
        </w:rPr>
        <w:t>Si fa presente che enti che negli ultimi tre esercizi hanno formalmente attivato un processo di accelerazione della propria capacità di riscossione possono calcolare il fondo crediti di dubbia esigibilitàfacendo riferimento ai risultati di tali tre esercizi.</w:t>
      </w:r>
    </w:p>
    <w:p w:rsidR="00E453A3" w:rsidRPr="00D80990" w:rsidRDefault="00E453A3" w:rsidP="00E453A3">
      <w:pPr>
        <w:jc w:val="both"/>
        <w:rPr>
          <w:rFonts w:ascii="Arial" w:hAnsi="Arial" w:cs="Arial"/>
          <w:i/>
          <w:color w:val="00B0F0"/>
          <w:sz w:val="22"/>
          <w:szCs w:val="22"/>
          <w:u w:val="single"/>
        </w:rPr>
      </w:pPr>
      <w:r w:rsidRPr="00D80990">
        <w:rPr>
          <w:rFonts w:ascii="Arial" w:hAnsi="Arial" w:cs="Arial"/>
          <w:i/>
          <w:color w:val="00B0F0"/>
          <w:sz w:val="22"/>
          <w:szCs w:val="22"/>
          <w:u w:val="single"/>
        </w:rPr>
        <w:t>(specificare se l’ente si è avvalso di tale facoltà).</w:t>
      </w:r>
    </w:p>
    <w:p w:rsidR="00E453A3" w:rsidRPr="00D80990" w:rsidRDefault="00E453A3" w:rsidP="00E453A3">
      <w:pPr>
        <w:tabs>
          <w:tab w:val="left" w:pos="284"/>
        </w:tabs>
        <w:ind w:right="-285"/>
        <w:jc w:val="both"/>
        <w:rPr>
          <w:rFonts w:ascii="Arial" w:hAnsi="Arial" w:cs="Arial"/>
          <w:color w:val="00B0F0"/>
          <w:sz w:val="22"/>
          <w:szCs w:val="22"/>
        </w:rPr>
      </w:pPr>
    </w:p>
    <w:p w:rsidR="00E453A3" w:rsidRPr="00536A56" w:rsidRDefault="00E453A3" w:rsidP="00E453A3">
      <w:pPr>
        <w:pStyle w:val="Nessunaspaziatura"/>
        <w:rPr>
          <w:rFonts w:ascii="Arial" w:eastAsia="Calibri" w:hAnsi="Arial" w:cs="Arial"/>
          <w:sz w:val="22"/>
          <w:szCs w:val="22"/>
          <w:u w:val="single"/>
          <w:lang w:eastAsia="en-US"/>
        </w:rPr>
      </w:pPr>
      <w:r w:rsidRPr="00536A56">
        <w:rPr>
          <w:rFonts w:ascii="Arial" w:hAnsi="Arial" w:cs="Arial"/>
          <w:i/>
          <w:color w:val="00B0F0"/>
          <w:sz w:val="22"/>
          <w:szCs w:val="22"/>
          <w:u w:val="single"/>
        </w:rPr>
        <w:t>Importo minimo</w:t>
      </w:r>
    </w:p>
    <w:p w:rsidR="00E453A3" w:rsidRPr="00D80990" w:rsidRDefault="00E453A3" w:rsidP="00E453A3">
      <w:pPr>
        <w:pStyle w:val="Nessunaspaziatura"/>
        <w:jc w:val="both"/>
        <w:rPr>
          <w:rFonts w:ascii="Arial" w:hAnsi="Arial" w:cs="Arial"/>
          <w:i/>
          <w:color w:val="00B0F0"/>
          <w:sz w:val="22"/>
          <w:szCs w:val="22"/>
        </w:rPr>
      </w:pPr>
      <w:r w:rsidRPr="00D80990">
        <w:rPr>
          <w:rFonts w:ascii="Arial" w:hAnsi="Arial" w:cs="Arial"/>
          <w:i/>
          <w:color w:val="00B0F0"/>
          <w:sz w:val="22"/>
          <w:szCs w:val="22"/>
        </w:rPr>
        <w:t>Il comma 882 dell’art.1 della Legge 205/2017, modifica il paragrafo 3.3 dell’allegato 4.2, recante “Principio contabile applicato concernente la contabilità finanziaria”, annesso al D.lgs. 118/2011, introducendo una maggiore gradualità per gli enti locali nell'applicazione delle disposizioni riguardanti l'accantonamento al Fondo crediti di dubbia esigibilità (FCDE) iscritto nel bilancio di previsione, a partire dal 2018.</w:t>
      </w:r>
    </w:p>
    <w:p w:rsidR="00E453A3" w:rsidRPr="00D80990" w:rsidRDefault="00E453A3" w:rsidP="00E453A3">
      <w:pPr>
        <w:pStyle w:val="Nessunaspaziatura"/>
        <w:jc w:val="both"/>
        <w:rPr>
          <w:rFonts w:ascii="Arial" w:hAnsi="Arial" w:cs="Arial"/>
          <w:i/>
          <w:color w:val="00B0F0"/>
          <w:sz w:val="22"/>
          <w:szCs w:val="22"/>
        </w:rPr>
      </w:pPr>
      <w:r w:rsidRPr="00D80990">
        <w:rPr>
          <w:rFonts w:ascii="Arial" w:hAnsi="Arial" w:cs="Arial"/>
          <w:i/>
          <w:color w:val="00B0F0"/>
          <w:sz w:val="22"/>
          <w:szCs w:val="22"/>
        </w:rPr>
        <w:t>In particolare, l’accantonamento al Fondo è effettuato:</w:t>
      </w:r>
    </w:p>
    <w:p w:rsidR="00E453A3" w:rsidRPr="00D80990" w:rsidRDefault="00E453A3" w:rsidP="00E453A3">
      <w:pPr>
        <w:pStyle w:val="Nessunaspaziatura"/>
        <w:jc w:val="both"/>
        <w:rPr>
          <w:rFonts w:ascii="Arial" w:hAnsi="Arial" w:cs="Arial"/>
          <w:i/>
          <w:color w:val="00B0F0"/>
          <w:sz w:val="22"/>
          <w:szCs w:val="22"/>
        </w:rPr>
      </w:pPr>
      <w:r w:rsidRPr="00D80990">
        <w:rPr>
          <w:rFonts w:ascii="Arial" w:hAnsi="Arial" w:cs="Arial"/>
          <w:i/>
          <w:color w:val="00B0F0"/>
          <w:sz w:val="22"/>
          <w:szCs w:val="22"/>
        </w:rPr>
        <w:t>- nel 2018 per un importo pari almeno al 75 per cento;</w:t>
      </w:r>
    </w:p>
    <w:p w:rsidR="00E453A3" w:rsidRPr="00D80990" w:rsidRDefault="00E453A3" w:rsidP="00E453A3">
      <w:pPr>
        <w:pStyle w:val="Nessunaspaziatura"/>
        <w:jc w:val="both"/>
        <w:rPr>
          <w:rFonts w:ascii="Arial" w:hAnsi="Arial" w:cs="Arial"/>
          <w:i/>
          <w:color w:val="00B0F0"/>
          <w:sz w:val="22"/>
          <w:szCs w:val="22"/>
        </w:rPr>
      </w:pPr>
      <w:r w:rsidRPr="00D80990">
        <w:rPr>
          <w:rFonts w:ascii="Arial" w:hAnsi="Arial" w:cs="Arial"/>
          <w:i/>
          <w:color w:val="00B0F0"/>
          <w:sz w:val="22"/>
          <w:szCs w:val="22"/>
        </w:rPr>
        <w:t>- nel 2019 per un importo pari almeno all’85 per cento;</w:t>
      </w:r>
    </w:p>
    <w:p w:rsidR="00E453A3" w:rsidRPr="00D80990" w:rsidRDefault="00E453A3" w:rsidP="00E453A3">
      <w:pPr>
        <w:pStyle w:val="Nessunaspaziatura"/>
        <w:jc w:val="both"/>
        <w:rPr>
          <w:rFonts w:ascii="Arial" w:hAnsi="Arial" w:cs="Arial"/>
          <w:i/>
          <w:color w:val="00B0F0"/>
          <w:sz w:val="22"/>
          <w:szCs w:val="22"/>
        </w:rPr>
      </w:pPr>
      <w:r w:rsidRPr="00D80990">
        <w:rPr>
          <w:rFonts w:ascii="Arial" w:hAnsi="Arial" w:cs="Arial"/>
          <w:i/>
          <w:color w:val="00B0F0"/>
          <w:sz w:val="22"/>
          <w:szCs w:val="22"/>
        </w:rPr>
        <w:t>- nel 2020 per un importo pari almeno al 95 per cento;</w:t>
      </w:r>
    </w:p>
    <w:p w:rsidR="00E453A3" w:rsidRPr="00B84E39" w:rsidRDefault="00E453A3" w:rsidP="00B84E39">
      <w:pPr>
        <w:ind w:right="-1"/>
        <w:jc w:val="both"/>
        <w:rPr>
          <w:rFonts w:ascii="Arial" w:hAnsi="Arial" w:cs="Arial"/>
          <w:color w:val="00B0F0"/>
          <w:sz w:val="22"/>
          <w:szCs w:val="22"/>
        </w:rPr>
      </w:pPr>
      <w:r w:rsidRPr="00D80990">
        <w:rPr>
          <w:rFonts w:ascii="Arial" w:hAnsi="Arial" w:cs="Arial"/>
          <w:i/>
          <w:color w:val="00B0F0"/>
          <w:sz w:val="22"/>
          <w:szCs w:val="22"/>
        </w:rPr>
        <w:t>- dal 2021 per l’intero importo.</w:t>
      </w:r>
    </w:p>
    <w:p w:rsidR="00E453A3" w:rsidRPr="00D80990" w:rsidRDefault="00E453A3" w:rsidP="00B84E39">
      <w:pPr>
        <w:ind w:right="-1"/>
        <w:jc w:val="both"/>
        <w:rPr>
          <w:rFonts w:ascii="Arial" w:hAnsi="Arial" w:cs="Arial"/>
          <w:color w:val="00B0F0"/>
          <w:sz w:val="22"/>
          <w:szCs w:val="22"/>
        </w:rPr>
      </w:pPr>
    </w:p>
    <w:p w:rsidR="00193C38" w:rsidRPr="000E4A5C" w:rsidRDefault="0070665A" w:rsidP="00193C38">
      <w:pPr>
        <w:ind w:right="-1"/>
        <w:jc w:val="both"/>
        <w:rPr>
          <w:rFonts w:ascii="Arial" w:hAnsi="Arial" w:cs="Arial"/>
          <w:i/>
          <w:color w:val="00B0F0"/>
          <w:sz w:val="22"/>
          <w:szCs w:val="22"/>
        </w:rPr>
      </w:pPr>
      <w:r w:rsidRPr="000E4A5C">
        <w:rPr>
          <w:rFonts w:ascii="Arial" w:hAnsi="Arial" w:cs="Arial"/>
          <w:i/>
          <w:color w:val="00B0F0"/>
          <w:sz w:val="22"/>
          <w:szCs w:val="22"/>
        </w:rPr>
        <w:t xml:space="preserve">N.B. La Legge di Bilancio 2019 (n. 145/2018), in tema di FCDE prevede </w:t>
      </w:r>
      <w:r w:rsidR="000E4A5C" w:rsidRPr="000E4A5C">
        <w:rPr>
          <w:rFonts w:ascii="Arial" w:hAnsi="Arial" w:cs="Arial"/>
          <w:i/>
          <w:color w:val="00B0F0"/>
          <w:sz w:val="22"/>
          <w:szCs w:val="22"/>
        </w:rPr>
        <w:t xml:space="preserve">al comma 1015 </w:t>
      </w:r>
      <w:r w:rsidRPr="000E4A5C">
        <w:rPr>
          <w:rFonts w:ascii="Arial" w:hAnsi="Arial" w:cs="Arial"/>
          <w:i/>
          <w:color w:val="00B0F0"/>
          <w:sz w:val="22"/>
          <w:szCs w:val="22"/>
        </w:rPr>
        <w:t>che:“</w:t>
      </w:r>
      <w:r w:rsidR="00193C38" w:rsidRPr="000E4A5C">
        <w:rPr>
          <w:rFonts w:ascii="Arial" w:hAnsi="Arial" w:cs="Arial"/>
          <w:i/>
          <w:color w:val="00B0F0"/>
          <w:sz w:val="22"/>
          <w:szCs w:val="22"/>
        </w:rPr>
        <w:t>Nel corso del 2019 gli enti locali possono variare il bilancio di previsione 2019-2021 per ridurre il fondo crediti di dubbia esigibilità stanziato per l’esercizio 2019 nella missione«Fondi e Accantonamenti» ad un valore pari all’80 per centodell’accantonamento quantificato nell’allegato al bilancioriguardante il fondo crediti di dubbia esigibilità, se sonoverificate entrambe le seguenti condizioni:</w:t>
      </w:r>
    </w:p>
    <w:p w:rsidR="0070665A" w:rsidRPr="000E4A5C" w:rsidRDefault="0070665A" w:rsidP="0070665A">
      <w:pPr>
        <w:ind w:right="-1"/>
        <w:jc w:val="both"/>
        <w:rPr>
          <w:rFonts w:ascii="Arial" w:hAnsi="Arial" w:cs="Arial"/>
          <w:i/>
          <w:color w:val="00B0F0"/>
          <w:sz w:val="22"/>
          <w:szCs w:val="22"/>
        </w:rPr>
      </w:pPr>
      <w:r w:rsidRPr="000E4A5C">
        <w:rPr>
          <w:rFonts w:ascii="Arial" w:hAnsi="Arial" w:cs="Arial"/>
          <w:i/>
          <w:color w:val="00B0F0"/>
          <w:sz w:val="22"/>
          <w:szCs w:val="22"/>
        </w:rPr>
        <w:t>a) con riferimento all’esercizio 2018 l’indicatore annuale di tempestività dei pagamenti calcolato e pubblicato secondo le modalità stabilite dal decreto del Presidente del Consiglio dei ministri 22 settembre 2014, pubblicato nella Gazzetta Ufficiale n. 265 del 14 novembre 2014, è rispettoso dei termini di pagamento delle transazioni commerciali, di cui all’articolo 4 del decreto legislativo 9 ottobre 2002, n. 231, e le fatture ricevute e scadute nell’esercizio 2018 sono state pagate per un importo complessivo superiore al 75 per cento del totale ricevuto;</w:t>
      </w:r>
    </w:p>
    <w:p w:rsidR="0070665A" w:rsidRPr="000E4A5C" w:rsidRDefault="0070665A" w:rsidP="0070665A">
      <w:pPr>
        <w:ind w:right="-1"/>
        <w:jc w:val="both"/>
        <w:rPr>
          <w:rFonts w:ascii="Arial" w:hAnsi="Arial" w:cs="Arial"/>
          <w:i/>
          <w:color w:val="00B0F0"/>
          <w:sz w:val="22"/>
          <w:szCs w:val="22"/>
        </w:rPr>
      </w:pPr>
      <w:r w:rsidRPr="000E4A5C">
        <w:rPr>
          <w:rFonts w:ascii="Arial" w:hAnsi="Arial" w:cs="Arial"/>
          <w:i/>
          <w:color w:val="00B0F0"/>
          <w:sz w:val="22"/>
          <w:szCs w:val="22"/>
        </w:rPr>
        <w:t>b) se il debito commerciale residuo, di cui all’articolo 33 del decreto legislativo 14 marzo 2013, n. 33, rilevato alla fine del 2018 si è ridotto del 10 per cento rispetto a quello del 2017, o è nullo o costituito solo da debiti oggetto di contenzioso o contestazione.</w:t>
      </w:r>
      <w:r w:rsidR="000E4A5C" w:rsidRPr="000E4A5C">
        <w:rPr>
          <w:rFonts w:ascii="Arial" w:hAnsi="Arial" w:cs="Arial"/>
          <w:i/>
          <w:color w:val="00B0F0"/>
          <w:sz w:val="22"/>
          <w:szCs w:val="22"/>
        </w:rPr>
        <w:t>”</w:t>
      </w:r>
    </w:p>
    <w:p w:rsidR="0070665A" w:rsidRPr="000E4A5C" w:rsidRDefault="0070665A" w:rsidP="0070665A">
      <w:pPr>
        <w:ind w:right="-1"/>
        <w:jc w:val="both"/>
        <w:rPr>
          <w:rFonts w:ascii="Arial" w:hAnsi="Arial" w:cs="Arial"/>
          <w:i/>
          <w:color w:val="00B0F0"/>
          <w:sz w:val="22"/>
          <w:szCs w:val="22"/>
        </w:rPr>
      </w:pPr>
    </w:p>
    <w:p w:rsidR="0070665A" w:rsidRPr="000E4A5C" w:rsidRDefault="000E4A5C" w:rsidP="0070665A">
      <w:pPr>
        <w:ind w:right="-1"/>
        <w:jc w:val="both"/>
        <w:rPr>
          <w:rFonts w:ascii="Arial" w:hAnsi="Arial" w:cs="Arial"/>
          <w:i/>
          <w:color w:val="00B0F0"/>
          <w:sz w:val="22"/>
          <w:szCs w:val="22"/>
        </w:rPr>
      </w:pPr>
      <w:r w:rsidRPr="000E4A5C">
        <w:rPr>
          <w:rFonts w:ascii="Arial" w:hAnsi="Arial" w:cs="Arial"/>
          <w:i/>
          <w:color w:val="00B0F0"/>
          <w:sz w:val="22"/>
          <w:szCs w:val="22"/>
        </w:rPr>
        <w:t>Inoltre al comma 1016 prevede che “L</w:t>
      </w:r>
      <w:r w:rsidR="0070665A" w:rsidRPr="000E4A5C">
        <w:rPr>
          <w:rFonts w:ascii="Arial" w:hAnsi="Arial" w:cs="Arial"/>
          <w:i/>
          <w:color w:val="00B0F0"/>
          <w:sz w:val="22"/>
          <w:szCs w:val="22"/>
        </w:rPr>
        <w:t>a facoltà di cui al comma 1015 può essere esercitata anche dagli enti locali che, pur non soddisfacendo i criteri di cui al medesimo 1015, rispettano entrambe le seguenti condizioni:</w:t>
      </w:r>
    </w:p>
    <w:p w:rsidR="0070665A" w:rsidRPr="000E4A5C" w:rsidRDefault="0070665A" w:rsidP="0070665A">
      <w:pPr>
        <w:ind w:right="-1"/>
        <w:jc w:val="both"/>
        <w:rPr>
          <w:rFonts w:ascii="Arial" w:hAnsi="Arial" w:cs="Arial"/>
          <w:i/>
          <w:color w:val="00B0F0"/>
          <w:sz w:val="22"/>
          <w:szCs w:val="22"/>
        </w:rPr>
      </w:pPr>
      <w:r w:rsidRPr="000E4A5C">
        <w:rPr>
          <w:rFonts w:ascii="Arial" w:hAnsi="Arial" w:cs="Arial"/>
          <w:i/>
          <w:color w:val="00B0F0"/>
          <w:sz w:val="22"/>
          <w:szCs w:val="22"/>
        </w:rPr>
        <w:t>a) l’indicatore di tempestività dei pagamenti, al 30 giugno 2019, calcolato e pubblicato secondo le modalità stabilite dal decreto del Presidente del Consiglio dei ministri 22 settembre 2014, pubblicato nella Gazzetta Ufficiale n. 265 del 14 novembre 2014, è rispettoso dei termini di pagamento delle transazioni commerciali, di cui all’articolo 4 del decreto legislativo 9 ottobre 2002, n. 231, e le fatture ricevute e scadute nel semestre sono state pagate per un importo complessivo superiore al 75 per cento del totale ricevuto;</w:t>
      </w:r>
    </w:p>
    <w:p w:rsidR="0070665A" w:rsidRDefault="0070665A" w:rsidP="0070665A">
      <w:pPr>
        <w:ind w:right="-1"/>
        <w:jc w:val="both"/>
        <w:rPr>
          <w:rFonts w:ascii="Arial" w:hAnsi="Arial" w:cs="Arial"/>
          <w:i/>
          <w:color w:val="00B0F0"/>
          <w:sz w:val="22"/>
          <w:szCs w:val="22"/>
        </w:rPr>
      </w:pPr>
      <w:r w:rsidRPr="000E4A5C">
        <w:rPr>
          <w:rFonts w:ascii="Arial" w:hAnsi="Arial" w:cs="Arial"/>
          <w:i/>
          <w:color w:val="00B0F0"/>
          <w:sz w:val="22"/>
          <w:szCs w:val="22"/>
        </w:rPr>
        <w:lastRenderedPageBreak/>
        <w:t xml:space="preserve">b) se il debito commerciale residuo, di cui all’articolo 33 del decreto legislativo 14 marzo 2013, n. 33, rilevato al 30 giugno 2019 si è ridotto del 5 per cento rispetto a quello al 31 dicembre 2018, o è nullo o costituito solo da debiti oggetto di contenzioso </w:t>
      </w:r>
      <w:r w:rsidR="000E4A5C">
        <w:rPr>
          <w:rFonts w:ascii="Arial" w:hAnsi="Arial" w:cs="Arial"/>
          <w:i/>
          <w:color w:val="00B0F0"/>
          <w:sz w:val="22"/>
          <w:szCs w:val="22"/>
        </w:rPr>
        <w:t>o contestazione.”</w:t>
      </w:r>
    </w:p>
    <w:p w:rsidR="000E4A5C" w:rsidRPr="000E4A5C" w:rsidRDefault="000E4A5C" w:rsidP="0070665A">
      <w:pPr>
        <w:ind w:right="-1"/>
        <w:jc w:val="both"/>
        <w:rPr>
          <w:rFonts w:ascii="Arial" w:hAnsi="Arial" w:cs="Arial"/>
          <w:i/>
          <w:color w:val="00B0F0"/>
          <w:sz w:val="22"/>
          <w:szCs w:val="22"/>
        </w:rPr>
      </w:pPr>
    </w:p>
    <w:p w:rsidR="0070665A" w:rsidRDefault="000E4A5C" w:rsidP="0070665A">
      <w:pPr>
        <w:ind w:right="-1"/>
        <w:jc w:val="both"/>
        <w:rPr>
          <w:rFonts w:ascii="Arial" w:hAnsi="Arial" w:cs="Arial"/>
          <w:color w:val="FF0000"/>
          <w:sz w:val="22"/>
          <w:szCs w:val="22"/>
        </w:rPr>
      </w:pPr>
      <w:r>
        <w:rPr>
          <w:rFonts w:ascii="Arial" w:hAnsi="Arial" w:cs="Arial"/>
          <w:i/>
          <w:color w:val="00B0F0"/>
          <w:sz w:val="22"/>
          <w:szCs w:val="22"/>
        </w:rPr>
        <w:t xml:space="preserve">Il comma </w:t>
      </w:r>
      <w:r w:rsidR="0070665A" w:rsidRPr="000E4A5C">
        <w:rPr>
          <w:rFonts w:ascii="Arial" w:hAnsi="Arial" w:cs="Arial"/>
          <w:i/>
          <w:color w:val="00B0F0"/>
          <w:sz w:val="22"/>
          <w:szCs w:val="22"/>
        </w:rPr>
        <w:t>1017</w:t>
      </w:r>
      <w:r>
        <w:rPr>
          <w:rFonts w:ascii="Arial" w:hAnsi="Arial" w:cs="Arial"/>
          <w:i/>
          <w:color w:val="00B0F0"/>
          <w:sz w:val="22"/>
          <w:szCs w:val="22"/>
        </w:rPr>
        <w:t xml:space="preserve"> prevede che“</w:t>
      </w:r>
      <w:r w:rsidR="0070665A" w:rsidRPr="000E4A5C">
        <w:rPr>
          <w:rFonts w:ascii="Arial" w:hAnsi="Arial" w:cs="Arial"/>
          <w:i/>
          <w:color w:val="00B0F0"/>
          <w:sz w:val="22"/>
          <w:szCs w:val="22"/>
        </w:rPr>
        <w:t>I commi 1015 e 1016 non si applicano agli enti che, con riferimento agli esercizi 2017 e 2018, non hanno pubblicato nel proprio sito internet, entro i termini previsti dalla legge, gli indicatori concernenti i tempi di pagamento ed il debito commerciale residuo di cui all’articolo 33 del decreto legislativo 14 marzo 2013, n. 33, e che, con riferimento ai mesi precedenti all’avvio di SIOPE+ di cui all’articolo 14, commi 8-bis e 8-ter, della legge 31 dicembre 2009, n. 196, non hanno trasmesso alla piattaforma elettronica dei crediti commerciali le comunicazioni relative al pagamento delle fatture</w:t>
      </w:r>
      <w:r w:rsidR="009672FA" w:rsidRPr="000E4A5C">
        <w:rPr>
          <w:rFonts w:ascii="Arial" w:hAnsi="Arial" w:cs="Arial"/>
          <w:i/>
          <w:color w:val="00B0F0"/>
          <w:sz w:val="22"/>
          <w:szCs w:val="22"/>
        </w:rPr>
        <w:t>”</w:t>
      </w:r>
      <w:r w:rsidR="0070665A" w:rsidRPr="000E4A5C">
        <w:rPr>
          <w:rFonts w:ascii="Arial" w:hAnsi="Arial" w:cs="Arial"/>
          <w:i/>
          <w:color w:val="00B0F0"/>
          <w:sz w:val="22"/>
          <w:szCs w:val="22"/>
        </w:rPr>
        <w:t>.</w:t>
      </w:r>
    </w:p>
    <w:p w:rsidR="00806EFE" w:rsidRDefault="00806EFE" w:rsidP="0070665A">
      <w:pPr>
        <w:ind w:right="-1"/>
        <w:jc w:val="both"/>
        <w:rPr>
          <w:rFonts w:ascii="Arial" w:hAnsi="Arial" w:cs="Arial"/>
          <w:color w:val="FF0000"/>
          <w:sz w:val="22"/>
          <w:szCs w:val="22"/>
        </w:rPr>
      </w:pPr>
    </w:p>
    <w:p w:rsidR="00E453A3" w:rsidRPr="006F619A" w:rsidRDefault="00E453A3" w:rsidP="00B84E39">
      <w:pPr>
        <w:ind w:right="-1"/>
        <w:jc w:val="both"/>
        <w:rPr>
          <w:rFonts w:ascii="Arial" w:hAnsi="Arial" w:cs="Arial"/>
          <w:sz w:val="22"/>
          <w:szCs w:val="22"/>
        </w:rPr>
      </w:pPr>
      <w:r w:rsidRPr="006F619A">
        <w:rPr>
          <w:rFonts w:ascii="Arial" w:hAnsi="Arial" w:cs="Arial"/>
          <w:sz w:val="22"/>
          <w:szCs w:val="22"/>
        </w:rPr>
        <w:t>L’accantonamento al fondo crediti di dubbia esigibilità non è oggetto di impegno e con il rendiconto genera un’economia di bilancio che confluisce nel risultato di amministrazione come quota accantonata.</w:t>
      </w:r>
    </w:p>
    <w:p w:rsidR="00E453A3" w:rsidRPr="006F619A" w:rsidRDefault="00E453A3" w:rsidP="00B84E39">
      <w:pPr>
        <w:ind w:right="-1"/>
        <w:jc w:val="both"/>
        <w:rPr>
          <w:rFonts w:ascii="Arial" w:hAnsi="Arial" w:cs="Arial"/>
          <w:sz w:val="22"/>
          <w:szCs w:val="22"/>
        </w:rPr>
      </w:pPr>
    </w:p>
    <w:p w:rsidR="00E453A3" w:rsidRPr="006F619A" w:rsidRDefault="00E453A3" w:rsidP="00B84E39">
      <w:pPr>
        <w:ind w:right="-1"/>
        <w:jc w:val="both"/>
        <w:rPr>
          <w:rFonts w:ascii="Arial" w:hAnsi="Arial" w:cs="Arial"/>
          <w:sz w:val="22"/>
          <w:szCs w:val="22"/>
        </w:rPr>
      </w:pPr>
      <w:r w:rsidRPr="006F619A">
        <w:rPr>
          <w:rFonts w:ascii="Arial" w:hAnsi="Arial" w:cs="Arial"/>
          <w:sz w:val="22"/>
          <w:szCs w:val="22"/>
        </w:rPr>
        <w:t>L’Organo di revisione ha accertato la regolarità del calcolo del fondo che è stato effettuato (</w:t>
      </w:r>
      <w:r w:rsidRPr="006F619A">
        <w:rPr>
          <w:rFonts w:ascii="Arial" w:hAnsi="Arial" w:cs="Arial"/>
          <w:i/>
          <w:sz w:val="22"/>
          <w:szCs w:val="22"/>
        </w:rPr>
        <w:t>scegliere opzione</w:t>
      </w:r>
      <w:r w:rsidRPr="006F619A">
        <w:rPr>
          <w:rFonts w:ascii="Arial" w:hAnsi="Arial" w:cs="Arial"/>
          <w:sz w:val="22"/>
          <w:szCs w:val="22"/>
        </w:rPr>
        <w:t>):</w:t>
      </w:r>
    </w:p>
    <w:p w:rsidR="00E453A3" w:rsidRPr="006F619A" w:rsidRDefault="006F619A" w:rsidP="00B84E39">
      <w:pPr>
        <w:ind w:right="-1"/>
        <w:jc w:val="both"/>
        <w:rPr>
          <w:rFonts w:ascii="Arial" w:hAnsi="Arial" w:cs="Arial"/>
          <w:sz w:val="22"/>
          <w:szCs w:val="22"/>
        </w:rPr>
      </w:pPr>
      <w:r>
        <w:rPr>
          <w:rFonts w:ascii="Arial" w:hAnsi="Arial" w:cs="Arial"/>
          <w:sz w:val="22"/>
          <w:szCs w:val="22"/>
        </w:rPr>
        <w:t>-</w:t>
      </w:r>
      <w:r w:rsidR="00E453A3" w:rsidRPr="006F619A">
        <w:rPr>
          <w:rFonts w:ascii="Arial" w:hAnsi="Arial" w:cs="Arial"/>
          <w:sz w:val="22"/>
          <w:szCs w:val="22"/>
        </w:rPr>
        <w:t>utilizzando la facoltà di accantonare l’importo minimo previsto dalla normativa vigente;</w:t>
      </w:r>
    </w:p>
    <w:p w:rsidR="00E453A3" w:rsidRPr="006F619A" w:rsidRDefault="006F619A" w:rsidP="00B84E39">
      <w:pPr>
        <w:ind w:right="-1"/>
        <w:jc w:val="both"/>
        <w:rPr>
          <w:rFonts w:ascii="Arial" w:hAnsi="Arial" w:cs="Arial"/>
          <w:sz w:val="22"/>
          <w:szCs w:val="22"/>
        </w:rPr>
      </w:pPr>
      <w:r>
        <w:rPr>
          <w:rFonts w:ascii="Arial" w:hAnsi="Arial" w:cs="Arial"/>
          <w:sz w:val="22"/>
          <w:szCs w:val="22"/>
        </w:rPr>
        <w:t xml:space="preserve">- </w:t>
      </w:r>
      <w:r w:rsidR="00E453A3" w:rsidRPr="006F619A">
        <w:rPr>
          <w:rFonts w:ascii="Arial" w:hAnsi="Arial" w:cs="Arial"/>
          <w:sz w:val="22"/>
          <w:szCs w:val="22"/>
        </w:rPr>
        <w:t>accantonando l’intero importo che deriva dall’applicazione delle norme sul Fcde.</w:t>
      </w:r>
    </w:p>
    <w:p w:rsidR="00E453A3" w:rsidRPr="006F619A" w:rsidRDefault="00E453A3" w:rsidP="00B84E39">
      <w:pPr>
        <w:ind w:right="-1"/>
        <w:jc w:val="both"/>
        <w:rPr>
          <w:rFonts w:ascii="Arial" w:hAnsi="Arial" w:cs="Arial"/>
          <w:sz w:val="22"/>
          <w:szCs w:val="22"/>
        </w:rPr>
      </w:pPr>
    </w:p>
    <w:p w:rsidR="00E453A3" w:rsidRPr="006F619A" w:rsidRDefault="00E453A3" w:rsidP="00B84E39">
      <w:pPr>
        <w:ind w:right="-1"/>
        <w:jc w:val="both"/>
        <w:rPr>
          <w:rFonts w:ascii="Arial" w:hAnsi="Arial" w:cs="Arial"/>
          <w:sz w:val="22"/>
          <w:szCs w:val="22"/>
        </w:rPr>
      </w:pPr>
      <w:r w:rsidRPr="006F619A">
        <w:rPr>
          <w:rFonts w:ascii="Arial" w:hAnsi="Arial" w:cs="Arial"/>
          <w:sz w:val="22"/>
          <w:szCs w:val="22"/>
        </w:rPr>
        <w:t xml:space="preserve">Il fondo crediti di dubbia esigibilità per gli anni 2019-2021 risulta come dai seguenti prospetti: </w:t>
      </w:r>
    </w:p>
    <w:p w:rsidR="00E453A3" w:rsidRPr="00B84E39" w:rsidRDefault="00E453A3" w:rsidP="00B84E39">
      <w:pPr>
        <w:ind w:right="-1"/>
        <w:jc w:val="both"/>
        <w:rPr>
          <w:rFonts w:ascii="Arial" w:hAnsi="Arial" w:cs="Arial"/>
          <w:color w:val="00B0F0"/>
          <w:sz w:val="22"/>
          <w:szCs w:val="22"/>
        </w:rPr>
      </w:pPr>
    </w:p>
    <w:bookmarkStart w:id="68" w:name="_Toc529960150"/>
    <w:bookmarkStart w:id="69" w:name="_MON_1609227778"/>
    <w:bookmarkEnd w:id="68"/>
    <w:bookmarkEnd w:id="69"/>
    <w:p w:rsidR="00E453A3" w:rsidRPr="00B84E39" w:rsidRDefault="006F619A" w:rsidP="00B84E39">
      <w:pPr>
        <w:ind w:right="-1"/>
        <w:jc w:val="both"/>
        <w:rPr>
          <w:rFonts w:ascii="Arial" w:hAnsi="Arial" w:cs="Arial"/>
          <w:color w:val="00B0F0"/>
          <w:sz w:val="22"/>
          <w:szCs w:val="22"/>
        </w:rPr>
      </w:pPr>
      <w:r w:rsidRPr="00213664">
        <w:rPr>
          <w:rFonts w:ascii="Arial" w:hAnsi="Arial" w:cs="Arial"/>
          <w:color w:val="00B0F0"/>
          <w:sz w:val="22"/>
          <w:szCs w:val="22"/>
        </w:rPr>
        <w:object w:dxaOrig="12071" w:dyaOrig="10122">
          <v:shape id="_x0000_i1050" type="#_x0000_t75" style="width:7in;height:424.5pt" o:ole="">
            <v:imagedata r:id="rId70" o:title=""/>
          </v:shape>
          <o:OLEObject Type="Embed" ProgID="Excel.Sheet.12" ShapeID="_x0000_i1050" DrawAspect="Content" ObjectID="_1610733414" r:id="rId71"/>
        </w:object>
      </w:r>
    </w:p>
    <w:p w:rsidR="007E421F" w:rsidRPr="00B84E39" w:rsidRDefault="007E421F" w:rsidP="00B84E39">
      <w:pPr>
        <w:ind w:right="-1"/>
        <w:jc w:val="both"/>
        <w:rPr>
          <w:rFonts w:ascii="Arial" w:hAnsi="Arial" w:cs="Arial"/>
          <w:color w:val="00B0F0"/>
          <w:sz w:val="22"/>
          <w:szCs w:val="22"/>
        </w:rPr>
      </w:pPr>
    </w:p>
    <w:p w:rsidR="00B84E39" w:rsidRDefault="00B84E39" w:rsidP="00B84E39">
      <w:pPr>
        <w:jc w:val="both"/>
      </w:pPr>
    </w:p>
    <w:p w:rsidR="00E453A3" w:rsidRPr="00D80990" w:rsidRDefault="00E453A3" w:rsidP="00E453A3">
      <w:pPr>
        <w:pStyle w:val="Titolo3"/>
      </w:pPr>
      <w:bookmarkStart w:id="70" w:name="_Toc535487623"/>
      <w:r w:rsidRPr="00D80990">
        <w:t>Fondo di riserva di competenza</w:t>
      </w:r>
      <w:bookmarkEnd w:id="70"/>
    </w:p>
    <w:p w:rsidR="00E453A3" w:rsidRPr="00D80990" w:rsidRDefault="00E453A3" w:rsidP="00E453A3">
      <w:pPr>
        <w:pStyle w:val="Corpodeltesto21"/>
        <w:spacing w:before="120"/>
        <w:rPr>
          <w:rFonts w:cs="Arial"/>
          <w:b w:val="0"/>
          <w:i w:val="0"/>
          <w:sz w:val="22"/>
          <w:szCs w:val="22"/>
        </w:rPr>
      </w:pPr>
    </w:p>
    <w:p w:rsidR="00E453A3" w:rsidRPr="00D80990" w:rsidRDefault="00E453A3" w:rsidP="00E453A3">
      <w:pPr>
        <w:pStyle w:val="Corpodeltesto21"/>
        <w:spacing w:before="120"/>
        <w:rPr>
          <w:rFonts w:cs="Arial"/>
          <w:b w:val="0"/>
          <w:i w:val="0"/>
          <w:sz w:val="22"/>
          <w:szCs w:val="22"/>
        </w:rPr>
      </w:pPr>
      <w:r w:rsidRPr="00D80990">
        <w:rPr>
          <w:rFonts w:cs="Arial"/>
          <w:b w:val="0"/>
          <w:i w:val="0"/>
          <w:sz w:val="22"/>
          <w:szCs w:val="22"/>
        </w:rPr>
        <w:t xml:space="preserve">La </w:t>
      </w:r>
      <w:r>
        <w:rPr>
          <w:rFonts w:cs="Arial"/>
          <w:b w:val="0"/>
          <w:i w:val="0"/>
          <w:sz w:val="22"/>
          <w:szCs w:val="22"/>
        </w:rPr>
        <w:t>previsione</w:t>
      </w:r>
      <w:r w:rsidRPr="00D80990">
        <w:rPr>
          <w:rFonts w:cs="Arial"/>
          <w:b w:val="0"/>
          <w:i w:val="0"/>
          <w:sz w:val="22"/>
          <w:szCs w:val="22"/>
        </w:rPr>
        <w:t xml:space="preserve"> del fondo di riserva ordinario</w:t>
      </w:r>
      <w:r>
        <w:rPr>
          <w:rFonts w:cs="Arial"/>
          <w:b w:val="0"/>
          <w:i w:val="0"/>
          <w:sz w:val="22"/>
          <w:szCs w:val="22"/>
        </w:rPr>
        <w:t>, iscritto nella missione 20, programma 1, titolo 1, macroaggregato 10 del bilancio,ammonta a</w:t>
      </w:r>
      <w:r w:rsidRPr="00D80990">
        <w:rPr>
          <w:rFonts w:cs="Arial"/>
          <w:b w:val="0"/>
          <w:i w:val="0"/>
          <w:sz w:val="22"/>
          <w:szCs w:val="22"/>
        </w:rPr>
        <w:t>:</w:t>
      </w:r>
    </w:p>
    <w:p w:rsidR="00E453A3" w:rsidRPr="00D80990" w:rsidRDefault="00E453A3" w:rsidP="00E453A3">
      <w:pPr>
        <w:pStyle w:val="Corpodeltesto21"/>
        <w:spacing w:before="120"/>
        <w:rPr>
          <w:rFonts w:cs="Arial"/>
          <w:b w:val="0"/>
          <w:i w:val="0"/>
          <w:sz w:val="22"/>
          <w:szCs w:val="22"/>
        </w:rPr>
      </w:pPr>
      <w:r>
        <w:rPr>
          <w:rFonts w:cs="Arial"/>
          <w:b w:val="0"/>
          <w:i w:val="0"/>
          <w:sz w:val="22"/>
          <w:szCs w:val="22"/>
        </w:rPr>
        <w:t>anno 2019</w:t>
      </w:r>
      <w:r w:rsidRPr="00D80990">
        <w:rPr>
          <w:rFonts w:cs="Arial"/>
          <w:b w:val="0"/>
          <w:i w:val="0"/>
          <w:sz w:val="22"/>
          <w:szCs w:val="22"/>
        </w:rPr>
        <w:t xml:space="preserve"> - euro ……… pari allo ……% delle spese correnti;</w:t>
      </w:r>
    </w:p>
    <w:p w:rsidR="00E453A3" w:rsidRPr="00D80990" w:rsidRDefault="00E453A3" w:rsidP="00E453A3">
      <w:pPr>
        <w:pStyle w:val="Corpodeltesto21"/>
        <w:spacing w:before="120"/>
        <w:rPr>
          <w:rFonts w:cs="Arial"/>
          <w:b w:val="0"/>
          <w:i w:val="0"/>
          <w:sz w:val="22"/>
          <w:szCs w:val="22"/>
        </w:rPr>
      </w:pPr>
      <w:r>
        <w:rPr>
          <w:rFonts w:cs="Arial"/>
          <w:b w:val="0"/>
          <w:i w:val="0"/>
          <w:sz w:val="22"/>
          <w:szCs w:val="22"/>
        </w:rPr>
        <w:t>anno 2020</w:t>
      </w:r>
      <w:r w:rsidRPr="00D80990">
        <w:rPr>
          <w:rFonts w:cs="Arial"/>
          <w:b w:val="0"/>
          <w:i w:val="0"/>
          <w:sz w:val="22"/>
          <w:szCs w:val="22"/>
        </w:rPr>
        <w:t xml:space="preserve"> - euro ……… pari allo ……% delle spese correnti;</w:t>
      </w:r>
    </w:p>
    <w:p w:rsidR="00E453A3" w:rsidRPr="00D80990" w:rsidRDefault="00E453A3" w:rsidP="00E453A3">
      <w:pPr>
        <w:pStyle w:val="Corpodeltesto21"/>
        <w:spacing w:before="120"/>
        <w:rPr>
          <w:rFonts w:cs="Arial"/>
          <w:b w:val="0"/>
          <w:i w:val="0"/>
          <w:sz w:val="22"/>
          <w:szCs w:val="22"/>
        </w:rPr>
      </w:pPr>
      <w:r>
        <w:rPr>
          <w:rFonts w:cs="Arial"/>
          <w:b w:val="0"/>
          <w:i w:val="0"/>
          <w:sz w:val="22"/>
          <w:szCs w:val="22"/>
        </w:rPr>
        <w:t>anno 2021</w:t>
      </w:r>
      <w:r w:rsidRPr="00D80990">
        <w:rPr>
          <w:rFonts w:cs="Arial"/>
          <w:b w:val="0"/>
          <w:i w:val="0"/>
          <w:sz w:val="22"/>
          <w:szCs w:val="22"/>
        </w:rPr>
        <w:t xml:space="preserve"> - euro ……… pari allo ……% delle spese correnti;</w:t>
      </w:r>
    </w:p>
    <w:p w:rsidR="00E453A3" w:rsidRPr="00D80990" w:rsidRDefault="00E453A3" w:rsidP="00E453A3">
      <w:pPr>
        <w:pStyle w:val="Corpodeltesto21"/>
        <w:spacing w:before="120"/>
        <w:rPr>
          <w:rFonts w:cs="Arial"/>
          <w:b w:val="0"/>
          <w:i w:val="0"/>
          <w:sz w:val="22"/>
          <w:szCs w:val="22"/>
        </w:rPr>
      </w:pPr>
      <w:r w:rsidRPr="00D80990">
        <w:rPr>
          <w:rFonts w:cs="Arial"/>
          <w:b w:val="0"/>
          <w:i w:val="0"/>
          <w:sz w:val="22"/>
          <w:szCs w:val="22"/>
        </w:rPr>
        <w:t xml:space="preserve">rientra nei limiti previsti dall’articolo 166 del </w:t>
      </w:r>
      <w:r w:rsidRPr="00D80990">
        <w:rPr>
          <w:rFonts w:cs="Arial"/>
          <w:sz w:val="20"/>
        </w:rPr>
        <w:t>TUEL</w:t>
      </w:r>
      <w:r w:rsidRPr="00D80990">
        <w:rPr>
          <w:rFonts w:cs="Arial"/>
          <w:b w:val="0"/>
          <w:i w:val="0"/>
          <w:sz w:val="22"/>
          <w:szCs w:val="22"/>
        </w:rPr>
        <w:t xml:space="preserve"> ed in quelli previsti dal regolamento di contabilità.</w:t>
      </w:r>
    </w:p>
    <w:p w:rsidR="00E453A3" w:rsidRPr="00536A56" w:rsidRDefault="00E453A3" w:rsidP="00E453A3">
      <w:pPr>
        <w:autoSpaceDE w:val="0"/>
        <w:autoSpaceDN w:val="0"/>
        <w:adjustRightInd w:val="0"/>
        <w:jc w:val="both"/>
        <w:rPr>
          <w:rFonts w:ascii="Arial" w:hAnsi="Arial" w:cs="Arial"/>
          <w:bCs/>
          <w:sz w:val="22"/>
          <w:szCs w:val="22"/>
        </w:rPr>
      </w:pPr>
      <w:r w:rsidRPr="00536A56">
        <w:rPr>
          <w:rFonts w:ascii="Arial" w:hAnsi="Arial" w:cs="Arial"/>
          <w:bCs/>
          <w:sz w:val="22"/>
          <w:szCs w:val="22"/>
        </w:rPr>
        <w:t>L’organo di revisione ha verificato che la metà della quota minima del fondo di riserva è riservata alla copertura di eventuali spese non prevedibili, la cui mancata effettuazione comporta danni certi all’amministrazione.</w:t>
      </w:r>
    </w:p>
    <w:p w:rsidR="00E453A3" w:rsidRDefault="00E453A3" w:rsidP="00E453A3">
      <w:pPr>
        <w:autoSpaceDE w:val="0"/>
        <w:autoSpaceDN w:val="0"/>
        <w:adjustRightInd w:val="0"/>
        <w:rPr>
          <w:rFonts w:ascii="Arial" w:hAnsi="Arial" w:cs="Arial"/>
          <w:b/>
          <w:bCs/>
          <w:sz w:val="22"/>
          <w:szCs w:val="22"/>
          <w:u w:val="single"/>
        </w:rPr>
      </w:pPr>
    </w:p>
    <w:p w:rsidR="008E4E51" w:rsidRDefault="008E4E51">
      <w:pPr>
        <w:rPr>
          <w:rFonts w:ascii="Arial" w:hAnsi="Arial" w:cs="Arial"/>
          <w:b/>
          <w:bCs/>
          <w:sz w:val="22"/>
          <w:szCs w:val="22"/>
          <w:u w:val="single"/>
        </w:rPr>
      </w:pPr>
    </w:p>
    <w:p w:rsidR="00E453A3" w:rsidRPr="00D80990" w:rsidRDefault="00E453A3" w:rsidP="00E453A3">
      <w:pPr>
        <w:pStyle w:val="Titolo3"/>
      </w:pPr>
      <w:bookmarkStart w:id="71" w:name="_Toc535487624"/>
      <w:r w:rsidRPr="00D80990">
        <w:t>Fondi per spese potenziali</w:t>
      </w:r>
      <w:bookmarkEnd w:id="71"/>
    </w:p>
    <w:p w:rsidR="00E453A3" w:rsidRPr="00D80990" w:rsidRDefault="00E453A3" w:rsidP="00E453A3">
      <w:pPr>
        <w:rPr>
          <w:rFonts w:ascii="Arial" w:hAnsi="Arial" w:cs="Arial"/>
        </w:rPr>
      </w:pPr>
    </w:p>
    <w:p w:rsidR="00E453A3" w:rsidRPr="00D80990" w:rsidRDefault="00E453A3" w:rsidP="00E453A3">
      <w:pPr>
        <w:autoSpaceDE w:val="0"/>
        <w:autoSpaceDN w:val="0"/>
        <w:adjustRightInd w:val="0"/>
        <w:rPr>
          <w:rFonts w:ascii="Arial" w:hAnsi="Arial" w:cs="Arial"/>
          <w:bCs/>
          <w:sz w:val="22"/>
          <w:szCs w:val="22"/>
        </w:rPr>
      </w:pPr>
      <w:r w:rsidRPr="00D80990">
        <w:rPr>
          <w:rFonts w:ascii="Arial" w:hAnsi="Arial" w:cs="Arial"/>
          <w:bCs/>
          <w:sz w:val="22"/>
          <w:szCs w:val="22"/>
        </w:rPr>
        <w:lastRenderedPageBreak/>
        <w:t xml:space="preserve">Sono previsti accantonamenti per le seguenti passività potenziali </w:t>
      </w:r>
      <w:r w:rsidRPr="00D80990">
        <w:rPr>
          <w:rFonts w:ascii="Arial" w:hAnsi="Arial" w:cs="Arial"/>
          <w:bCs/>
          <w:sz w:val="22"/>
          <w:szCs w:val="22"/>
          <w:vertAlign w:val="superscript"/>
        </w:rPr>
        <w:t>(1)</w:t>
      </w:r>
      <w:r w:rsidRPr="00D80990">
        <w:rPr>
          <w:rFonts w:ascii="Arial" w:hAnsi="Arial" w:cs="Arial"/>
          <w:bCs/>
          <w:sz w:val="22"/>
          <w:szCs w:val="22"/>
        </w:rPr>
        <w:t>:</w:t>
      </w:r>
    </w:p>
    <w:p w:rsidR="00E453A3" w:rsidRPr="00D80990" w:rsidRDefault="00E453A3" w:rsidP="00E453A3">
      <w:pPr>
        <w:autoSpaceDE w:val="0"/>
        <w:autoSpaceDN w:val="0"/>
        <w:adjustRightInd w:val="0"/>
        <w:rPr>
          <w:rFonts w:ascii="Arial" w:hAnsi="Arial" w:cs="Arial"/>
          <w:bCs/>
          <w:sz w:val="22"/>
          <w:szCs w:val="22"/>
        </w:rPr>
      </w:pPr>
    </w:p>
    <w:bookmarkStart w:id="72" w:name="_MON_1609227826"/>
    <w:bookmarkEnd w:id="72"/>
    <w:p w:rsidR="00E453A3" w:rsidRPr="00D80990" w:rsidRDefault="006F619A" w:rsidP="00E453A3">
      <w:pPr>
        <w:autoSpaceDE w:val="0"/>
        <w:autoSpaceDN w:val="0"/>
        <w:adjustRightInd w:val="0"/>
        <w:jc w:val="center"/>
        <w:rPr>
          <w:rFonts w:ascii="Arial" w:hAnsi="Arial" w:cs="Arial"/>
          <w:bCs/>
          <w:sz w:val="22"/>
          <w:szCs w:val="22"/>
        </w:rPr>
      </w:pPr>
      <w:r w:rsidRPr="006B2B37">
        <w:rPr>
          <w:rFonts w:cs="Arial"/>
          <w:sz w:val="22"/>
          <w:szCs w:val="22"/>
        </w:rPr>
        <w:object w:dxaOrig="10103" w:dyaOrig="2924">
          <v:shape id="_x0000_i1051" type="#_x0000_t75" style="width:475.5pt;height:136.5pt" o:ole="">
            <v:imagedata r:id="rId72" o:title=""/>
          </v:shape>
          <o:OLEObject Type="Embed" ProgID="Excel.Sheet.12" ShapeID="_x0000_i1051" DrawAspect="Content" ObjectID="_1610733415" r:id="rId73"/>
        </w:object>
      </w:r>
    </w:p>
    <w:p w:rsidR="00003942" w:rsidRDefault="00003942" w:rsidP="00E453A3">
      <w:pPr>
        <w:autoSpaceDE w:val="0"/>
        <w:autoSpaceDN w:val="0"/>
        <w:adjustRightInd w:val="0"/>
        <w:rPr>
          <w:rFonts w:ascii="Arial" w:hAnsi="Arial" w:cs="Arial"/>
          <w:bCs/>
          <w:sz w:val="22"/>
          <w:szCs w:val="22"/>
        </w:rPr>
      </w:pPr>
    </w:p>
    <w:p w:rsidR="00E453A3" w:rsidRPr="00D80990" w:rsidRDefault="00E453A3" w:rsidP="00E453A3">
      <w:pPr>
        <w:autoSpaceDE w:val="0"/>
        <w:autoSpaceDN w:val="0"/>
        <w:adjustRightInd w:val="0"/>
        <w:rPr>
          <w:rFonts w:ascii="Arial" w:hAnsi="Arial" w:cs="Arial"/>
          <w:bCs/>
          <w:sz w:val="22"/>
          <w:szCs w:val="22"/>
        </w:rPr>
      </w:pPr>
      <w:r w:rsidRPr="00D80990">
        <w:rPr>
          <w:rFonts w:ascii="Arial" w:hAnsi="Arial" w:cs="Arial"/>
          <w:bCs/>
          <w:sz w:val="22"/>
          <w:szCs w:val="22"/>
        </w:rPr>
        <w:t>A fine esercizio come disposto dall’art.167, comma 3 del TUEL le economie di bilancio dovranno confluire nella quota accantonata del risultato di amministrazione.</w:t>
      </w:r>
    </w:p>
    <w:p w:rsidR="00E453A3" w:rsidRPr="00D80990" w:rsidRDefault="00E453A3" w:rsidP="00E453A3">
      <w:pPr>
        <w:autoSpaceDE w:val="0"/>
        <w:autoSpaceDN w:val="0"/>
        <w:adjustRightInd w:val="0"/>
        <w:rPr>
          <w:rFonts w:ascii="Arial" w:hAnsi="Arial" w:cs="Arial"/>
          <w:bCs/>
          <w:sz w:val="22"/>
          <w:szCs w:val="22"/>
        </w:rPr>
      </w:pPr>
    </w:p>
    <w:p w:rsidR="00E453A3" w:rsidRPr="00D80990" w:rsidRDefault="00E453A3" w:rsidP="00E453A3">
      <w:pPr>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bCs/>
          <w:i/>
          <w:color w:val="00B0F0"/>
          <w:sz w:val="22"/>
          <w:szCs w:val="22"/>
          <w:vertAlign w:val="superscript"/>
        </w:rPr>
      </w:pPr>
      <w:r w:rsidRPr="00D80990">
        <w:rPr>
          <w:rFonts w:ascii="Arial" w:hAnsi="Arial" w:cs="Arial"/>
          <w:bCs/>
          <w:i/>
          <w:color w:val="00B0F0"/>
          <w:sz w:val="22"/>
          <w:szCs w:val="22"/>
          <w:vertAlign w:val="superscript"/>
        </w:rPr>
        <w:t>(1)</w:t>
      </w:r>
    </w:p>
    <w:p w:rsidR="00E453A3" w:rsidRPr="00D80990" w:rsidRDefault="00E453A3" w:rsidP="00E453A3">
      <w:pPr>
        <w:pBdr>
          <w:top w:val="single" w:sz="4" w:space="1" w:color="auto"/>
          <w:left w:val="single" w:sz="4" w:space="4" w:color="auto"/>
          <w:bottom w:val="single" w:sz="4" w:space="1" w:color="auto"/>
          <w:right w:val="single" w:sz="4" w:space="4" w:color="auto"/>
        </w:pBdr>
        <w:jc w:val="both"/>
        <w:rPr>
          <w:rFonts w:ascii="Arial" w:hAnsi="Arial" w:cs="Arial"/>
          <w:i/>
          <w:color w:val="00B0F0"/>
          <w:sz w:val="22"/>
          <w:szCs w:val="22"/>
        </w:rPr>
      </w:pPr>
      <w:r w:rsidRPr="00D80990">
        <w:rPr>
          <w:rFonts w:ascii="Arial" w:hAnsi="Arial" w:cs="Arial"/>
          <w:i/>
          <w:color w:val="00B0F0"/>
          <w:sz w:val="22"/>
          <w:szCs w:val="22"/>
        </w:rPr>
        <w:t xml:space="preserve">a) </w:t>
      </w:r>
      <w:r w:rsidRPr="00D80990">
        <w:rPr>
          <w:rFonts w:ascii="Arial" w:hAnsi="Arial" w:cs="Arial"/>
          <w:i/>
          <w:color w:val="00B0F0"/>
          <w:sz w:val="22"/>
          <w:szCs w:val="22"/>
          <w:u w:val="single"/>
        </w:rPr>
        <w:t>accantonamenti per contenzioso</w:t>
      </w:r>
    </w:p>
    <w:p w:rsidR="00E453A3" w:rsidRPr="00D80990" w:rsidRDefault="00E453A3" w:rsidP="00E453A3">
      <w:pPr>
        <w:pBdr>
          <w:top w:val="single" w:sz="4" w:space="1" w:color="auto"/>
          <w:left w:val="single" w:sz="4" w:space="4" w:color="auto"/>
          <w:bottom w:val="single" w:sz="4" w:space="1" w:color="auto"/>
          <w:right w:val="single" w:sz="4" w:space="4" w:color="auto"/>
        </w:pBdr>
        <w:jc w:val="both"/>
        <w:rPr>
          <w:rFonts w:ascii="Arial" w:hAnsi="Arial" w:cs="Arial"/>
          <w:i/>
          <w:color w:val="00B0F0"/>
          <w:sz w:val="22"/>
          <w:szCs w:val="22"/>
        </w:rPr>
      </w:pPr>
      <w:r w:rsidRPr="00D80990">
        <w:rPr>
          <w:rFonts w:ascii="Arial" w:hAnsi="Arial" w:cs="Arial"/>
          <w:i/>
          <w:color w:val="00B0F0"/>
          <w:sz w:val="22"/>
          <w:szCs w:val="22"/>
        </w:rPr>
        <w:t>sulla base del punto 5.2 lettera h) del principio contabile applicato alla contabilità finanziaria (allegato 4.2 al D.Lgs. 118/2011)</w:t>
      </w:r>
      <w:r>
        <w:rPr>
          <w:rFonts w:ascii="Arial" w:hAnsi="Arial" w:cs="Arial"/>
          <w:i/>
          <w:color w:val="00B0F0"/>
          <w:sz w:val="22"/>
          <w:szCs w:val="22"/>
        </w:rPr>
        <w:t>, secondo cui l’organo di revisione deve provvedere a verificare la congruità degli accantonamenti.</w:t>
      </w:r>
    </w:p>
    <w:p w:rsidR="00E453A3" w:rsidRPr="00D80990" w:rsidRDefault="00E453A3" w:rsidP="00E453A3">
      <w:pPr>
        <w:pBdr>
          <w:top w:val="single" w:sz="4" w:space="1" w:color="auto"/>
          <w:left w:val="single" w:sz="4" w:space="4" w:color="auto"/>
          <w:bottom w:val="single" w:sz="4" w:space="1" w:color="auto"/>
          <w:right w:val="single" w:sz="4" w:space="4" w:color="auto"/>
        </w:pBdr>
        <w:jc w:val="both"/>
        <w:rPr>
          <w:rFonts w:ascii="Arial" w:hAnsi="Arial" w:cs="Arial"/>
          <w:i/>
          <w:color w:val="00B0F0"/>
          <w:sz w:val="22"/>
          <w:szCs w:val="22"/>
        </w:rPr>
      </w:pPr>
      <w:r w:rsidRPr="00D80990">
        <w:rPr>
          <w:rFonts w:ascii="Arial" w:hAnsi="Arial" w:cs="Arial"/>
          <w:i/>
          <w:color w:val="00B0F0"/>
          <w:sz w:val="22"/>
          <w:szCs w:val="22"/>
        </w:rPr>
        <w:t xml:space="preserve">b) </w:t>
      </w:r>
      <w:r w:rsidRPr="00D80990">
        <w:rPr>
          <w:rFonts w:ascii="Arial" w:hAnsi="Arial" w:cs="Arial"/>
          <w:i/>
          <w:color w:val="00B0F0"/>
          <w:sz w:val="22"/>
          <w:szCs w:val="22"/>
          <w:u w:val="single"/>
        </w:rPr>
        <w:t>accantonamenti per indennità fine mandato</w:t>
      </w:r>
    </w:p>
    <w:p w:rsidR="00E453A3" w:rsidRPr="00D80990" w:rsidRDefault="00E453A3" w:rsidP="00E453A3">
      <w:pPr>
        <w:pBdr>
          <w:top w:val="single" w:sz="4" w:space="1" w:color="auto"/>
          <w:left w:val="single" w:sz="4" w:space="4" w:color="auto"/>
          <w:bottom w:val="single" w:sz="4" w:space="1" w:color="auto"/>
          <w:right w:val="single" w:sz="4" w:space="4" w:color="auto"/>
        </w:pBdr>
        <w:jc w:val="both"/>
        <w:rPr>
          <w:rFonts w:ascii="Arial" w:hAnsi="Arial" w:cs="Arial"/>
          <w:i/>
          <w:color w:val="00B0F0"/>
          <w:sz w:val="22"/>
          <w:szCs w:val="22"/>
        </w:rPr>
      </w:pPr>
      <w:r w:rsidRPr="00D80990">
        <w:rPr>
          <w:rFonts w:ascii="Arial" w:hAnsi="Arial" w:cs="Arial"/>
          <w:i/>
          <w:color w:val="00B0F0"/>
          <w:sz w:val="22"/>
          <w:szCs w:val="22"/>
        </w:rPr>
        <w:t>sulla base del punto 5.2 lettera i) del principio contabile applicato alla contabilità finanziaria (allegato 4.2 al D.Lgs.118/2011);</w:t>
      </w:r>
    </w:p>
    <w:p w:rsidR="00E453A3" w:rsidRPr="00D80990" w:rsidRDefault="00E453A3" w:rsidP="00E453A3">
      <w:pPr>
        <w:pBdr>
          <w:top w:val="single" w:sz="4" w:space="1" w:color="auto"/>
          <w:left w:val="single" w:sz="4" w:space="4" w:color="auto"/>
          <w:bottom w:val="single" w:sz="4" w:space="1" w:color="auto"/>
          <w:right w:val="single" w:sz="4" w:space="4" w:color="auto"/>
        </w:pBdr>
        <w:jc w:val="both"/>
        <w:rPr>
          <w:rFonts w:ascii="Arial" w:hAnsi="Arial" w:cs="Arial"/>
          <w:i/>
          <w:color w:val="00B0F0"/>
          <w:sz w:val="22"/>
          <w:szCs w:val="22"/>
        </w:rPr>
      </w:pPr>
      <w:r w:rsidRPr="00D80990">
        <w:rPr>
          <w:rFonts w:ascii="Arial" w:hAnsi="Arial" w:cs="Arial"/>
          <w:i/>
          <w:color w:val="00B0F0"/>
          <w:sz w:val="22"/>
          <w:szCs w:val="22"/>
        </w:rPr>
        <w:t xml:space="preserve">c) </w:t>
      </w:r>
      <w:r w:rsidRPr="00D80990">
        <w:rPr>
          <w:rFonts w:ascii="Arial" w:hAnsi="Arial" w:cs="Arial"/>
          <w:i/>
          <w:color w:val="00B0F0"/>
          <w:sz w:val="22"/>
          <w:szCs w:val="22"/>
          <w:u w:val="single"/>
        </w:rPr>
        <w:t>accantonamenti a copertura di perdite organismi partecipati</w:t>
      </w:r>
    </w:p>
    <w:p w:rsidR="00E453A3" w:rsidRPr="00D80990" w:rsidRDefault="00E453A3" w:rsidP="00E453A3">
      <w:pPr>
        <w:pBdr>
          <w:top w:val="single" w:sz="4" w:space="1" w:color="auto"/>
          <w:left w:val="single" w:sz="4" w:space="4" w:color="auto"/>
          <w:bottom w:val="single" w:sz="4" w:space="1" w:color="auto"/>
          <w:right w:val="single" w:sz="4" w:space="4" w:color="auto"/>
        </w:pBdr>
        <w:rPr>
          <w:rFonts w:ascii="Arial" w:hAnsi="Arial" w:cs="Arial"/>
          <w:i/>
          <w:color w:val="00B0F0"/>
          <w:sz w:val="22"/>
          <w:szCs w:val="22"/>
        </w:rPr>
      </w:pPr>
      <w:r w:rsidRPr="00D80990">
        <w:rPr>
          <w:rFonts w:ascii="Arial" w:hAnsi="Arial" w:cs="Arial"/>
          <w:i/>
          <w:color w:val="00B0F0"/>
          <w:sz w:val="22"/>
          <w:szCs w:val="22"/>
        </w:rPr>
        <w:t>sulla base di quanto disposto dal comma 552 dell’art.1 della Legge 147/2013 e dall’art. 21 commi 1 e 2 del D.Lgs. 19/8/2016 n.175 e di quanto dettagliato in seguito nella parte relativa agli organismi partecipati.</w:t>
      </w:r>
    </w:p>
    <w:p w:rsidR="00E453A3" w:rsidRPr="00D80990" w:rsidRDefault="00E453A3" w:rsidP="00E453A3">
      <w:pPr>
        <w:rPr>
          <w:rFonts w:ascii="Arial" w:hAnsi="Arial" w:cs="Arial"/>
        </w:rPr>
      </w:pPr>
      <w:bookmarkStart w:id="73" w:name="_ORGANISMI_PARTECIPATI"/>
      <w:bookmarkEnd w:id="73"/>
    </w:p>
    <w:p w:rsidR="00E453A3" w:rsidRPr="00D80990" w:rsidRDefault="00E453A3" w:rsidP="00E453A3">
      <w:pPr>
        <w:pStyle w:val="Titolo3"/>
      </w:pPr>
      <w:bookmarkStart w:id="74" w:name="_Toc535487625"/>
      <w:r w:rsidRPr="00D80990">
        <w:t>Fondo di riserva di cassa</w:t>
      </w:r>
      <w:bookmarkEnd w:id="74"/>
    </w:p>
    <w:p w:rsidR="008B1A79" w:rsidRDefault="00E453A3">
      <w:pPr>
        <w:pStyle w:val="provvr0"/>
        <w:rPr>
          <w:rFonts w:ascii="Arial" w:hAnsi="Arial" w:cs="Arial"/>
          <w:i/>
          <w:color w:val="17365D" w:themeColor="text2" w:themeShade="BF"/>
          <w:sz w:val="22"/>
          <w:szCs w:val="22"/>
        </w:rPr>
      </w:pPr>
      <w:r w:rsidRPr="00D80990">
        <w:rPr>
          <w:rFonts w:ascii="Arial" w:hAnsi="Arial" w:cs="Arial"/>
          <w:sz w:val="22"/>
          <w:szCs w:val="22"/>
        </w:rPr>
        <w:t>La consistenza del fondo di riserva di cassa rientra</w:t>
      </w:r>
      <w:r>
        <w:rPr>
          <w:rFonts w:ascii="Arial" w:hAnsi="Arial" w:cs="Arial"/>
          <w:sz w:val="22"/>
          <w:szCs w:val="22"/>
        </w:rPr>
        <w:t>/non rientra</w:t>
      </w:r>
      <w:r w:rsidRPr="00D80990">
        <w:rPr>
          <w:rFonts w:ascii="Arial" w:hAnsi="Arial" w:cs="Arial"/>
          <w:sz w:val="22"/>
          <w:szCs w:val="22"/>
        </w:rPr>
        <w:t xml:space="preserve"> nei limiti di cui all’art. 166, comma 2 quater del TUEL. </w:t>
      </w:r>
      <w:r w:rsidRPr="00D80990">
        <w:rPr>
          <w:rFonts w:ascii="Arial" w:hAnsi="Arial" w:cs="Arial"/>
          <w:i/>
          <w:color w:val="17365D" w:themeColor="text2" w:themeShade="BF"/>
          <w:sz w:val="22"/>
          <w:szCs w:val="22"/>
        </w:rPr>
        <w:t>(</w:t>
      </w:r>
      <w:r w:rsidRPr="00D80990">
        <w:rPr>
          <w:rFonts w:ascii="Arial" w:hAnsi="Arial" w:cs="Arial"/>
          <w:i/>
          <w:color w:val="00B0F0"/>
          <w:sz w:val="22"/>
          <w:szCs w:val="22"/>
        </w:rPr>
        <w:t>non inferiore allo 0,2 per cento delle spese finali</w:t>
      </w:r>
      <w:r w:rsidRPr="00D80990">
        <w:rPr>
          <w:rFonts w:ascii="Arial" w:hAnsi="Arial" w:cs="Arial"/>
          <w:i/>
          <w:color w:val="17365D" w:themeColor="text2" w:themeShade="BF"/>
          <w:sz w:val="22"/>
          <w:szCs w:val="22"/>
        </w:rPr>
        <w:t>)</w:t>
      </w:r>
    </w:p>
    <w:p w:rsidR="009F6E3E" w:rsidRPr="00D80990" w:rsidRDefault="007F766F">
      <w:pPr>
        <w:pStyle w:val="Titolo1"/>
        <w:shd w:val="clear" w:color="auto" w:fill="B6DDE8" w:themeFill="accent5" w:themeFillTint="66"/>
      </w:pPr>
      <w:bookmarkStart w:id="75" w:name="_Toc535487626"/>
      <w:r w:rsidRPr="00D80990">
        <w:t>ORGANISMI PARTECIPATI</w:t>
      </w:r>
      <w:bookmarkEnd w:id="75"/>
    </w:p>
    <w:p w:rsidR="00C10C7F" w:rsidRPr="00EB13D6" w:rsidRDefault="00C10C7F" w:rsidP="00C10C7F">
      <w:pPr>
        <w:pStyle w:val="BodyText21"/>
        <w:spacing w:before="120"/>
        <w:rPr>
          <w:rFonts w:cs="Arial"/>
          <w:b w:val="0"/>
          <w:i w:val="0"/>
          <w:sz w:val="22"/>
          <w:szCs w:val="22"/>
        </w:rPr>
      </w:pPr>
      <w:r w:rsidRPr="00EB13D6">
        <w:rPr>
          <w:rFonts w:cs="Arial"/>
          <w:b w:val="0"/>
          <w:i w:val="0"/>
          <w:sz w:val="22"/>
          <w:szCs w:val="22"/>
        </w:rPr>
        <w:t>Nel corso del triennio 2019-2021 l’ente prevede di esternalizzare i seguenti servizi:</w:t>
      </w:r>
    </w:p>
    <w:p w:rsidR="00C10C7F" w:rsidRPr="00EB13D6" w:rsidRDefault="00C10C7F" w:rsidP="00C10C7F">
      <w:pPr>
        <w:pStyle w:val="BodyText21"/>
        <w:spacing w:before="120"/>
        <w:rPr>
          <w:rFonts w:cs="Arial"/>
          <w:b w:val="0"/>
          <w:i w:val="0"/>
          <w:sz w:val="22"/>
          <w:szCs w:val="22"/>
        </w:rPr>
      </w:pPr>
      <w:r w:rsidRPr="00EB13D6">
        <w:rPr>
          <w:rFonts w:cs="Arial"/>
          <w:b w:val="0"/>
          <w:i w:val="0"/>
          <w:sz w:val="22"/>
          <w:szCs w:val="22"/>
        </w:rPr>
        <w:t>…………..</w:t>
      </w:r>
    </w:p>
    <w:p w:rsidR="00C10C7F" w:rsidRPr="00EB13D6" w:rsidRDefault="00C10C7F" w:rsidP="00C10C7F">
      <w:pPr>
        <w:pStyle w:val="BodyText21"/>
        <w:spacing w:before="120"/>
        <w:rPr>
          <w:rFonts w:cs="Arial"/>
          <w:b w:val="0"/>
          <w:i w:val="0"/>
          <w:sz w:val="22"/>
          <w:szCs w:val="22"/>
        </w:rPr>
      </w:pPr>
      <w:r w:rsidRPr="00EB13D6">
        <w:rPr>
          <w:rFonts w:cs="Arial"/>
          <w:b w:val="0"/>
          <w:i w:val="0"/>
          <w:sz w:val="22"/>
          <w:szCs w:val="22"/>
        </w:rPr>
        <w:t>…………..</w:t>
      </w:r>
    </w:p>
    <w:p w:rsidR="00C10C7F" w:rsidRPr="00EB13D6" w:rsidRDefault="00C10C7F" w:rsidP="00C10C7F">
      <w:pPr>
        <w:pStyle w:val="BodyText21"/>
        <w:spacing w:before="120"/>
        <w:rPr>
          <w:rFonts w:cs="Arial"/>
          <w:b w:val="0"/>
          <w:i w:val="0"/>
          <w:sz w:val="22"/>
          <w:szCs w:val="22"/>
        </w:rPr>
      </w:pPr>
    </w:p>
    <w:p w:rsidR="00C10C7F" w:rsidRPr="00EB13D6" w:rsidRDefault="00C10C7F" w:rsidP="00C10C7F">
      <w:pPr>
        <w:pStyle w:val="BodyText21"/>
        <w:spacing w:before="120"/>
        <w:rPr>
          <w:rFonts w:cs="Arial"/>
          <w:b w:val="0"/>
          <w:i w:val="0"/>
          <w:sz w:val="22"/>
          <w:szCs w:val="22"/>
        </w:rPr>
      </w:pPr>
      <w:r w:rsidRPr="00EB13D6">
        <w:rPr>
          <w:rFonts w:cs="Arial"/>
          <w:b w:val="0"/>
          <w:i w:val="0"/>
          <w:sz w:val="22"/>
          <w:szCs w:val="22"/>
        </w:rPr>
        <w:t xml:space="preserve">Tutti gli organismi partecipati hanno approvato i bilanci d’esercizio al 31/12/2017 </w:t>
      </w:r>
      <w:r>
        <w:rPr>
          <w:rFonts w:cs="Arial"/>
          <w:b w:val="0"/>
          <w:i w:val="0"/>
          <w:color w:val="0000FF"/>
          <w:sz w:val="22"/>
          <w:szCs w:val="22"/>
        </w:rPr>
        <w:t>[</w:t>
      </w:r>
      <w:r w:rsidRPr="00E616A5">
        <w:rPr>
          <w:rFonts w:cs="Arial"/>
          <w:b w:val="0"/>
          <w:color w:val="00B0F0"/>
          <w:sz w:val="22"/>
          <w:szCs w:val="22"/>
        </w:rPr>
        <w:t>indicare l’eventualediverso termine</w:t>
      </w:r>
      <w:r>
        <w:rPr>
          <w:rFonts w:cs="Arial"/>
          <w:b w:val="0"/>
          <w:i w:val="0"/>
          <w:color w:val="00B0F0"/>
          <w:sz w:val="22"/>
          <w:szCs w:val="22"/>
        </w:rPr>
        <w:t>]</w:t>
      </w:r>
      <w:r>
        <w:rPr>
          <w:rFonts w:cs="Arial"/>
          <w:b w:val="0"/>
          <w:i w:val="0"/>
          <w:sz w:val="22"/>
          <w:szCs w:val="22"/>
        </w:rPr>
        <w:t xml:space="preserve"> che sono pubblicati sul sito internet dell’Ente</w:t>
      </w:r>
      <w:r w:rsidRPr="00EB13D6">
        <w:rPr>
          <w:rFonts w:cs="Arial"/>
          <w:b w:val="0"/>
          <w:i w:val="0"/>
          <w:sz w:val="22"/>
          <w:szCs w:val="22"/>
        </w:rPr>
        <w:t>.</w:t>
      </w:r>
    </w:p>
    <w:p w:rsidR="00C10C7F" w:rsidRPr="00EB13D6" w:rsidRDefault="00C10C7F" w:rsidP="00C10C7F">
      <w:pPr>
        <w:pStyle w:val="BodyText21"/>
        <w:spacing w:before="120"/>
        <w:rPr>
          <w:rFonts w:cs="Arial"/>
          <w:b w:val="0"/>
          <w:i w:val="0"/>
          <w:sz w:val="22"/>
          <w:szCs w:val="22"/>
        </w:rPr>
      </w:pPr>
      <w:r w:rsidRPr="00EB13D6">
        <w:rPr>
          <w:rFonts w:cs="Arial"/>
          <w:b w:val="0"/>
          <w:i w:val="0"/>
          <w:sz w:val="22"/>
          <w:szCs w:val="22"/>
        </w:rPr>
        <w:t xml:space="preserve">Le seguenti società partecipate nell’ultimo bilancio approvato </w:t>
      </w:r>
      <w:r>
        <w:rPr>
          <w:rFonts w:cs="Arial"/>
          <w:b w:val="0"/>
          <w:i w:val="0"/>
          <w:sz w:val="22"/>
          <w:szCs w:val="22"/>
        </w:rPr>
        <w:t xml:space="preserve">hanno </w:t>
      </w:r>
      <w:r w:rsidRPr="00EB13D6">
        <w:rPr>
          <w:rFonts w:cs="Arial"/>
          <w:b w:val="0"/>
          <w:i w:val="0"/>
          <w:sz w:val="22"/>
          <w:szCs w:val="22"/>
        </w:rPr>
        <w:t>presenta</w:t>
      </w:r>
      <w:r>
        <w:rPr>
          <w:rFonts w:cs="Arial"/>
          <w:b w:val="0"/>
          <w:i w:val="0"/>
          <w:sz w:val="22"/>
          <w:szCs w:val="22"/>
        </w:rPr>
        <w:t>t</w:t>
      </w:r>
      <w:r w:rsidRPr="00EB13D6">
        <w:rPr>
          <w:rFonts w:cs="Arial"/>
          <w:b w:val="0"/>
          <w:i w:val="0"/>
          <w:sz w:val="22"/>
          <w:szCs w:val="22"/>
        </w:rPr>
        <w:t xml:space="preserve">o perdite che </w:t>
      </w:r>
      <w:r>
        <w:rPr>
          <w:rFonts w:cs="Arial"/>
          <w:b w:val="0"/>
          <w:i w:val="0"/>
          <w:sz w:val="22"/>
          <w:szCs w:val="22"/>
        </w:rPr>
        <w:t xml:space="preserve">hanno </w:t>
      </w:r>
      <w:r w:rsidRPr="00EB13D6">
        <w:rPr>
          <w:rFonts w:cs="Arial"/>
          <w:b w:val="0"/>
          <w:i w:val="0"/>
          <w:sz w:val="22"/>
          <w:szCs w:val="22"/>
        </w:rPr>
        <w:t>richie</w:t>
      </w:r>
      <w:r>
        <w:rPr>
          <w:rFonts w:cs="Arial"/>
          <w:b w:val="0"/>
          <w:i w:val="0"/>
          <w:sz w:val="22"/>
          <w:szCs w:val="22"/>
        </w:rPr>
        <w:t>st</w:t>
      </w:r>
      <w:r w:rsidRPr="00EB13D6">
        <w:rPr>
          <w:rFonts w:cs="Arial"/>
          <w:b w:val="0"/>
          <w:i w:val="0"/>
          <w:sz w:val="22"/>
          <w:szCs w:val="22"/>
        </w:rPr>
        <w:t xml:space="preserve">o gli interventi di cui all’art. 2447 del </w:t>
      </w:r>
      <w:hyperlink r:id="rId74" w:history="1">
        <w:r w:rsidRPr="00EB13D6">
          <w:rPr>
            <w:rStyle w:val="Collegamentoipertestuale"/>
            <w:rFonts w:cs="Arial"/>
            <w:b w:val="0"/>
            <w:i w:val="0"/>
            <w:color w:val="auto"/>
            <w:sz w:val="22"/>
            <w:szCs w:val="22"/>
            <w:u w:val="none"/>
          </w:rPr>
          <w:t>codice civile</w:t>
        </w:r>
      </w:hyperlink>
      <w:r w:rsidRPr="00EB13D6">
        <w:rPr>
          <w:rStyle w:val="Collegamentoipertestuale"/>
          <w:rFonts w:cs="Arial"/>
          <w:b w:val="0"/>
          <w:i w:val="0"/>
          <w:color w:val="auto"/>
          <w:sz w:val="22"/>
          <w:szCs w:val="22"/>
          <w:u w:val="none"/>
        </w:rPr>
        <w:t xml:space="preserve"> e/o all’art. 2482-ter del codice civile</w:t>
      </w:r>
      <w:r w:rsidRPr="00EB13D6">
        <w:rPr>
          <w:rFonts w:cs="Arial"/>
          <w:b w:val="0"/>
          <w:i w:val="0"/>
          <w:sz w:val="22"/>
          <w:szCs w:val="22"/>
        </w:rPr>
        <w:t>:</w:t>
      </w:r>
    </w:p>
    <w:p w:rsidR="00C10C7F" w:rsidRDefault="00003942" w:rsidP="00C10C7F">
      <w:pPr>
        <w:pStyle w:val="BodyText21"/>
        <w:spacing w:before="120"/>
        <w:rPr>
          <w:rFonts w:cs="Arial"/>
          <w:b w:val="0"/>
          <w:i w:val="0"/>
          <w:sz w:val="22"/>
          <w:szCs w:val="22"/>
        </w:rPr>
      </w:pPr>
      <w:r>
        <w:object w:dxaOrig="13226" w:dyaOrig="2017">
          <v:shape id="_x0000_i1052" type="#_x0000_t75" style="width:489pt;height:1in" o:ole="">
            <v:imagedata r:id="rId75" o:title=""/>
          </v:shape>
          <o:OLEObject Type="Embed" ProgID="Excel.Sheet.12" ShapeID="_x0000_i1052" DrawAspect="Content" ObjectID="_1610733416" r:id="rId76"/>
        </w:object>
      </w:r>
    </w:p>
    <w:p w:rsidR="00C10C7F" w:rsidRPr="00EB13D6" w:rsidRDefault="00C10C7F" w:rsidP="00C10C7F">
      <w:pPr>
        <w:pStyle w:val="BodyText21"/>
        <w:spacing w:before="120"/>
        <w:rPr>
          <w:rFonts w:cs="Arial"/>
          <w:b w:val="0"/>
          <w:i w:val="0"/>
          <w:sz w:val="22"/>
          <w:szCs w:val="22"/>
        </w:rPr>
      </w:pPr>
      <w:r w:rsidRPr="00EB13D6">
        <w:rPr>
          <w:rFonts w:cs="Arial"/>
          <w:b w:val="0"/>
          <w:i w:val="0"/>
          <w:sz w:val="22"/>
          <w:szCs w:val="22"/>
        </w:rPr>
        <w:lastRenderedPageBreak/>
        <w:t>La quota a carico del Comune per tali interventi è stata finanziata nel bilancio 2019.</w:t>
      </w:r>
    </w:p>
    <w:p w:rsidR="00C10C7F" w:rsidRPr="00D80990" w:rsidRDefault="00C10C7F" w:rsidP="00C10C7F">
      <w:pPr>
        <w:spacing w:before="100" w:beforeAutospacing="1" w:after="100" w:afterAutospacing="1"/>
        <w:jc w:val="both"/>
        <w:rPr>
          <w:rFonts w:ascii="Arial" w:hAnsi="Arial" w:cs="Arial"/>
          <w:color w:val="000000"/>
          <w:sz w:val="22"/>
          <w:szCs w:val="22"/>
        </w:rPr>
      </w:pPr>
      <w:r w:rsidRPr="00D80990">
        <w:rPr>
          <w:rStyle w:val="provvrubrica"/>
          <w:rFonts w:ascii="Arial" w:hAnsi="Arial" w:cs="Arial"/>
          <w:b/>
          <w:i/>
          <w:iCs/>
          <w:color w:val="000000"/>
          <w:sz w:val="22"/>
          <w:szCs w:val="22"/>
        </w:rPr>
        <w:t xml:space="preserve">Adeguamento statuti </w:t>
      </w:r>
    </w:p>
    <w:p w:rsidR="00C10C7F" w:rsidRDefault="00C10C7F" w:rsidP="00C10C7F">
      <w:pPr>
        <w:spacing w:before="100" w:beforeAutospacing="1" w:after="100" w:afterAutospacing="1"/>
        <w:jc w:val="both"/>
        <w:rPr>
          <w:rFonts w:ascii="Arial" w:hAnsi="Arial" w:cs="Arial"/>
          <w:color w:val="000000"/>
          <w:sz w:val="22"/>
          <w:szCs w:val="22"/>
        </w:rPr>
      </w:pPr>
      <w:r>
        <w:rPr>
          <w:rFonts w:ascii="Arial" w:hAnsi="Arial" w:cs="Arial"/>
          <w:color w:val="000000"/>
          <w:sz w:val="22"/>
          <w:szCs w:val="22"/>
        </w:rPr>
        <w:t xml:space="preserve">Dalla verifica in materia di adeguamento degli statuti societari ex art. 26 del D.Lgs. n. 175/2016, risulta che non sono ancora stati adeguati alle disposizioni del suddetto decreto gli statuti delle seguenti società controllate e/o a partecipazione mista pubblico-privata: </w:t>
      </w:r>
    </w:p>
    <w:p w:rsidR="00C10C7F" w:rsidRPr="002E473A" w:rsidRDefault="00C10C7F" w:rsidP="00C10C7F">
      <w:pPr>
        <w:pStyle w:val="BodyText21"/>
        <w:spacing w:before="120"/>
        <w:rPr>
          <w:rFonts w:cs="Arial"/>
          <w:b w:val="0"/>
          <w:i w:val="0"/>
          <w:sz w:val="22"/>
          <w:szCs w:val="22"/>
        </w:rPr>
      </w:pPr>
      <w:r w:rsidRPr="002E473A">
        <w:rPr>
          <w:rFonts w:cs="Arial"/>
          <w:b w:val="0"/>
          <w:i w:val="0"/>
          <w:sz w:val="22"/>
          <w:szCs w:val="22"/>
        </w:rPr>
        <w:t>……………………………………….</w:t>
      </w:r>
    </w:p>
    <w:p w:rsidR="00C10C7F" w:rsidRPr="002E473A" w:rsidRDefault="00C10C7F" w:rsidP="00C10C7F">
      <w:pPr>
        <w:pStyle w:val="BodyText21"/>
        <w:spacing w:before="120"/>
        <w:rPr>
          <w:rFonts w:cs="Arial"/>
          <w:b w:val="0"/>
          <w:i w:val="0"/>
          <w:sz w:val="22"/>
          <w:szCs w:val="22"/>
        </w:rPr>
      </w:pPr>
      <w:r w:rsidRPr="002E473A">
        <w:rPr>
          <w:rFonts w:cs="Arial"/>
          <w:b w:val="0"/>
          <w:i w:val="0"/>
          <w:sz w:val="22"/>
          <w:szCs w:val="22"/>
        </w:rPr>
        <w:t>……………………………………….</w:t>
      </w:r>
    </w:p>
    <w:p w:rsidR="00C10C7F" w:rsidRPr="00D80990" w:rsidRDefault="00C10C7F" w:rsidP="00C10C7F">
      <w:pPr>
        <w:spacing w:before="100" w:beforeAutospacing="1" w:after="100" w:afterAutospacing="1"/>
        <w:jc w:val="both"/>
        <w:rPr>
          <w:rFonts w:ascii="Arial" w:hAnsi="Arial" w:cs="Arial"/>
          <w:color w:val="000000"/>
          <w:sz w:val="22"/>
          <w:szCs w:val="22"/>
        </w:rPr>
      </w:pPr>
      <w:r>
        <w:rPr>
          <w:rFonts w:ascii="Arial" w:hAnsi="Arial" w:cs="Arial"/>
          <w:color w:val="000000"/>
          <w:sz w:val="22"/>
          <w:szCs w:val="22"/>
        </w:rPr>
        <w:t>[</w:t>
      </w:r>
      <w:r w:rsidRPr="00EB13D6">
        <w:rPr>
          <w:rFonts w:ascii="Arial" w:hAnsi="Arial" w:cs="Arial"/>
          <w:i/>
          <w:color w:val="000000"/>
          <w:sz w:val="22"/>
          <w:szCs w:val="22"/>
        </w:rPr>
        <w:t xml:space="preserve">OPPURE </w:t>
      </w:r>
      <w:r>
        <w:rPr>
          <w:rFonts w:ascii="Arial" w:hAnsi="Arial" w:cs="Arial"/>
          <w:color w:val="000000"/>
          <w:sz w:val="22"/>
          <w:szCs w:val="22"/>
        </w:rPr>
        <w:t xml:space="preserve">Tutte </w:t>
      </w:r>
      <w:r w:rsidRPr="00D80990">
        <w:rPr>
          <w:rFonts w:ascii="Arial" w:hAnsi="Arial" w:cs="Arial"/>
          <w:color w:val="000000"/>
          <w:sz w:val="22"/>
          <w:szCs w:val="22"/>
        </w:rPr>
        <w:t>società a controllo pubblico</w:t>
      </w:r>
      <w:r>
        <w:rPr>
          <w:rFonts w:ascii="Arial" w:hAnsi="Arial" w:cs="Arial"/>
          <w:color w:val="000000"/>
          <w:sz w:val="22"/>
          <w:szCs w:val="22"/>
        </w:rPr>
        <w:t xml:space="preserve"> e/o a partecipazione mista pubblico-privata del Comune </w:t>
      </w:r>
      <w:r w:rsidRPr="00D80990">
        <w:rPr>
          <w:rFonts w:ascii="Arial" w:hAnsi="Arial" w:cs="Arial"/>
          <w:color w:val="000000"/>
          <w:sz w:val="22"/>
          <w:szCs w:val="22"/>
        </w:rPr>
        <w:t xml:space="preserve">hanno adeguato i propri statuti societari alle norme del </w:t>
      </w:r>
      <w:r>
        <w:rPr>
          <w:rFonts w:ascii="Arial" w:hAnsi="Arial" w:cs="Arial"/>
          <w:color w:val="000000"/>
          <w:sz w:val="22"/>
          <w:szCs w:val="22"/>
        </w:rPr>
        <w:t>D.Lgs. n. 175/2016]</w:t>
      </w:r>
      <w:r w:rsidRPr="00D80990">
        <w:rPr>
          <w:rFonts w:ascii="Arial" w:hAnsi="Arial" w:cs="Arial"/>
          <w:color w:val="000000"/>
          <w:sz w:val="22"/>
          <w:szCs w:val="22"/>
        </w:rPr>
        <w:t>.</w:t>
      </w:r>
    </w:p>
    <w:p w:rsidR="00C10C7F" w:rsidRPr="00D80990" w:rsidRDefault="00C10C7F" w:rsidP="00C10C7F">
      <w:pPr>
        <w:rPr>
          <w:rFonts w:ascii="Arial" w:hAnsi="Arial" w:cs="Arial"/>
          <w:b/>
        </w:rPr>
      </w:pPr>
      <w:r w:rsidRPr="00D80990">
        <w:rPr>
          <w:rStyle w:val="provvrubrica"/>
          <w:rFonts w:ascii="Arial" w:hAnsi="Arial" w:cs="Arial"/>
          <w:b/>
          <w:i/>
          <w:iCs/>
          <w:color w:val="000000"/>
          <w:sz w:val="22"/>
          <w:szCs w:val="22"/>
        </w:rPr>
        <w:t>Accantonamento a copertura di perdite</w:t>
      </w:r>
    </w:p>
    <w:p w:rsidR="00C10C7F" w:rsidRPr="00D80990" w:rsidRDefault="00C10C7F" w:rsidP="00C10C7F">
      <w:pPr>
        <w:jc w:val="both"/>
        <w:rPr>
          <w:rFonts w:ascii="Arial" w:hAnsi="Arial" w:cs="Arial"/>
          <w:sz w:val="22"/>
          <w:szCs w:val="22"/>
        </w:rPr>
      </w:pPr>
    </w:p>
    <w:p w:rsidR="00C10C7F" w:rsidRPr="00D80990" w:rsidRDefault="00C10C7F" w:rsidP="00C10C7F">
      <w:pPr>
        <w:jc w:val="both"/>
        <w:rPr>
          <w:rFonts w:ascii="Arial" w:hAnsi="Arial" w:cs="Arial"/>
          <w:color w:val="0000FF"/>
          <w:sz w:val="22"/>
          <w:szCs w:val="22"/>
          <w:u w:val="single"/>
        </w:rPr>
      </w:pPr>
      <w:r w:rsidRPr="00D80990">
        <w:rPr>
          <w:rFonts w:ascii="Arial" w:hAnsi="Arial" w:cs="Arial"/>
          <w:sz w:val="22"/>
          <w:szCs w:val="22"/>
        </w:rPr>
        <w:t>Dai dati comunicati dalle società partecipate sul</w:t>
      </w:r>
      <w:r>
        <w:rPr>
          <w:rFonts w:ascii="Arial" w:hAnsi="Arial" w:cs="Arial"/>
          <w:sz w:val="22"/>
          <w:szCs w:val="22"/>
        </w:rPr>
        <w:t>la previsione del</w:t>
      </w:r>
      <w:r w:rsidRPr="00D80990">
        <w:rPr>
          <w:rFonts w:ascii="Arial" w:hAnsi="Arial" w:cs="Arial"/>
          <w:sz w:val="22"/>
          <w:szCs w:val="22"/>
        </w:rPr>
        <w:t xml:space="preserve"> risultato dell’esercizio 201</w:t>
      </w:r>
      <w:r>
        <w:rPr>
          <w:rFonts w:ascii="Arial" w:hAnsi="Arial" w:cs="Arial"/>
          <w:sz w:val="22"/>
          <w:szCs w:val="22"/>
        </w:rPr>
        <w:t>8</w:t>
      </w:r>
      <w:r w:rsidRPr="00D80990">
        <w:rPr>
          <w:rFonts w:ascii="Arial" w:hAnsi="Arial" w:cs="Arial"/>
          <w:sz w:val="22"/>
          <w:szCs w:val="22"/>
        </w:rPr>
        <w:t xml:space="preserve">, non </w:t>
      </w:r>
      <w:r>
        <w:rPr>
          <w:rFonts w:ascii="Arial" w:hAnsi="Arial" w:cs="Arial"/>
          <w:sz w:val="22"/>
          <w:szCs w:val="22"/>
        </w:rPr>
        <w:t xml:space="preserve">si rilevano </w:t>
      </w:r>
      <w:r w:rsidRPr="00D80990">
        <w:rPr>
          <w:rFonts w:ascii="Arial" w:hAnsi="Arial" w:cs="Arial"/>
          <w:sz w:val="22"/>
          <w:szCs w:val="22"/>
        </w:rPr>
        <w:t xml:space="preserve">risultati d’esercizio negativi non immediatamente ripianabili che obbligano l’ente a provvedere agli accantonamenti ai sensi </w:t>
      </w:r>
      <w:r w:rsidRPr="00D80990">
        <w:rPr>
          <w:rStyle w:val="Collegamentoipertestuale"/>
          <w:rFonts w:ascii="Arial" w:hAnsi="Arial" w:cs="Arial"/>
          <w:color w:val="auto"/>
          <w:sz w:val="22"/>
          <w:szCs w:val="22"/>
          <w:u w:val="none"/>
        </w:rPr>
        <w:t>dell’art. 21 commi 1 e 2 del D.Lgs.175/2016.</w:t>
      </w:r>
    </w:p>
    <w:p w:rsidR="00C10C7F" w:rsidRPr="00D80990" w:rsidRDefault="00C10C7F" w:rsidP="00C10C7F">
      <w:pPr>
        <w:jc w:val="both"/>
        <w:rPr>
          <w:rFonts w:ascii="Arial" w:hAnsi="Arial" w:cs="Arial"/>
          <w:i/>
          <w:sz w:val="22"/>
          <w:szCs w:val="22"/>
        </w:rPr>
      </w:pPr>
    </w:p>
    <w:p w:rsidR="00C10C7F" w:rsidRPr="00D80990" w:rsidRDefault="00C10C7F" w:rsidP="00C10C7F">
      <w:pPr>
        <w:jc w:val="both"/>
        <w:rPr>
          <w:rFonts w:ascii="Arial" w:hAnsi="Arial" w:cs="Arial"/>
          <w:i/>
          <w:sz w:val="22"/>
          <w:szCs w:val="22"/>
        </w:rPr>
      </w:pPr>
      <w:r w:rsidRPr="00D80990">
        <w:rPr>
          <w:rFonts w:ascii="Arial" w:hAnsi="Arial" w:cs="Arial"/>
          <w:i/>
          <w:sz w:val="22"/>
          <w:szCs w:val="22"/>
        </w:rPr>
        <w:t>Oppure:</w:t>
      </w:r>
    </w:p>
    <w:p w:rsidR="00C10C7F" w:rsidRPr="00D80990" w:rsidRDefault="00C10C7F" w:rsidP="00C10C7F">
      <w:pPr>
        <w:jc w:val="both"/>
        <w:rPr>
          <w:rFonts w:ascii="Arial" w:hAnsi="Arial" w:cs="Arial"/>
          <w:sz w:val="22"/>
          <w:szCs w:val="22"/>
        </w:rPr>
      </w:pPr>
      <w:r w:rsidRPr="00D80990">
        <w:rPr>
          <w:rFonts w:ascii="Arial" w:hAnsi="Arial" w:cs="Arial"/>
          <w:sz w:val="22"/>
          <w:szCs w:val="22"/>
        </w:rPr>
        <w:t>Le seguenti Istituzioni, aziende speciali e società partecipate dall’ente hanno comunicato di prevedere</w:t>
      </w:r>
      <w:r>
        <w:rPr>
          <w:rFonts w:ascii="Arial" w:hAnsi="Arial" w:cs="Arial"/>
          <w:sz w:val="22"/>
          <w:szCs w:val="22"/>
        </w:rPr>
        <w:t xml:space="preserve"> per l’anno 2018</w:t>
      </w:r>
      <w:r w:rsidRPr="00D80990">
        <w:rPr>
          <w:rFonts w:ascii="Arial" w:hAnsi="Arial" w:cs="Arial"/>
          <w:sz w:val="22"/>
          <w:szCs w:val="22"/>
        </w:rPr>
        <w:t xml:space="preserve"> i seguenti risultati di esercizio o finanziari negativi non immediatamente ripianabili e l’ente ha provveduto ai seguenti accantonamenti ai sensi del comma 552 dell’art.1 della Legge 147/2013:</w:t>
      </w:r>
    </w:p>
    <w:p w:rsidR="00C10C7F" w:rsidRPr="00D80990" w:rsidRDefault="00C10C7F" w:rsidP="00C10C7F">
      <w:pPr>
        <w:jc w:val="both"/>
        <w:rPr>
          <w:rFonts w:ascii="Arial" w:hAnsi="Arial" w:cs="Arial"/>
          <w:sz w:val="22"/>
          <w:szCs w:val="22"/>
        </w:rPr>
      </w:pPr>
    </w:p>
    <w:p w:rsidR="00C10C7F" w:rsidRPr="00D80990" w:rsidRDefault="00003942" w:rsidP="00C10C7F">
      <w:pPr>
        <w:jc w:val="center"/>
        <w:rPr>
          <w:rFonts w:ascii="Arial" w:hAnsi="Arial" w:cs="Arial"/>
          <w:sz w:val="20"/>
          <w:szCs w:val="20"/>
        </w:rPr>
      </w:pPr>
      <w:r>
        <w:object w:dxaOrig="8176" w:dyaOrig="1988">
          <v:shape id="_x0000_i1053" type="#_x0000_t75" style="width:410.25pt;height:100.5pt" o:ole="">
            <v:imagedata r:id="rId77" o:title=""/>
          </v:shape>
          <o:OLEObject Type="Embed" ProgID="Excel.Sheet.12" ShapeID="_x0000_i1053" DrawAspect="Content" ObjectID="_1610733417" r:id="rId78"/>
        </w:object>
      </w:r>
    </w:p>
    <w:p w:rsidR="00C10C7F" w:rsidRPr="00D80990" w:rsidRDefault="00C10C7F" w:rsidP="00C10C7F">
      <w:pPr>
        <w:jc w:val="both"/>
        <w:rPr>
          <w:rFonts w:ascii="Arial" w:hAnsi="Arial" w:cs="Arial"/>
          <w:sz w:val="22"/>
          <w:szCs w:val="22"/>
        </w:rPr>
      </w:pPr>
    </w:p>
    <w:p w:rsidR="00C10C7F" w:rsidRPr="00D80990" w:rsidRDefault="00C10C7F" w:rsidP="00C10C7F">
      <w:pPr>
        <w:jc w:val="both"/>
        <w:rPr>
          <w:rStyle w:val="provvrubrica"/>
          <w:rFonts w:ascii="Arial" w:hAnsi="Arial" w:cs="Arial"/>
          <w:i/>
          <w:iCs/>
          <w:color w:val="000000"/>
          <w:sz w:val="22"/>
          <w:szCs w:val="22"/>
        </w:rPr>
      </w:pPr>
      <w:r>
        <w:rPr>
          <w:rStyle w:val="provvrubrica"/>
          <w:rFonts w:ascii="Arial" w:hAnsi="Arial" w:cs="Arial"/>
          <w:b/>
          <w:i/>
          <w:iCs/>
          <w:color w:val="000000"/>
          <w:sz w:val="22"/>
          <w:szCs w:val="22"/>
        </w:rPr>
        <w:t xml:space="preserve">[EVENTUALE </w:t>
      </w:r>
      <w:r w:rsidRPr="00D80990">
        <w:rPr>
          <w:rStyle w:val="provvrubrica"/>
          <w:rFonts w:ascii="Arial" w:hAnsi="Arial" w:cs="Arial"/>
          <w:b/>
          <w:i/>
          <w:iCs/>
          <w:color w:val="000000"/>
          <w:sz w:val="22"/>
          <w:szCs w:val="22"/>
        </w:rPr>
        <w:t xml:space="preserve">Revisione straordinaria delle partecipazioni </w:t>
      </w:r>
      <w:r w:rsidR="001C1946">
        <w:rPr>
          <w:rStyle w:val="provvrubrica"/>
          <w:rFonts w:ascii="Arial" w:hAnsi="Arial" w:cs="Arial"/>
          <w:i/>
          <w:iCs/>
          <w:color w:val="000000"/>
          <w:sz w:val="22"/>
          <w:szCs w:val="22"/>
        </w:rPr>
        <w:t>(art. 24, D.</w:t>
      </w:r>
      <w:r w:rsidRPr="00D80990">
        <w:rPr>
          <w:rStyle w:val="provvrubrica"/>
          <w:rFonts w:ascii="Arial" w:hAnsi="Arial" w:cs="Arial"/>
          <w:i/>
          <w:iCs/>
          <w:color w:val="000000"/>
          <w:sz w:val="22"/>
          <w:szCs w:val="22"/>
        </w:rPr>
        <w:t>Lgs. 175/2016)</w:t>
      </w:r>
      <w:r>
        <w:rPr>
          <w:rStyle w:val="provvrubrica"/>
          <w:rFonts w:ascii="Arial" w:hAnsi="Arial" w:cs="Arial"/>
          <w:i/>
          <w:iCs/>
          <w:color w:val="000000"/>
          <w:sz w:val="22"/>
          <w:szCs w:val="22"/>
        </w:rPr>
        <w:t>[</w:t>
      </w:r>
      <w:r w:rsidRPr="00E616A5">
        <w:rPr>
          <w:rFonts w:ascii="Arial" w:hAnsi="Arial" w:cs="Arial"/>
          <w:i/>
          <w:color w:val="00B0F0"/>
          <w:sz w:val="22"/>
          <w:szCs w:val="22"/>
        </w:rPr>
        <w:t>nel caso di enti che avevano individuato, entro il 31.</w:t>
      </w:r>
      <w:r w:rsidRPr="00160F09">
        <w:rPr>
          <w:rFonts w:ascii="Arial" w:hAnsi="Arial" w:cs="Arial"/>
          <w:i/>
          <w:color w:val="00B0F0"/>
          <w:sz w:val="22"/>
          <w:szCs w:val="22"/>
        </w:rPr>
        <w:t>12.2017, partecipazioni da dismettere</w:t>
      </w:r>
      <w:r>
        <w:rPr>
          <w:rFonts w:ascii="Arial" w:hAnsi="Arial" w:cs="Arial"/>
          <w:color w:val="0000FF"/>
          <w:sz w:val="22"/>
          <w:szCs w:val="22"/>
        </w:rPr>
        <w:t>]</w:t>
      </w:r>
    </w:p>
    <w:p w:rsidR="00C10C7F" w:rsidRPr="00D80990" w:rsidRDefault="00C10C7F" w:rsidP="00C10C7F">
      <w:pPr>
        <w:rPr>
          <w:rFonts w:ascii="Arial" w:hAnsi="Arial" w:cs="Arial"/>
          <w:sz w:val="22"/>
        </w:rPr>
      </w:pPr>
    </w:p>
    <w:p w:rsidR="006A589E" w:rsidRDefault="00C10C7F" w:rsidP="00C10C7F">
      <w:pPr>
        <w:jc w:val="both"/>
        <w:rPr>
          <w:rFonts w:ascii="Arial" w:hAnsi="Arial" w:cs="Arial"/>
          <w:sz w:val="22"/>
        </w:rPr>
      </w:pPr>
      <w:r w:rsidRPr="00D80990">
        <w:rPr>
          <w:rFonts w:ascii="Arial" w:hAnsi="Arial" w:cs="Arial"/>
          <w:sz w:val="22"/>
        </w:rPr>
        <w:t xml:space="preserve">L’Ente ha provveduto con provvedimento motivato, entro il 30 settembre 2017, alla ricognizione di tutte le partecipazioni possedute, direttamente e indirettamente, individuando quelle che </w:t>
      </w:r>
      <w:r>
        <w:rPr>
          <w:rFonts w:ascii="Arial" w:hAnsi="Arial" w:cs="Arial"/>
          <w:sz w:val="22"/>
        </w:rPr>
        <w:t xml:space="preserve">dovevano </w:t>
      </w:r>
      <w:r w:rsidRPr="00D80990">
        <w:rPr>
          <w:rFonts w:ascii="Arial" w:hAnsi="Arial" w:cs="Arial"/>
          <w:sz w:val="22"/>
        </w:rPr>
        <w:t>essere dismesse</w:t>
      </w:r>
      <w:r>
        <w:rPr>
          <w:rFonts w:ascii="Arial" w:hAnsi="Arial" w:cs="Arial"/>
          <w:sz w:val="22"/>
        </w:rPr>
        <w:t xml:space="preserve"> entro il 3</w:t>
      </w:r>
      <w:r w:rsidR="006A589E">
        <w:rPr>
          <w:rFonts w:ascii="Arial" w:hAnsi="Arial" w:cs="Arial"/>
          <w:sz w:val="22"/>
        </w:rPr>
        <w:t>0 settembre 2018.</w:t>
      </w:r>
    </w:p>
    <w:p w:rsidR="00C10C7F" w:rsidRPr="00D80990" w:rsidRDefault="006A589E" w:rsidP="00C10C7F">
      <w:pPr>
        <w:jc w:val="both"/>
        <w:rPr>
          <w:rFonts w:ascii="Arial" w:hAnsi="Arial" w:cs="Arial"/>
        </w:rPr>
      </w:pPr>
      <w:r>
        <w:rPr>
          <w:rFonts w:ascii="Arial" w:hAnsi="Arial" w:cs="Arial"/>
          <w:sz w:val="22"/>
        </w:rPr>
        <w:t>A</w:t>
      </w:r>
      <w:r w:rsidR="00C10C7F">
        <w:rPr>
          <w:rFonts w:ascii="Arial" w:hAnsi="Arial" w:cs="Arial"/>
          <w:sz w:val="22"/>
        </w:rPr>
        <w:t xml:space="preserve"> tal riguardo, il Comune ha proceduto alla dismissione delle seguenti partecipazioni societarie:</w:t>
      </w:r>
    </w:p>
    <w:p w:rsidR="00C10C7F" w:rsidRPr="00D80990" w:rsidRDefault="00C10C7F" w:rsidP="00C10C7F">
      <w:pPr>
        <w:jc w:val="both"/>
        <w:rPr>
          <w:rFonts w:ascii="Arial" w:hAnsi="Arial" w:cs="Arial"/>
          <w:sz w:val="22"/>
        </w:rPr>
      </w:pPr>
    </w:p>
    <w:p w:rsidR="00CF0707" w:rsidRDefault="00003942" w:rsidP="00C10C7F">
      <w:pPr>
        <w:jc w:val="center"/>
        <w:rPr>
          <w:rFonts w:ascii="Arial" w:hAnsi="Arial" w:cs="Arial"/>
          <w:sz w:val="22"/>
        </w:rPr>
      </w:pPr>
      <w:r>
        <w:object w:dxaOrig="11522" w:dyaOrig="1268">
          <v:shape id="_x0000_i1054" type="#_x0000_t75" style="width:489.75pt;height:50.25pt" o:ole="">
            <v:imagedata r:id="rId79" o:title=""/>
          </v:shape>
          <o:OLEObject Type="Embed" ProgID="Excel.Sheet.12" ShapeID="_x0000_i1054" DrawAspect="Content" ObjectID="_1610733418" r:id="rId80"/>
        </w:object>
      </w:r>
    </w:p>
    <w:p w:rsidR="0001679F" w:rsidRDefault="0001679F" w:rsidP="00C10C7F">
      <w:pPr>
        <w:jc w:val="both"/>
        <w:rPr>
          <w:rFonts w:ascii="Arial" w:hAnsi="Arial" w:cs="Arial"/>
          <w:sz w:val="22"/>
          <w:szCs w:val="22"/>
        </w:rPr>
      </w:pPr>
    </w:p>
    <w:p w:rsidR="00C10C7F" w:rsidRDefault="00C10C7F" w:rsidP="00C10C7F">
      <w:pPr>
        <w:jc w:val="both"/>
        <w:rPr>
          <w:rFonts w:ascii="Arial" w:hAnsi="Arial" w:cs="Arial"/>
          <w:sz w:val="22"/>
          <w:szCs w:val="22"/>
        </w:rPr>
      </w:pPr>
      <w:r w:rsidRPr="00D57946">
        <w:rPr>
          <w:rFonts w:ascii="Arial" w:hAnsi="Arial" w:cs="Arial"/>
          <w:sz w:val="22"/>
          <w:szCs w:val="22"/>
        </w:rPr>
        <w:t>[</w:t>
      </w:r>
      <w:r w:rsidRPr="00D57946">
        <w:rPr>
          <w:rFonts w:ascii="Arial" w:hAnsi="Arial" w:cs="Arial"/>
          <w:i/>
          <w:sz w:val="22"/>
          <w:szCs w:val="22"/>
        </w:rPr>
        <w:t>OPPURE</w:t>
      </w:r>
      <w:r w:rsidRPr="00D57946">
        <w:rPr>
          <w:rFonts w:ascii="Arial" w:hAnsi="Arial" w:cs="Arial"/>
          <w:sz w:val="22"/>
          <w:szCs w:val="22"/>
        </w:rPr>
        <w:t xml:space="preserve"> a tal riguardo, non risultano ancora dismesse o coinvolte in un Piano di razionalizzazione le seguenti partecipazioni so</w:t>
      </w:r>
      <w:r>
        <w:rPr>
          <w:rFonts w:ascii="Arial" w:hAnsi="Arial" w:cs="Arial"/>
          <w:sz w:val="22"/>
          <w:szCs w:val="22"/>
        </w:rPr>
        <w:t>cietarie:]</w:t>
      </w:r>
    </w:p>
    <w:p w:rsidR="00C10C7F" w:rsidRDefault="00C10C7F" w:rsidP="00C10C7F">
      <w:pPr>
        <w:jc w:val="both"/>
        <w:rPr>
          <w:rFonts w:ascii="Arial" w:hAnsi="Arial" w:cs="Arial"/>
          <w:sz w:val="22"/>
          <w:szCs w:val="22"/>
        </w:rPr>
      </w:pPr>
    </w:p>
    <w:p w:rsidR="00C10C7F" w:rsidRPr="00D57946" w:rsidRDefault="00003942" w:rsidP="00003942">
      <w:pPr>
        <w:jc w:val="center"/>
        <w:rPr>
          <w:rFonts w:ascii="Arial" w:hAnsi="Arial" w:cs="Arial"/>
          <w:sz w:val="22"/>
          <w:szCs w:val="22"/>
        </w:rPr>
      </w:pPr>
      <w:r>
        <w:object w:dxaOrig="6472" w:dyaOrig="1268">
          <v:shape id="_x0000_i1055" type="#_x0000_t75" style="width:324pt;height:64.5pt" o:ole="">
            <v:imagedata r:id="rId81" o:title=""/>
          </v:shape>
          <o:OLEObject Type="Embed" ProgID="Excel.Sheet.12" ShapeID="_x0000_i1055" DrawAspect="Content" ObjectID="_1610733419" r:id="rId82"/>
        </w:object>
      </w:r>
    </w:p>
    <w:p w:rsidR="00C10C7F" w:rsidRDefault="00C10C7F" w:rsidP="00C10C7F">
      <w:pPr>
        <w:jc w:val="both"/>
        <w:rPr>
          <w:rFonts w:ascii="Arial" w:hAnsi="Arial" w:cs="Arial"/>
          <w:sz w:val="22"/>
          <w:szCs w:val="22"/>
          <w:highlight w:val="yellow"/>
        </w:rPr>
      </w:pPr>
    </w:p>
    <w:p w:rsidR="00C10C7F" w:rsidRDefault="00C10C7F" w:rsidP="00C10C7F">
      <w:pPr>
        <w:jc w:val="both"/>
        <w:rPr>
          <w:rFonts w:ascii="Arial" w:hAnsi="Arial" w:cs="Arial"/>
          <w:b/>
          <w:sz w:val="20"/>
          <w:szCs w:val="20"/>
        </w:rPr>
      </w:pPr>
    </w:p>
    <w:p w:rsidR="00C10C7F" w:rsidRDefault="00C10C7F" w:rsidP="00C10C7F">
      <w:pPr>
        <w:jc w:val="both"/>
        <w:rPr>
          <w:rFonts w:ascii="Arial" w:hAnsi="Arial" w:cs="Arial"/>
          <w:b/>
          <w:sz w:val="20"/>
          <w:szCs w:val="20"/>
        </w:rPr>
      </w:pPr>
      <w:r>
        <w:rPr>
          <w:rStyle w:val="provvrubrica"/>
          <w:rFonts w:ascii="Arial" w:hAnsi="Arial" w:cs="Arial"/>
          <w:b/>
          <w:i/>
          <w:iCs/>
          <w:color w:val="000000"/>
          <w:sz w:val="22"/>
          <w:szCs w:val="22"/>
        </w:rPr>
        <w:t xml:space="preserve">[EVENTUALE </w:t>
      </w:r>
      <w:r w:rsidRPr="00D80990">
        <w:rPr>
          <w:rStyle w:val="provvrubrica"/>
          <w:rFonts w:ascii="Arial" w:hAnsi="Arial" w:cs="Arial"/>
          <w:b/>
          <w:i/>
          <w:iCs/>
          <w:color w:val="000000"/>
          <w:sz w:val="22"/>
          <w:szCs w:val="22"/>
        </w:rPr>
        <w:t>R</w:t>
      </w:r>
      <w:r>
        <w:rPr>
          <w:rStyle w:val="provvrubrica"/>
          <w:rFonts w:ascii="Arial" w:hAnsi="Arial" w:cs="Arial"/>
          <w:b/>
          <w:i/>
          <w:iCs/>
          <w:color w:val="000000"/>
          <w:sz w:val="22"/>
          <w:szCs w:val="22"/>
        </w:rPr>
        <w:t>azionalizzazioneperiodica</w:t>
      </w:r>
      <w:r w:rsidRPr="00D80990">
        <w:rPr>
          <w:rStyle w:val="provvrubrica"/>
          <w:rFonts w:ascii="Arial" w:hAnsi="Arial" w:cs="Arial"/>
          <w:b/>
          <w:i/>
          <w:iCs/>
          <w:color w:val="000000"/>
          <w:sz w:val="22"/>
          <w:szCs w:val="22"/>
        </w:rPr>
        <w:t xml:space="preserve"> delle partecipazioni </w:t>
      </w:r>
      <w:r w:rsidRPr="00D80990">
        <w:rPr>
          <w:rStyle w:val="provvrubrica"/>
          <w:rFonts w:ascii="Arial" w:hAnsi="Arial" w:cs="Arial"/>
          <w:i/>
          <w:iCs/>
          <w:color w:val="000000"/>
          <w:sz w:val="22"/>
          <w:szCs w:val="22"/>
        </w:rPr>
        <w:t>(art. 2</w:t>
      </w:r>
      <w:r>
        <w:rPr>
          <w:rStyle w:val="provvrubrica"/>
          <w:rFonts w:ascii="Arial" w:hAnsi="Arial" w:cs="Arial"/>
          <w:i/>
          <w:iCs/>
          <w:color w:val="000000"/>
          <w:sz w:val="22"/>
          <w:szCs w:val="22"/>
        </w:rPr>
        <w:t>0, D.</w:t>
      </w:r>
      <w:r w:rsidRPr="00D80990">
        <w:rPr>
          <w:rStyle w:val="provvrubrica"/>
          <w:rFonts w:ascii="Arial" w:hAnsi="Arial" w:cs="Arial"/>
          <w:i/>
          <w:iCs/>
          <w:color w:val="000000"/>
          <w:sz w:val="22"/>
          <w:szCs w:val="22"/>
        </w:rPr>
        <w:t>Lgs. 175/2016)</w:t>
      </w:r>
      <w:r>
        <w:rPr>
          <w:rStyle w:val="provvrubrica"/>
          <w:rFonts w:ascii="Arial" w:hAnsi="Arial" w:cs="Arial"/>
          <w:i/>
          <w:iCs/>
          <w:color w:val="000000"/>
          <w:sz w:val="22"/>
          <w:szCs w:val="22"/>
        </w:rPr>
        <w:t>[</w:t>
      </w:r>
      <w:r w:rsidRPr="00E616A5">
        <w:rPr>
          <w:rFonts w:ascii="Arial" w:hAnsi="Arial" w:cs="Arial"/>
          <w:color w:val="00B0F0"/>
          <w:sz w:val="22"/>
          <w:szCs w:val="22"/>
        </w:rPr>
        <w:t xml:space="preserve">nel caso di </w:t>
      </w:r>
      <w:r w:rsidRPr="00160F09">
        <w:rPr>
          <w:rFonts w:ascii="Arial" w:hAnsi="Arial" w:cs="Arial"/>
          <w:color w:val="00B0F0"/>
          <w:sz w:val="22"/>
          <w:szCs w:val="22"/>
        </w:rPr>
        <w:t>enti che abbiano provveduto a effettuarla prima dell’approvazione del bilancio di previsione</w:t>
      </w:r>
      <w:r>
        <w:rPr>
          <w:rFonts w:ascii="Arial" w:hAnsi="Arial" w:cs="Arial"/>
          <w:color w:val="00B0F0"/>
          <w:sz w:val="22"/>
          <w:szCs w:val="22"/>
        </w:rPr>
        <w:t>]</w:t>
      </w:r>
    </w:p>
    <w:p w:rsidR="00C10C7F" w:rsidRDefault="00C10C7F" w:rsidP="00C10C7F">
      <w:pPr>
        <w:jc w:val="both"/>
        <w:rPr>
          <w:rFonts w:ascii="Arial" w:hAnsi="Arial" w:cs="Arial"/>
          <w:sz w:val="22"/>
        </w:rPr>
      </w:pPr>
    </w:p>
    <w:p w:rsidR="00C10C7F" w:rsidRDefault="00C10C7F" w:rsidP="00C10C7F">
      <w:pPr>
        <w:jc w:val="both"/>
        <w:rPr>
          <w:rFonts w:ascii="Arial" w:hAnsi="Arial" w:cs="Arial"/>
          <w:sz w:val="22"/>
        </w:rPr>
      </w:pPr>
      <w:r>
        <w:rPr>
          <w:rFonts w:ascii="Arial" w:hAnsi="Arial" w:cs="Arial"/>
          <w:sz w:val="22"/>
        </w:rPr>
        <w:t xml:space="preserve">L’Ente ha provveduto, in data …………… (entro il 31.12.2018), con proprio provvedimento motivato, all’analisi dell’assetto complessivo delle società in cui detiene partecipazioni, dirette o indirette, predisponendo un piano di riassetto per la loro razionalizzazione, fusione o soppressione, anche mediante messa in liquidazione o cessione, ai sensi dell’art. 20 del D.Lgs. n. 175/2016. </w:t>
      </w:r>
    </w:p>
    <w:p w:rsidR="00C10C7F" w:rsidRDefault="00C10C7F" w:rsidP="00C10C7F">
      <w:pPr>
        <w:jc w:val="both"/>
        <w:rPr>
          <w:rFonts w:ascii="Arial" w:hAnsi="Arial" w:cs="Arial"/>
          <w:sz w:val="22"/>
        </w:rPr>
      </w:pPr>
      <w:r>
        <w:rPr>
          <w:rFonts w:ascii="Arial" w:hAnsi="Arial" w:cs="Arial"/>
          <w:sz w:val="22"/>
        </w:rPr>
        <w:t>Le partecipazioni che risultano da dismettere entro il 31.12.2019 sono:</w:t>
      </w:r>
    </w:p>
    <w:p w:rsidR="00C10C7F" w:rsidRDefault="00C10C7F" w:rsidP="00C10C7F">
      <w:pPr>
        <w:jc w:val="both"/>
        <w:rPr>
          <w:rFonts w:ascii="Arial" w:hAnsi="Arial" w:cs="Arial"/>
          <w:sz w:val="22"/>
        </w:rPr>
      </w:pPr>
    </w:p>
    <w:p w:rsidR="00C10C7F" w:rsidRDefault="00003942" w:rsidP="00C10C7F">
      <w:pPr>
        <w:jc w:val="both"/>
        <w:rPr>
          <w:rFonts w:ascii="Arial" w:hAnsi="Arial" w:cs="Arial"/>
          <w:sz w:val="22"/>
        </w:rPr>
      </w:pPr>
      <w:r>
        <w:object w:dxaOrig="9818" w:dyaOrig="1268">
          <v:shape id="_x0000_i1056" type="#_x0000_t75" style="width:489.75pt;height:64.5pt" o:ole="">
            <v:imagedata r:id="rId83" o:title=""/>
          </v:shape>
          <o:OLEObject Type="Embed" ProgID="Excel.Sheet.12" ShapeID="_x0000_i1056" DrawAspect="Content" ObjectID="_1610733420" r:id="rId84"/>
        </w:object>
      </w:r>
    </w:p>
    <w:p w:rsidR="00C10C7F" w:rsidRDefault="00C10C7F" w:rsidP="00C10C7F">
      <w:pPr>
        <w:jc w:val="both"/>
        <w:rPr>
          <w:rFonts w:ascii="Arial" w:hAnsi="Arial" w:cs="Arial"/>
          <w:sz w:val="22"/>
        </w:rPr>
      </w:pPr>
      <w:r>
        <w:rPr>
          <w:rFonts w:ascii="Arial" w:hAnsi="Arial" w:cs="Arial"/>
          <w:sz w:val="22"/>
        </w:rPr>
        <w:t>[</w:t>
      </w:r>
      <w:r w:rsidRPr="00D3775C">
        <w:rPr>
          <w:rFonts w:ascii="Arial" w:hAnsi="Arial" w:cs="Arial"/>
          <w:i/>
          <w:sz w:val="22"/>
        </w:rPr>
        <w:t>OPPURE</w:t>
      </w:r>
      <w:r>
        <w:rPr>
          <w:rFonts w:ascii="Arial" w:hAnsi="Arial" w:cs="Arial"/>
          <w:sz w:val="22"/>
        </w:rPr>
        <w:t xml:space="preserve"> L’Ente ha provveduto, in data …………… (entro il 31.12.2018), con proprio provvedimento motivato, all’analisi dell’assetto complessivo delle società in cui detiene partecipazioni, dirette o indirette, non rilevando alcuna partecipazione da dover dismettere ai sensi del D.lgs. n. 175/2016].</w:t>
      </w:r>
    </w:p>
    <w:p w:rsidR="00C10C7F" w:rsidRDefault="00C10C7F" w:rsidP="00C10C7F">
      <w:pPr>
        <w:jc w:val="both"/>
        <w:rPr>
          <w:rFonts w:ascii="Arial" w:hAnsi="Arial" w:cs="Arial"/>
          <w:sz w:val="22"/>
        </w:rPr>
      </w:pPr>
    </w:p>
    <w:p w:rsidR="00C10C7F" w:rsidRPr="00D80990" w:rsidRDefault="00C10C7F" w:rsidP="00C10C7F">
      <w:pPr>
        <w:jc w:val="both"/>
        <w:rPr>
          <w:rFonts w:ascii="Arial" w:hAnsi="Arial" w:cs="Arial"/>
          <w:sz w:val="22"/>
        </w:rPr>
      </w:pPr>
      <w:r>
        <w:rPr>
          <w:rFonts w:ascii="Arial" w:hAnsi="Arial" w:cs="Arial"/>
          <w:sz w:val="22"/>
        </w:rPr>
        <w:t>L’esito di tale ricognizione [</w:t>
      </w:r>
      <w:r w:rsidRPr="00D3775C">
        <w:rPr>
          <w:rFonts w:ascii="Arial" w:hAnsi="Arial" w:cs="Arial"/>
          <w:i/>
          <w:sz w:val="22"/>
        </w:rPr>
        <w:t>anche se negativo</w:t>
      </w:r>
      <w:r>
        <w:rPr>
          <w:rFonts w:ascii="Arial" w:hAnsi="Arial" w:cs="Arial"/>
          <w:sz w:val="22"/>
        </w:rPr>
        <w:t xml:space="preserve">] </w:t>
      </w:r>
      <w:r w:rsidRPr="00D80990">
        <w:rPr>
          <w:rFonts w:ascii="Arial" w:hAnsi="Arial" w:cs="Arial"/>
          <w:sz w:val="22"/>
        </w:rPr>
        <w:t>è stato comunicato, con le modalità previste dall’art. 17 del D.L. 90/2014, convertito con modi</w:t>
      </w:r>
      <w:r>
        <w:rPr>
          <w:rFonts w:ascii="Arial" w:hAnsi="Arial" w:cs="Arial"/>
          <w:sz w:val="22"/>
        </w:rPr>
        <w:t xml:space="preserve">ficazioni dalla Legge 114/2014: </w:t>
      </w:r>
    </w:p>
    <w:p w:rsidR="00C10C7F" w:rsidRPr="00D80990" w:rsidRDefault="00C10C7F" w:rsidP="00C10C7F">
      <w:pPr>
        <w:pStyle w:val="Paragrafoelenco"/>
        <w:widowControl w:val="0"/>
        <w:numPr>
          <w:ilvl w:val="0"/>
          <w:numId w:val="25"/>
        </w:numPr>
        <w:overflowPunct w:val="0"/>
        <w:autoSpaceDE w:val="0"/>
        <w:autoSpaceDN w:val="0"/>
        <w:adjustRightInd w:val="0"/>
        <w:spacing w:after="120"/>
        <w:jc w:val="both"/>
        <w:textAlignment w:val="baseline"/>
        <w:rPr>
          <w:rFonts w:ascii="Arial" w:hAnsi="Arial" w:cs="Arial"/>
          <w:sz w:val="22"/>
        </w:rPr>
      </w:pPr>
      <w:r w:rsidRPr="00D80990">
        <w:rPr>
          <w:rFonts w:ascii="Arial" w:hAnsi="Arial" w:cs="Arial"/>
          <w:sz w:val="22"/>
        </w:rPr>
        <w:t>alla Sezione Regionale di controllo della Corte dei Conti in data …………;</w:t>
      </w:r>
    </w:p>
    <w:p w:rsidR="00C10C7F" w:rsidRPr="00D80990" w:rsidRDefault="00C10C7F" w:rsidP="00C10C7F">
      <w:pPr>
        <w:pStyle w:val="Paragrafoelenco"/>
        <w:widowControl w:val="0"/>
        <w:numPr>
          <w:ilvl w:val="0"/>
          <w:numId w:val="25"/>
        </w:numPr>
        <w:overflowPunct w:val="0"/>
        <w:autoSpaceDE w:val="0"/>
        <w:autoSpaceDN w:val="0"/>
        <w:adjustRightInd w:val="0"/>
        <w:spacing w:after="120"/>
        <w:jc w:val="both"/>
        <w:textAlignment w:val="baseline"/>
        <w:rPr>
          <w:rFonts w:ascii="Arial" w:hAnsi="Arial" w:cs="Arial"/>
          <w:sz w:val="22"/>
        </w:rPr>
      </w:pPr>
      <w:r w:rsidRPr="00D80990">
        <w:rPr>
          <w:rFonts w:ascii="Arial" w:hAnsi="Arial" w:cs="Arial"/>
          <w:sz w:val="22"/>
        </w:rPr>
        <w:t>alla struttura competente per l’indirizzo, il controllo e il monitoraggio previst</w:t>
      </w:r>
      <w:r>
        <w:rPr>
          <w:rFonts w:ascii="Arial" w:hAnsi="Arial" w:cs="Arial"/>
          <w:sz w:val="22"/>
        </w:rPr>
        <w:t>a</w:t>
      </w:r>
      <w:r w:rsidRPr="00D80990">
        <w:rPr>
          <w:rFonts w:ascii="Arial" w:hAnsi="Arial" w:cs="Arial"/>
          <w:sz w:val="22"/>
        </w:rPr>
        <w:t xml:space="preserve"> dall’art.15 del D.Lgs. </w:t>
      </w:r>
      <w:r w:rsidR="001C1946">
        <w:rPr>
          <w:rFonts w:ascii="Arial" w:hAnsi="Arial" w:cs="Arial"/>
          <w:sz w:val="22"/>
        </w:rPr>
        <w:t>n.</w:t>
      </w:r>
      <w:r w:rsidRPr="00D80990">
        <w:rPr>
          <w:rFonts w:ascii="Arial" w:hAnsi="Arial" w:cs="Arial"/>
          <w:sz w:val="22"/>
        </w:rPr>
        <w:t>175/2016 in data …………</w:t>
      </w:r>
    </w:p>
    <w:p w:rsidR="00C10C7F" w:rsidRPr="00D80990" w:rsidRDefault="00C10C7F" w:rsidP="00C10C7F">
      <w:pPr>
        <w:jc w:val="both"/>
        <w:rPr>
          <w:rFonts w:ascii="Arial" w:hAnsi="Arial" w:cs="Arial"/>
          <w:b/>
          <w:sz w:val="20"/>
          <w:szCs w:val="20"/>
        </w:rPr>
      </w:pPr>
    </w:p>
    <w:p w:rsidR="00C10C7F" w:rsidRPr="00D80990" w:rsidRDefault="00C10C7F" w:rsidP="00C10C7F">
      <w:pPr>
        <w:rPr>
          <w:rStyle w:val="provvrubrica"/>
          <w:rFonts w:ascii="Arial" w:hAnsi="Arial" w:cs="Arial"/>
          <w:b/>
          <w:i/>
          <w:iCs/>
          <w:color w:val="000000"/>
          <w:sz w:val="22"/>
          <w:szCs w:val="22"/>
        </w:rPr>
      </w:pPr>
      <w:r w:rsidRPr="00D80990">
        <w:rPr>
          <w:rStyle w:val="provvrubrica"/>
          <w:rFonts w:ascii="Arial" w:hAnsi="Arial" w:cs="Arial"/>
          <w:b/>
          <w:i/>
          <w:iCs/>
          <w:color w:val="000000"/>
          <w:sz w:val="22"/>
          <w:szCs w:val="22"/>
        </w:rPr>
        <w:t>Garanzie rilasciate</w:t>
      </w:r>
    </w:p>
    <w:p w:rsidR="00C10C7F" w:rsidRPr="00D80990" w:rsidRDefault="00C10C7F" w:rsidP="00C10C7F">
      <w:pPr>
        <w:rPr>
          <w:rStyle w:val="provvrubrica"/>
          <w:rFonts w:ascii="Arial" w:hAnsi="Arial" w:cs="Arial"/>
          <w:i/>
          <w:iCs/>
          <w:color w:val="000000"/>
          <w:sz w:val="22"/>
          <w:szCs w:val="22"/>
        </w:rPr>
      </w:pPr>
    </w:p>
    <w:p w:rsidR="00C10C7F" w:rsidRDefault="00C10C7F" w:rsidP="00C10C7F">
      <w:pPr>
        <w:rPr>
          <w:rFonts w:ascii="Arial" w:hAnsi="Arial" w:cs="Arial"/>
          <w:sz w:val="22"/>
        </w:rPr>
      </w:pPr>
      <w:r w:rsidRPr="00D80990">
        <w:rPr>
          <w:rFonts w:ascii="Arial" w:hAnsi="Arial" w:cs="Arial"/>
          <w:sz w:val="22"/>
        </w:rPr>
        <w:t>Le garanzie rilasciate a favore degli organismi partecipati dall’Ente sono così dettagliate:</w:t>
      </w:r>
    </w:p>
    <w:p w:rsidR="00C10C7F" w:rsidRPr="00D80990" w:rsidRDefault="00C10C7F" w:rsidP="00C10C7F">
      <w:pPr>
        <w:rPr>
          <w:rFonts w:ascii="Arial" w:hAnsi="Arial" w:cs="Arial"/>
          <w:sz w:val="20"/>
        </w:rPr>
      </w:pPr>
    </w:p>
    <w:p w:rsidR="00C10C7F" w:rsidRDefault="00003942" w:rsidP="000F33EF">
      <w:pPr>
        <w:jc w:val="center"/>
        <w:rPr>
          <w:rFonts w:ascii="Arial" w:hAnsi="Arial" w:cs="Arial"/>
          <w:sz w:val="20"/>
        </w:rPr>
      </w:pPr>
      <w:r>
        <w:object w:dxaOrig="8176" w:dyaOrig="1517">
          <v:shape id="_x0000_i1057" type="#_x0000_t75" style="width:410.25pt;height:79.5pt" o:ole="">
            <v:imagedata r:id="rId85" o:title=""/>
          </v:shape>
          <o:OLEObject Type="Embed" ProgID="Excel.Sheet.12" ShapeID="_x0000_i1057" DrawAspect="Content" ObjectID="_1610733421" r:id="rId86"/>
        </w:object>
      </w:r>
    </w:p>
    <w:p w:rsidR="00C10C7F" w:rsidRDefault="00C10C7F" w:rsidP="00C10C7F">
      <w:pPr>
        <w:rPr>
          <w:rFonts w:ascii="Arial" w:hAnsi="Arial" w:cs="Arial"/>
          <w:sz w:val="20"/>
        </w:rPr>
      </w:pPr>
    </w:p>
    <w:p w:rsidR="00C10C7F" w:rsidRPr="00160F09" w:rsidRDefault="00C10C7F" w:rsidP="00C10C7F">
      <w:pPr>
        <w:jc w:val="both"/>
        <w:rPr>
          <w:rFonts w:ascii="Arial" w:hAnsi="Arial" w:cs="Arial"/>
          <w:sz w:val="22"/>
          <w:szCs w:val="22"/>
        </w:rPr>
      </w:pPr>
      <w:r w:rsidRPr="00160F09">
        <w:rPr>
          <w:rStyle w:val="provvrubrica"/>
          <w:rFonts w:ascii="Arial" w:hAnsi="Arial" w:cs="Arial"/>
          <w:b/>
          <w:i/>
          <w:iCs/>
          <w:color w:val="000000"/>
          <w:sz w:val="22"/>
          <w:szCs w:val="22"/>
        </w:rPr>
        <w:t xml:space="preserve">Spese di funzionamento e gestione del personale </w:t>
      </w:r>
      <w:r w:rsidRPr="00160F09">
        <w:rPr>
          <w:rStyle w:val="provvrubrica"/>
          <w:rFonts w:ascii="Arial" w:hAnsi="Arial" w:cs="Arial"/>
          <w:i/>
          <w:iCs/>
          <w:color w:val="000000"/>
          <w:sz w:val="22"/>
          <w:szCs w:val="22"/>
        </w:rPr>
        <w:t>(art. 19 D.Lgs. 175/2016)</w:t>
      </w:r>
    </w:p>
    <w:p w:rsidR="00C10C7F" w:rsidRPr="00160F09" w:rsidRDefault="00C10C7F" w:rsidP="00C10C7F">
      <w:pPr>
        <w:jc w:val="both"/>
        <w:rPr>
          <w:rFonts w:ascii="Arial" w:hAnsi="Arial" w:cs="Arial"/>
          <w:sz w:val="22"/>
          <w:szCs w:val="22"/>
        </w:rPr>
      </w:pPr>
    </w:p>
    <w:p w:rsidR="00C10C7F" w:rsidRPr="00160F09" w:rsidRDefault="00C10C7F" w:rsidP="00C10C7F">
      <w:pPr>
        <w:jc w:val="both"/>
        <w:rPr>
          <w:rFonts w:ascii="Arial" w:hAnsi="Arial" w:cs="Arial"/>
          <w:sz w:val="22"/>
          <w:szCs w:val="22"/>
        </w:rPr>
      </w:pPr>
      <w:r w:rsidRPr="00160F09">
        <w:rPr>
          <w:rFonts w:ascii="Arial" w:hAnsi="Arial" w:cs="Arial"/>
          <w:sz w:val="22"/>
          <w:szCs w:val="22"/>
        </w:rPr>
        <w:t>Il Comune ha fissato, con proprio provvedimento motivato, obiettivi specifici sul complesso delle spese di funzionamento, comprese quelle per il personale, delle proprie società controllate; a tal riguardo, il Collegio rileva ……………………………………………………….</w:t>
      </w:r>
    </w:p>
    <w:p w:rsidR="00C10C7F" w:rsidRPr="00160F09" w:rsidRDefault="00C10C7F" w:rsidP="00C10C7F">
      <w:pPr>
        <w:jc w:val="both"/>
        <w:rPr>
          <w:rFonts w:ascii="Arial" w:hAnsi="Arial" w:cs="Arial"/>
          <w:sz w:val="22"/>
          <w:szCs w:val="22"/>
        </w:rPr>
      </w:pPr>
      <w:r w:rsidRPr="00160F09">
        <w:rPr>
          <w:rFonts w:ascii="Arial" w:hAnsi="Arial" w:cs="Arial"/>
          <w:sz w:val="22"/>
          <w:szCs w:val="22"/>
        </w:rPr>
        <w:t>[</w:t>
      </w:r>
      <w:r w:rsidRPr="00160F09">
        <w:rPr>
          <w:rFonts w:ascii="Arial" w:hAnsi="Arial" w:cs="Arial"/>
          <w:i/>
          <w:sz w:val="22"/>
          <w:szCs w:val="22"/>
        </w:rPr>
        <w:t>OPPURE</w:t>
      </w:r>
      <w:r w:rsidRPr="00160F09">
        <w:rPr>
          <w:rFonts w:ascii="Arial" w:hAnsi="Arial" w:cs="Arial"/>
          <w:sz w:val="22"/>
          <w:szCs w:val="22"/>
        </w:rPr>
        <w:t xml:space="preserve"> a tal riguardo, il Collegio non ha alcuna osservazione da fare].</w:t>
      </w:r>
    </w:p>
    <w:p w:rsidR="00C10C7F" w:rsidRDefault="00C10C7F" w:rsidP="00C10C7F">
      <w:pPr>
        <w:rPr>
          <w:rFonts w:ascii="Arial" w:hAnsi="Arial" w:cs="Arial"/>
        </w:rPr>
      </w:pPr>
    </w:p>
    <w:p w:rsidR="00F624C3" w:rsidRDefault="00F624C3">
      <w:pPr>
        <w:rPr>
          <w:rFonts w:ascii="Arial" w:hAnsi="Arial" w:cs="Arial"/>
        </w:rPr>
      </w:pPr>
    </w:p>
    <w:p w:rsidR="00F624C3" w:rsidRDefault="00F624C3">
      <w:pPr>
        <w:rPr>
          <w:rFonts w:ascii="Arial" w:hAnsi="Arial" w:cs="Arial"/>
        </w:rPr>
      </w:pPr>
    </w:p>
    <w:p w:rsidR="00343EEE" w:rsidRDefault="00343EEE">
      <w:pPr>
        <w:rPr>
          <w:rFonts w:ascii="Arial" w:hAnsi="Arial" w:cs="Arial"/>
        </w:rPr>
      </w:pPr>
    </w:p>
    <w:p w:rsidR="00343EEE" w:rsidRDefault="00343EEE">
      <w:pPr>
        <w:rPr>
          <w:rFonts w:ascii="Arial" w:hAnsi="Arial" w:cs="Arial"/>
        </w:rPr>
      </w:pPr>
    </w:p>
    <w:p w:rsidR="00343EEE" w:rsidRDefault="00343EEE">
      <w:pPr>
        <w:rPr>
          <w:rFonts w:ascii="Arial" w:hAnsi="Arial" w:cs="Arial"/>
        </w:rPr>
      </w:pPr>
    </w:p>
    <w:p w:rsidR="00343EEE" w:rsidRDefault="00343EEE">
      <w:pPr>
        <w:rPr>
          <w:rFonts w:ascii="Arial" w:hAnsi="Arial" w:cs="Arial"/>
        </w:rPr>
      </w:pPr>
    </w:p>
    <w:p w:rsidR="00343EEE" w:rsidRDefault="00343EEE">
      <w:pPr>
        <w:rPr>
          <w:rFonts w:ascii="Arial" w:hAnsi="Arial" w:cs="Arial"/>
        </w:rPr>
      </w:pPr>
    </w:p>
    <w:p w:rsidR="00343EEE" w:rsidRDefault="00343EEE">
      <w:pPr>
        <w:rPr>
          <w:rFonts w:ascii="Arial" w:hAnsi="Arial" w:cs="Arial"/>
        </w:rPr>
      </w:pPr>
    </w:p>
    <w:p w:rsidR="00343EEE" w:rsidRDefault="00343EEE">
      <w:pPr>
        <w:rPr>
          <w:rFonts w:ascii="Arial" w:hAnsi="Arial" w:cs="Arial"/>
        </w:rPr>
      </w:pPr>
    </w:p>
    <w:p w:rsidR="00343EEE" w:rsidRDefault="00343EEE">
      <w:pPr>
        <w:rPr>
          <w:rFonts w:ascii="Arial" w:hAnsi="Arial" w:cs="Arial"/>
        </w:rPr>
      </w:pPr>
    </w:p>
    <w:p w:rsidR="00343EEE" w:rsidRDefault="00343EEE">
      <w:pPr>
        <w:rPr>
          <w:rFonts w:ascii="Arial" w:hAnsi="Arial" w:cs="Arial"/>
        </w:rPr>
      </w:pPr>
    </w:p>
    <w:p w:rsidR="000F33EF" w:rsidRDefault="000F33EF">
      <w:pPr>
        <w:rPr>
          <w:rFonts w:ascii="Arial" w:hAnsi="Arial" w:cs="Arial"/>
        </w:rPr>
        <w:sectPr w:rsidR="000F33EF" w:rsidSect="00087EC6">
          <w:headerReference w:type="even" r:id="rId87"/>
          <w:headerReference w:type="default" r:id="rId88"/>
          <w:footerReference w:type="even" r:id="rId89"/>
          <w:footerReference w:type="default" r:id="rId90"/>
          <w:headerReference w:type="first" r:id="rId91"/>
          <w:footerReference w:type="first" r:id="rId92"/>
          <w:pgSz w:w="11906" w:h="16838" w:code="9"/>
          <w:pgMar w:top="1417" w:right="1134" w:bottom="1134" w:left="1134" w:header="709" w:footer="709" w:gutter="0"/>
          <w:cols w:space="708"/>
          <w:titlePg/>
          <w:rtlGutter/>
          <w:docGrid w:linePitch="360"/>
        </w:sectPr>
      </w:pPr>
    </w:p>
    <w:p w:rsidR="009F6E3E" w:rsidRPr="00D80990" w:rsidRDefault="007F766F">
      <w:pPr>
        <w:pStyle w:val="Titolo1"/>
        <w:shd w:val="clear" w:color="auto" w:fill="B6DDE8" w:themeFill="accent5" w:themeFillTint="66"/>
      </w:pPr>
      <w:bookmarkStart w:id="76" w:name="_SPESE_IN_CONTO"/>
      <w:bookmarkStart w:id="77" w:name="_Toc346838834"/>
      <w:bookmarkStart w:id="78" w:name="_Toc535487627"/>
      <w:bookmarkEnd w:id="67"/>
      <w:bookmarkEnd w:id="76"/>
      <w:r w:rsidRPr="00D80990">
        <w:lastRenderedPageBreak/>
        <w:t>SPESE IN CONTO CAPITALE</w:t>
      </w:r>
      <w:bookmarkEnd w:id="77"/>
      <w:bookmarkEnd w:id="78"/>
    </w:p>
    <w:p w:rsidR="00276B33" w:rsidRDefault="00276B33" w:rsidP="00276B33">
      <w:pPr>
        <w:rPr>
          <w:rFonts w:ascii="Arial" w:hAnsi="Arial" w:cs="Arial"/>
          <w:b/>
          <w:sz w:val="22"/>
          <w:szCs w:val="22"/>
          <w:u w:val="single"/>
        </w:rPr>
      </w:pPr>
      <w:r w:rsidRPr="00D80990">
        <w:rPr>
          <w:rFonts w:ascii="Arial" w:hAnsi="Arial" w:cs="Arial"/>
          <w:b/>
          <w:sz w:val="22"/>
          <w:szCs w:val="22"/>
          <w:u w:val="single"/>
        </w:rPr>
        <w:t>Finanziamento spese in conto capitale</w:t>
      </w:r>
    </w:p>
    <w:p w:rsidR="008B1A79" w:rsidRPr="00D80990" w:rsidRDefault="008B1A79" w:rsidP="00276B33">
      <w:pPr>
        <w:rPr>
          <w:rFonts w:ascii="Arial" w:hAnsi="Arial" w:cs="Arial"/>
          <w:b/>
          <w:sz w:val="22"/>
          <w:szCs w:val="22"/>
          <w:u w:val="single"/>
        </w:rPr>
      </w:pPr>
    </w:p>
    <w:p w:rsidR="00276B33" w:rsidRDefault="00276B33" w:rsidP="00276B33">
      <w:pPr>
        <w:jc w:val="both"/>
        <w:rPr>
          <w:rFonts w:ascii="Arial" w:hAnsi="Arial" w:cs="Arial"/>
          <w:sz w:val="22"/>
          <w:szCs w:val="22"/>
        </w:rPr>
      </w:pPr>
      <w:r w:rsidRPr="00D80990">
        <w:rPr>
          <w:rFonts w:ascii="Arial" w:hAnsi="Arial" w:cs="Arial"/>
          <w:sz w:val="22"/>
          <w:szCs w:val="22"/>
        </w:rPr>
        <w:t>Le spese in conto c</w:t>
      </w:r>
      <w:r>
        <w:rPr>
          <w:rFonts w:ascii="Arial" w:hAnsi="Arial" w:cs="Arial"/>
          <w:sz w:val="22"/>
          <w:szCs w:val="22"/>
        </w:rPr>
        <w:t xml:space="preserve">apitale previste negli anni 2019, 2020 e 2021 </w:t>
      </w:r>
      <w:r w:rsidRPr="00D80990">
        <w:rPr>
          <w:rFonts w:ascii="Arial" w:hAnsi="Arial" w:cs="Arial"/>
          <w:sz w:val="22"/>
          <w:szCs w:val="22"/>
        </w:rPr>
        <w:t>sono finanziate come segue:</w:t>
      </w:r>
    </w:p>
    <w:p w:rsidR="00806EFE" w:rsidRDefault="00806EFE" w:rsidP="00276B33">
      <w:pPr>
        <w:jc w:val="both"/>
        <w:rPr>
          <w:rFonts w:ascii="Arial" w:hAnsi="Arial" w:cs="Arial"/>
          <w:sz w:val="22"/>
          <w:szCs w:val="22"/>
        </w:rPr>
      </w:pPr>
    </w:p>
    <w:p w:rsidR="00147E4E" w:rsidRDefault="00147E4E" w:rsidP="00276B33">
      <w:pPr>
        <w:jc w:val="both"/>
        <w:rPr>
          <w:rFonts w:ascii="Arial" w:hAnsi="Arial" w:cs="Arial"/>
          <w:sz w:val="22"/>
          <w:szCs w:val="22"/>
        </w:rPr>
      </w:pPr>
    </w:p>
    <w:p w:rsidR="0096055D" w:rsidRDefault="005153F8" w:rsidP="00276B33">
      <w:pPr>
        <w:jc w:val="both"/>
        <w:rPr>
          <w:rFonts w:ascii="Arial" w:hAnsi="Arial" w:cs="Arial"/>
          <w:sz w:val="22"/>
          <w:szCs w:val="22"/>
        </w:rPr>
      </w:pPr>
      <w:r w:rsidRPr="00032EA7">
        <w:rPr>
          <w:rFonts w:ascii="Arial" w:hAnsi="Arial" w:cs="Arial"/>
          <w:sz w:val="22"/>
          <w:szCs w:val="22"/>
        </w:rPr>
        <w:object w:dxaOrig="15166" w:dyaOrig="1993">
          <v:shape id="_x0000_i1058" type="#_x0000_t75" style="width:489.75pt;height:64.5pt" o:ole="">
            <v:imagedata r:id="rId93" o:title=""/>
          </v:shape>
          <o:OLEObject Type="Embed" ProgID="Excel.Sheet.12" ShapeID="_x0000_i1058" DrawAspect="Content" ObjectID="_1610733422" r:id="rId94"/>
        </w:object>
      </w:r>
    </w:p>
    <w:p w:rsidR="0096055D" w:rsidRDefault="00792A6A" w:rsidP="00276B33">
      <w:pPr>
        <w:jc w:val="both"/>
        <w:rPr>
          <w:rFonts w:ascii="Arial" w:hAnsi="Arial" w:cs="Arial"/>
          <w:sz w:val="22"/>
          <w:szCs w:val="22"/>
        </w:rPr>
      </w:pPr>
      <w:r w:rsidRPr="006B2B37">
        <w:rPr>
          <w:rFonts w:ascii="Arial" w:hAnsi="Arial" w:cs="Arial"/>
          <w:sz w:val="22"/>
          <w:szCs w:val="22"/>
        </w:rPr>
        <w:object w:dxaOrig="15121" w:dyaOrig="9645">
          <v:shape id="_x0000_i1059" type="#_x0000_t75" style="width:489.75pt;height:309.75pt" o:ole="">
            <v:imagedata r:id="rId95" o:title=""/>
          </v:shape>
          <o:OLEObject Type="Embed" ProgID="Excel.Sheet.12" ShapeID="_x0000_i1059" DrawAspect="Content" ObjectID="_1610733423" r:id="rId96"/>
        </w:object>
      </w:r>
    </w:p>
    <w:p w:rsidR="00276B33" w:rsidRPr="00D80990" w:rsidRDefault="00276B33" w:rsidP="00276B33">
      <w:pPr>
        <w:jc w:val="both"/>
        <w:rPr>
          <w:rFonts w:ascii="Arial" w:hAnsi="Arial" w:cs="Arial"/>
          <w:sz w:val="22"/>
          <w:szCs w:val="22"/>
        </w:rPr>
      </w:pPr>
    </w:p>
    <w:p w:rsidR="00276B33" w:rsidRPr="00D80990" w:rsidRDefault="00276B33" w:rsidP="00276B33">
      <w:pPr>
        <w:rPr>
          <w:rFonts w:ascii="Arial" w:hAnsi="Arial" w:cs="Arial"/>
          <w:b/>
          <w:sz w:val="22"/>
          <w:szCs w:val="22"/>
          <w:u w:val="single"/>
        </w:rPr>
      </w:pPr>
    </w:p>
    <w:p w:rsidR="00276B33" w:rsidRPr="00D80990" w:rsidRDefault="00276B33" w:rsidP="00276B33">
      <w:pPr>
        <w:rPr>
          <w:rFonts w:ascii="Arial" w:hAnsi="Arial" w:cs="Arial"/>
          <w:b/>
          <w:sz w:val="22"/>
          <w:szCs w:val="22"/>
          <w:u w:val="single"/>
        </w:rPr>
      </w:pPr>
    </w:p>
    <w:p w:rsidR="0096055D" w:rsidRDefault="0096055D">
      <w:pPr>
        <w:rPr>
          <w:rFonts w:ascii="Arial" w:hAnsi="Arial" w:cs="Arial"/>
          <w:b/>
          <w:sz w:val="22"/>
          <w:szCs w:val="22"/>
          <w:u w:val="single"/>
        </w:rPr>
      </w:pPr>
      <w:r>
        <w:rPr>
          <w:rFonts w:ascii="Arial" w:hAnsi="Arial" w:cs="Arial"/>
          <w:b/>
          <w:sz w:val="22"/>
          <w:szCs w:val="22"/>
          <w:u w:val="single"/>
        </w:rPr>
        <w:br w:type="page"/>
      </w:r>
    </w:p>
    <w:p w:rsidR="00276B33" w:rsidRPr="00D80990" w:rsidRDefault="00276B33" w:rsidP="00276B33">
      <w:pPr>
        <w:rPr>
          <w:rFonts w:ascii="Arial" w:hAnsi="Arial" w:cs="Arial"/>
          <w:b/>
          <w:sz w:val="22"/>
          <w:szCs w:val="22"/>
          <w:u w:val="single"/>
        </w:rPr>
      </w:pPr>
      <w:r w:rsidRPr="00D80990">
        <w:rPr>
          <w:rFonts w:ascii="Arial" w:hAnsi="Arial" w:cs="Arial"/>
          <w:b/>
          <w:sz w:val="22"/>
          <w:szCs w:val="22"/>
          <w:u w:val="single"/>
        </w:rPr>
        <w:lastRenderedPageBreak/>
        <w:t>Investimenti senza esborsi finanziari</w:t>
      </w:r>
    </w:p>
    <w:p w:rsidR="00276B33" w:rsidRPr="00D80990" w:rsidRDefault="00276B33" w:rsidP="00276B33">
      <w:pPr>
        <w:rPr>
          <w:rFonts w:ascii="Arial" w:hAnsi="Arial" w:cs="Arial"/>
          <w:b/>
          <w:sz w:val="22"/>
          <w:szCs w:val="22"/>
          <w:u w:val="single"/>
        </w:rPr>
      </w:pPr>
    </w:p>
    <w:p w:rsidR="00276B33" w:rsidRPr="00D80990" w:rsidRDefault="00276B33" w:rsidP="00276B33">
      <w:pPr>
        <w:jc w:val="both"/>
        <w:rPr>
          <w:rFonts w:ascii="Arial" w:hAnsi="Arial" w:cs="Arial"/>
          <w:sz w:val="22"/>
          <w:szCs w:val="22"/>
        </w:rPr>
      </w:pPr>
      <w:r w:rsidRPr="00D80990">
        <w:rPr>
          <w:rFonts w:ascii="Arial" w:hAnsi="Arial" w:cs="Arial"/>
          <w:sz w:val="22"/>
          <w:szCs w:val="22"/>
        </w:rPr>
        <w:t>Sono programmati per gli anni 201</w:t>
      </w:r>
      <w:r>
        <w:rPr>
          <w:rFonts w:ascii="Arial" w:hAnsi="Arial" w:cs="Arial"/>
          <w:sz w:val="22"/>
          <w:szCs w:val="22"/>
        </w:rPr>
        <w:t>9-2021</w:t>
      </w:r>
      <w:r w:rsidRPr="00D80990">
        <w:rPr>
          <w:rFonts w:ascii="Arial" w:hAnsi="Arial" w:cs="Arial"/>
          <w:sz w:val="22"/>
          <w:szCs w:val="22"/>
        </w:rPr>
        <w:t xml:space="preserve"> altri investimenti senza esborso finanziario (transazioni non monetarie) rilevati in bilancio nell’entrata e nella spesa come segue:</w:t>
      </w:r>
    </w:p>
    <w:p w:rsidR="00276B33" w:rsidRDefault="00276B33" w:rsidP="00276B33">
      <w:pPr>
        <w:jc w:val="both"/>
        <w:rPr>
          <w:rFonts w:ascii="Arial" w:hAnsi="Arial" w:cs="Arial"/>
          <w:sz w:val="22"/>
          <w:szCs w:val="22"/>
        </w:rPr>
      </w:pPr>
    </w:p>
    <w:bookmarkStart w:id="79" w:name="_MON_1609228031"/>
    <w:bookmarkEnd w:id="79"/>
    <w:p w:rsidR="00C52543" w:rsidRPr="00D80990" w:rsidRDefault="00792A6A" w:rsidP="00F4160F">
      <w:pPr>
        <w:jc w:val="center"/>
        <w:rPr>
          <w:rFonts w:ascii="Arial" w:hAnsi="Arial" w:cs="Arial"/>
          <w:sz w:val="22"/>
          <w:szCs w:val="22"/>
        </w:rPr>
      </w:pPr>
      <w:r w:rsidRPr="006B2B37">
        <w:rPr>
          <w:rFonts w:cs="Arial"/>
          <w:sz w:val="22"/>
          <w:szCs w:val="22"/>
        </w:rPr>
        <w:object w:dxaOrig="11032" w:dyaOrig="1934">
          <v:shape id="_x0000_i1060" type="#_x0000_t75" style="width:489.75pt;height:86.25pt" o:ole="">
            <v:imagedata r:id="rId97" o:title=""/>
          </v:shape>
          <o:OLEObject Type="Embed" ProgID="Excel.Sheet.12" ShapeID="_x0000_i1060" DrawAspect="Content" ObjectID="_1610733424" r:id="rId98"/>
        </w:object>
      </w:r>
    </w:p>
    <w:p w:rsidR="00276B33" w:rsidRPr="00D80990" w:rsidRDefault="00276B33" w:rsidP="00276B33">
      <w:pPr>
        <w:jc w:val="both"/>
        <w:rPr>
          <w:rFonts w:ascii="Arial" w:hAnsi="Arial" w:cs="Arial"/>
          <w:sz w:val="22"/>
          <w:szCs w:val="22"/>
        </w:rPr>
      </w:pPr>
    </w:p>
    <w:p w:rsidR="00276B33" w:rsidRDefault="00276B33" w:rsidP="00276B33">
      <w:pPr>
        <w:numPr>
          <w:ilvl w:val="12"/>
          <w:numId w:val="0"/>
        </w:numPr>
        <w:rPr>
          <w:rFonts w:ascii="Arial" w:hAnsi="Arial" w:cs="Arial"/>
          <w:sz w:val="22"/>
          <w:szCs w:val="22"/>
        </w:rPr>
      </w:pPr>
      <w:r w:rsidRPr="00D80990">
        <w:rPr>
          <w:rFonts w:ascii="Arial" w:hAnsi="Arial" w:cs="Arial"/>
          <w:sz w:val="22"/>
          <w:szCs w:val="22"/>
        </w:rPr>
        <w:t>L’ente intende acquisire i seguenti beni con contratto di locazione finanziaria:</w:t>
      </w:r>
    </w:p>
    <w:p w:rsidR="00F4160F" w:rsidRDefault="00F4160F" w:rsidP="00276B33">
      <w:pPr>
        <w:numPr>
          <w:ilvl w:val="12"/>
          <w:numId w:val="0"/>
        </w:numPr>
        <w:rPr>
          <w:rFonts w:ascii="Arial" w:hAnsi="Arial" w:cs="Arial"/>
          <w:sz w:val="22"/>
          <w:szCs w:val="22"/>
        </w:rPr>
      </w:pPr>
    </w:p>
    <w:p w:rsidR="00F4160F" w:rsidRPr="00D80990" w:rsidRDefault="00003942" w:rsidP="00F4160F">
      <w:pPr>
        <w:numPr>
          <w:ilvl w:val="12"/>
          <w:numId w:val="0"/>
        </w:numPr>
        <w:jc w:val="center"/>
        <w:rPr>
          <w:rFonts w:ascii="Arial" w:hAnsi="Arial" w:cs="Arial"/>
          <w:sz w:val="22"/>
          <w:szCs w:val="22"/>
        </w:rPr>
      </w:pPr>
      <w:r w:rsidRPr="006B2B37">
        <w:rPr>
          <w:rFonts w:cs="Arial"/>
          <w:sz w:val="22"/>
          <w:szCs w:val="22"/>
        </w:rPr>
        <w:object w:dxaOrig="8646" w:dyaOrig="1517">
          <v:shape id="_x0000_i1061" type="#_x0000_t75" style="width:6in;height:79.5pt" o:ole="">
            <v:imagedata r:id="rId99" o:title=""/>
          </v:shape>
          <o:OLEObject Type="Embed" ProgID="Excel.Sheet.12" ShapeID="_x0000_i1061" DrawAspect="Content" ObjectID="_1610733425" r:id="rId100"/>
        </w:object>
      </w:r>
    </w:p>
    <w:p w:rsidR="00276B33" w:rsidRDefault="00276B33" w:rsidP="008E4E51">
      <w:pPr>
        <w:numPr>
          <w:ilvl w:val="12"/>
          <w:numId w:val="0"/>
        </w:numPr>
        <w:jc w:val="center"/>
        <w:rPr>
          <w:rFonts w:ascii="Arial" w:hAnsi="Arial" w:cs="Arial"/>
          <w:sz w:val="22"/>
          <w:szCs w:val="22"/>
        </w:rPr>
      </w:pPr>
    </w:p>
    <w:p w:rsidR="00276B33" w:rsidRPr="00D80990" w:rsidRDefault="00276B33" w:rsidP="00276B33">
      <w:pPr>
        <w:jc w:val="both"/>
        <w:rPr>
          <w:rFonts w:ascii="Arial" w:hAnsi="Arial" w:cs="Arial"/>
          <w:sz w:val="22"/>
          <w:szCs w:val="22"/>
        </w:rPr>
      </w:pPr>
      <w:r w:rsidRPr="00D80990">
        <w:rPr>
          <w:rFonts w:ascii="Arial" w:hAnsi="Arial" w:cs="Arial"/>
          <w:sz w:val="22"/>
          <w:szCs w:val="22"/>
        </w:rPr>
        <w:t xml:space="preserve">L’organo di revisione ha rilevato che l’ente ha posto in essere dal …………… contratti di leasing finanziario e/o contratti assimilati e che tali operazioni sono considerate ai fini del calcolo dell’indebitamento dell’Ente.  </w:t>
      </w:r>
    </w:p>
    <w:p w:rsidR="00276B33" w:rsidRPr="00D80990" w:rsidRDefault="00276B33" w:rsidP="00276B33">
      <w:pPr>
        <w:numPr>
          <w:ilvl w:val="12"/>
          <w:numId w:val="0"/>
        </w:numPr>
        <w:jc w:val="both"/>
        <w:rPr>
          <w:rFonts w:ascii="Arial" w:hAnsi="Arial" w:cs="Arial"/>
          <w:sz w:val="22"/>
          <w:szCs w:val="22"/>
        </w:rPr>
      </w:pPr>
    </w:p>
    <w:p w:rsidR="00276B33" w:rsidRPr="00D80990" w:rsidRDefault="00276B33" w:rsidP="00276B33">
      <w:pPr>
        <w:rPr>
          <w:rFonts w:ascii="Arial" w:hAnsi="Arial" w:cs="Arial"/>
          <w:b/>
          <w:sz w:val="22"/>
          <w:szCs w:val="22"/>
          <w:u w:val="single"/>
        </w:rPr>
      </w:pPr>
      <w:r w:rsidRPr="00D80990">
        <w:rPr>
          <w:rFonts w:ascii="Arial" w:hAnsi="Arial" w:cs="Arial"/>
          <w:b/>
          <w:sz w:val="22"/>
          <w:szCs w:val="22"/>
          <w:u w:val="single"/>
        </w:rPr>
        <w:t>Limitazione acquisto immobili</w:t>
      </w:r>
      <w:r w:rsidR="000D5C03">
        <w:rPr>
          <w:rFonts w:ascii="Arial" w:hAnsi="Arial" w:cs="Arial"/>
          <w:b/>
          <w:sz w:val="22"/>
          <w:szCs w:val="22"/>
          <w:u w:val="single"/>
        </w:rPr>
        <w:t xml:space="preserve"> *</w:t>
      </w:r>
    </w:p>
    <w:p w:rsidR="00276B33" w:rsidRPr="00D80990" w:rsidRDefault="00276B33" w:rsidP="00276B33">
      <w:pPr>
        <w:jc w:val="both"/>
        <w:rPr>
          <w:rStyle w:val="Enfasigrassetto"/>
          <w:rFonts w:ascii="Arial" w:hAnsi="Arial" w:cs="Arial"/>
          <w:bCs/>
          <w:sz w:val="22"/>
          <w:szCs w:val="22"/>
        </w:rPr>
      </w:pPr>
    </w:p>
    <w:p w:rsidR="00276B33" w:rsidRPr="00D80990" w:rsidRDefault="00276B33" w:rsidP="00276B33">
      <w:pPr>
        <w:jc w:val="both"/>
        <w:rPr>
          <w:rFonts w:ascii="Arial" w:hAnsi="Arial" w:cs="Arial"/>
          <w:sz w:val="22"/>
          <w:szCs w:val="22"/>
        </w:rPr>
      </w:pPr>
      <w:r w:rsidRPr="00D80990">
        <w:rPr>
          <w:rFonts w:ascii="Arial" w:hAnsi="Arial" w:cs="Arial"/>
          <w:sz w:val="22"/>
          <w:szCs w:val="22"/>
        </w:rPr>
        <w:t xml:space="preserve">La spesa prevista per acquisto immobili rispetta le condizioni di cui all’art.1, comma 138 L. n.228/2012, </w:t>
      </w:r>
      <w:r w:rsidR="00FA74C8" w:rsidRPr="008B1A79">
        <w:rPr>
          <w:rStyle w:val="Collegamentoipertestuale"/>
          <w:rFonts w:ascii="Arial" w:hAnsi="Arial" w:cs="Arial"/>
          <w:color w:val="auto"/>
          <w:sz w:val="22"/>
          <w:szCs w:val="22"/>
          <w:u w:val="none"/>
        </w:rPr>
        <w:t>fermo restando quanto previsto dall’art.14 bis D.L. 50/2017</w:t>
      </w:r>
      <w:r w:rsidRPr="008B1A79">
        <w:rPr>
          <w:rFonts w:ascii="Arial" w:hAnsi="Arial" w:cs="Arial"/>
          <w:sz w:val="22"/>
          <w:szCs w:val="22"/>
        </w:rPr>
        <w:t>.</w:t>
      </w:r>
    </w:p>
    <w:p w:rsidR="00276B33" w:rsidRPr="00D80990" w:rsidRDefault="00276B33" w:rsidP="00276B33">
      <w:pPr>
        <w:jc w:val="both"/>
        <w:rPr>
          <w:rFonts w:ascii="Arial" w:hAnsi="Arial" w:cs="Arial"/>
          <w:sz w:val="22"/>
          <w:szCs w:val="22"/>
        </w:rPr>
      </w:pPr>
    </w:p>
    <w:p w:rsidR="00276B33" w:rsidRPr="00D80990" w:rsidRDefault="00276B33" w:rsidP="00276B33">
      <w:pPr>
        <w:jc w:val="both"/>
        <w:rPr>
          <w:rFonts w:ascii="Arial" w:hAnsi="Arial" w:cs="Arial"/>
          <w:i/>
          <w:color w:val="00B0F0"/>
          <w:sz w:val="20"/>
          <w:szCs w:val="20"/>
        </w:rPr>
      </w:pPr>
      <w:r w:rsidRPr="00D80990">
        <w:rPr>
          <w:rFonts w:ascii="Arial" w:hAnsi="Arial" w:cs="Arial"/>
          <w:i/>
          <w:color w:val="00B0F0"/>
          <w:sz w:val="20"/>
          <w:szCs w:val="20"/>
        </w:rPr>
        <w:t>(</w:t>
      </w:r>
      <w:r w:rsidR="00FA74C8" w:rsidRPr="001C1946">
        <w:rPr>
          <w:rFonts w:ascii="Arial" w:hAnsi="Arial" w:cs="Arial"/>
          <w:i/>
          <w:color w:val="00B0F0"/>
          <w:sz w:val="20"/>
          <w:szCs w:val="20"/>
        </w:rPr>
        <w:t>Poiché la regola generale è il divieto di procedere ad acquisti immobiliari, a</w:t>
      </w:r>
      <w:r w:rsidR="00FA74C8" w:rsidRPr="00FA74C8">
        <w:rPr>
          <w:rFonts w:ascii="Arial" w:hAnsi="Arial" w:cs="Arial"/>
          <w:i/>
          <w:color w:val="00B0F0"/>
          <w:sz w:val="20"/>
          <w:szCs w:val="20"/>
        </w:rPr>
        <w:t>i</w:t>
      </w:r>
      <w:r w:rsidRPr="00D80990">
        <w:rPr>
          <w:rFonts w:ascii="Arial" w:hAnsi="Arial" w:cs="Arial"/>
          <w:i/>
          <w:color w:val="00B0F0"/>
          <w:sz w:val="20"/>
          <w:szCs w:val="20"/>
        </w:rPr>
        <w:t xml:space="preserve"> sensi del comma 1 ter dell'articolo 12 del D.L. 6 luglio 2011, n. 98, convertito, con modificazioni, dalla Legge 15 luglio 2011, n. 111, a decorrere dal 1º gennaio 2014 al fine di pervenire a risparmi di spesa, gli enti territoriali effettuano operazioni di acquisto di immobili solo</w:t>
      </w:r>
      <w:r w:rsidR="00FA74C8">
        <w:rPr>
          <w:rFonts w:ascii="Arial" w:hAnsi="Arial" w:cs="Arial"/>
          <w:i/>
          <w:color w:val="00B0F0"/>
          <w:sz w:val="20"/>
          <w:szCs w:val="20"/>
        </w:rPr>
        <w:t xml:space="preserve"> se</w:t>
      </w:r>
      <w:r w:rsidRPr="00D80990">
        <w:rPr>
          <w:rFonts w:ascii="Arial" w:hAnsi="Arial" w:cs="Arial"/>
          <w:i/>
          <w:color w:val="00B0F0"/>
          <w:sz w:val="20"/>
          <w:szCs w:val="20"/>
        </w:rPr>
        <w:t>:</w:t>
      </w:r>
    </w:p>
    <w:p w:rsidR="00276B33" w:rsidRPr="00D80990" w:rsidRDefault="00276B33" w:rsidP="00276B33">
      <w:pPr>
        <w:jc w:val="both"/>
        <w:rPr>
          <w:rFonts w:ascii="Arial" w:hAnsi="Arial" w:cs="Arial"/>
          <w:i/>
          <w:color w:val="00B0F0"/>
          <w:sz w:val="20"/>
          <w:szCs w:val="20"/>
        </w:rPr>
      </w:pPr>
      <w:r w:rsidRPr="00D80990">
        <w:rPr>
          <w:rFonts w:ascii="Arial" w:hAnsi="Arial" w:cs="Arial"/>
          <w:i/>
          <w:color w:val="00B0F0"/>
          <w:sz w:val="20"/>
          <w:szCs w:val="20"/>
        </w:rPr>
        <w:t xml:space="preserve">a) siano comprovate documentalmente l'indispensabilità </w:t>
      </w:r>
      <w:r w:rsidR="00FA74C8">
        <w:rPr>
          <w:rFonts w:ascii="Arial" w:hAnsi="Arial" w:cs="Arial"/>
          <w:i/>
          <w:color w:val="00B0F0"/>
          <w:sz w:val="20"/>
          <w:szCs w:val="20"/>
        </w:rPr>
        <w:t>(</w:t>
      </w:r>
      <w:r w:rsidR="00FA74C8" w:rsidRPr="008B1A79">
        <w:rPr>
          <w:rFonts w:ascii="Arial" w:hAnsi="Arial" w:cs="Arial"/>
          <w:i/>
          <w:color w:val="00B0F0"/>
          <w:sz w:val="20"/>
          <w:szCs w:val="20"/>
        </w:rPr>
        <w:t>assoluta necessità per obbligo giuridico)</w:t>
      </w:r>
      <w:r w:rsidRPr="00D80990">
        <w:rPr>
          <w:rFonts w:ascii="Arial" w:hAnsi="Arial" w:cs="Arial"/>
          <w:i/>
          <w:color w:val="00B0F0"/>
          <w:sz w:val="20"/>
          <w:szCs w:val="20"/>
        </w:rPr>
        <w:t xml:space="preserve">e l'indilazionabilità </w:t>
      </w:r>
      <w:r w:rsidR="00FA74C8">
        <w:rPr>
          <w:rFonts w:ascii="Arial" w:hAnsi="Arial" w:cs="Arial"/>
          <w:i/>
          <w:color w:val="00B0F0"/>
          <w:sz w:val="20"/>
          <w:szCs w:val="20"/>
        </w:rPr>
        <w:t>(</w:t>
      </w:r>
      <w:r w:rsidR="00FA74C8" w:rsidRPr="008B1A79">
        <w:rPr>
          <w:rFonts w:ascii="Arial" w:hAnsi="Arial" w:cs="Arial"/>
          <w:i/>
          <w:color w:val="00B0F0"/>
          <w:sz w:val="20"/>
          <w:szCs w:val="20"/>
        </w:rPr>
        <w:t>impossibilità oggettiva</w:t>
      </w:r>
      <w:r w:rsidR="00FA74C8">
        <w:rPr>
          <w:rFonts w:ascii="Arial" w:hAnsi="Arial" w:cs="Arial"/>
          <w:i/>
          <w:color w:val="00B0F0"/>
          <w:sz w:val="20"/>
          <w:szCs w:val="20"/>
        </w:rPr>
        <w:t xml:space="preserve">) </w:t>
      </w:r>
      <w:r w:rsidRPr="00D80990">
        <w:rPr>
          <w:rFonts w:ascii="Arial" w:hAnsi="Arial" w:cs="Arial"/>
          <w:i/>
          <w:color w:val="00B0F0"/>
          <w:sz w:val="20"/>
          <w:szCs w:val="20"/>
        </w:rPr>
        <w:t>attestate dal responsabile del procedimento;</w:t>
      </w:r>
    </w:p>
    <w:p w:rsidR="00FA74C8" w:rsidRPr="008B1A79" w:rsidRDefault="00276B33" w:rsidP="00FA74C8">
      <w:pPr>
        <w:jc w:val="both"/>
        <w:rPr>
          <w:rFonts w:ascii="Arial" w:hAnsi="Arial" w:cs="Arial"/>
          <w:i/>
          <w:color w:val="00B0F0"/>
          <w:sz w:val="20"/>
          <w:szCs w:val="20"/>
        </w:rPr>
      </w:pPr>
      <w:r w:rsidRPr="00D80990">
        <w:rPr>
          <w:rFonts w:ascii="Arial" w:hAnsi="Arial" w:cs="Arial"/>
          <w:i/>
          <w:color w:val="00B0F0"/>
          <w:sz w:val="20"/>
          <w:szCs w:val="20"/>
        </w:rPr>
        <w:t>b) la congruità del prezzo sia attestata dall'Agenzia del demanio, previo rimborso delle spese.</w:t>
      </w:r>
      <w:r w:rsidR="00FA74C8" w:rsidRPr="008B1A79">
        <w:rPr>
          <w:rFonts w:ascii="Arial" w:hAnsi="Arial" w:cs="Arial"/>
          <w:i/>
          <w:color w:val="00B0F0"/>
          <w:sz w:val="20"/>
          <w:szCs w:val="20"/>
        </w:rPr>
        <w:t xml:space="preserve"> Deve essere acquisita prima della definizione delle operazioni di acquisto;</w:t>
      </w:r>
    </w:p>
    <w:p w:rsidR="00276B33" w:rsidRDefault="00276B33" w:rsidP="00276B33">
      <w:pPr>
        <w:jc w:val="both"/>
        <w:rPr>
          <w:rFonts w:ascii="Arial" w:hAnsi="Arial" w:cs="Arial"/>
          <w:color w:val="00B0F0"/>
          <w:sz w:val="20"/>
          <w:szCs w:val="20"/>
        </w:rPr>
      </w:pPr>
      <w:r w:rsidRPr="00D80990">
        <w:rPr>
          <w:rFonts w:ascii="Arial" w:hAnsi="Arial" w:cs="Arial"/>
          <w:i/>
          <w:color w:val="00B0F0"/>
          <w:sz w:val="20"/>
          <w:szCs w:val="20"/>
        </w:rPr>
        <w:t>c) delle predette operazioni sia data preventiva notizia, con l'indicazione del soggetto alienante e del prezzo pattuito, nel sito internet istituzionale dell'ente</w:t>
      </w:r>
      <w:r w:rsidRPr="00D80990">
        <w:rPr>
          <w:rFonts w:ascii="Arial" w:hAnsi="Arial" w:cs="Arial"/>
          <w:color w:val="00B0F0"/>
          <w:sz w:val="20"/>
          <w:szCs w:val="20"/>
        </w:rPr>
        <w:t>.)</w:t>
      </w:r>
    </w:p>
    <w:p w:rsidR="001004AB" w:rsidRPr="000D5C03" w:rsidRDefault="001004AB" w:rsidP="00276B33">
      <w:pPr>
        <w:jc w:val="both"/>
        <w:rPr>
          <w:rFonts w:ascii="Arial" w:hAnsi="Arial" w:cs="Arial"/>
          <w:color w:val="00B0F0"/>
          <w:sz w:val="20"/>
          <w:szCs w:val="20"/>
        </w:rPr>
      </w:pPr>
    </w:p>
    <w:p w:rsidR="001004AB" w:rsidRPr="000D5C03" w:rsidRDefault="000D5C03" w:rsidP="00276B33">
      <w:pPr>
        <w:jc w:val="both"/>
        <w:rPr>
          <w:rFonts w:ascii="Arial" w:hAnsi="Arial" w:cs="Arial"/>
          <w:b/>
          <w:i/>
          <w:color w:val="00B0F0"/>
          <w:sz w:val="20"/>
          <w:szCs w:val="20"/>
        </w:rPr>
      </w:pPr>
      <w:r w:rsidRPr="000D5C03">
        <w:rPr>
          <w:rFonts w:ascii="Arial" w:hAnsi="Arial" w:cs="Arial"/>
          <w:b/>
          <w:color w:val="00B0F0"/>
          <w:sz w:val="20"/>
          <w:szCs w:val="20"/>
        </w:rPr>
        <w:t xml:space="preserve">* </w:t>
      </w:r>
      <w:r w:rsidRPr="000D5C03">
        <w:rPr>
          <w:rFonts w:ascii="Arial" w:hAnsi="Arial" w:cs="Arial"/>
          <w:b/>
          <w:i/>
          <w:color w:val="00B0F0"/>
          <w:sz w:val="20"/>
          <w:szCs w:val="20"/>
        </w:rPr>
        <w:t>n.b. Questa</w:t>
      </w:r>
      <w:r w:rsidR="001004AB" w:rsidRPr="000D5C03">
        <w:rPr>
          <w:rFonts w:ascii="Arial" w:hAnsi="Arial" w:cs="Arial"/>
          <w:b/>
          <w:i/>
          <w:color w:val="00B0F0"/>
          <w:sz w:val="20"/>
          <w:szCs w:val="20"/>
        </w:rPr>
        <w:t xml:space="preserve"> limitazione </w:t>
      </w:r>
      <w:r w:rsidRPr="000D5C03">
        <w:rPr>
          <w:rFonts w:ascii="Arial" w:hAnsi="Arial" w:cs="Arial"/>
          <w:b/>
          <w:i/>
          <w:color w:val="00B0F0"/>
          <w:sz w:val="20"/>
          <w:szCs w:val="20"/>
        </w:rPr>
        <w:t xml:space="preserve">è </w:t>
      </w:r>
      <w:r w:rsidR="001004AB" w:rsidRPr="000D5C03">
        <w:rPr>
          <w:rFonts w:ascii="Arial" w:hAnsi="Arial" w:cs="Arial"/>
          <w:b/>
          <w:i/>
          <w:color w:val="00B0F0"/>
          <w:sz w:val="20"/>
          <w:szCs w:val="20"/>
        </w:rPr>
        <w:t>disapplicata dal comma 905 della Legge di bilancio 2019 (</w:t>
      </w:r>
      <w:r w:rsidRPr="000D5C03">
        <w:rPr>
          <w:rFonts w:ascii="Arial" w:hAnsi="Arial" w:cs="Arial"/>
          <w:b/>
          <w:i/>
          <w:color w:val="00B0F0"/>
          <w:sz w:val="20"/>
          <w:szCs w:val="20"/>
        </w:rPr>
        <w:t xml:space="preserve">n. </w:t>
      </w:r>
      <w:r w:rsidR="001004AB" w:rsidRPr="000D5C03">
        <w:rPr>
          <w:rFonts w:ascii="Arial" w:hAnsi="Arial" w:cs="Arial"/>
          <w:b/>
          <w:i/>
          <w:color w:val="00B0F0"/>
          <w:sz w:val="20"/>
          <w:szCs w:val="20"/>
        </w:rPr>
        <w:t xml:space="preserve">145/2018) che </w:t>
      </w:r>
      <w:r w:rsidR="001004AB" w:rsidRPr="000D5C03">
        <w:rPr>
          <w:rFonts w:ascii="Arial" w:hAnsi="Arial" w:cs="Arial"/>
          <w:b/>
          <w:bCs/>
          <w:i/>
          <w:iCs/>
          <w:color w:val="00B0F0"/>
          <w:sz w:val="20"/>
          <w:szCs w:val="20"/>
        </w:rPr>
        <w:t>introduce alcune semplificazioni per i comuni (e le loro forme associative) condizionate all’approvazione dei bilanci entro i termini ordinari previsti dal TUEL</w:t>
      </w:r>
      <w:r w:rsidR="001004AB" w:rsidRPr="000D5C03">
        <w:rPr>
          <w:rFonts w:ascii="Arial" w:hAnsi="Arial" w:cs="Arial"/>
          <w:b/>
          <w:i/>
          <w:iCs/>
          <w:color w:val="00B0F0"/>
          <w:sz w:val="20"/>
          <w:szCs w:val="20"/>
        </w:rPr>
        <w:t xml:space="preserve">, ossia il bilancio consuntivo entro il 30 aprile dell’anno successivo e il bilancio preventivo entro il 31 dicembre dell'anno precedente all’esercizio di riferimento. </w:t>
      </w:r>
    </w:p>
    <w:p w:rsidR="00276B33" w:rsidRPr="000D5C03" w:rsidRDefault="00276B33" w:rsidP="00276B33">
      <w:pPr>
        <w:jc w:val="both"/>
        <w:rPr>
          <w:rFonts w:ascii="Arial" w:hAnsi="Arial" w:cs="Arial"/>
          <w:b/>
          <w:i/>
          <w:color w:val="00B0F0"/>
          <w:sz w:val="18"/>
          <w:szCs w:val="18"/>
        </w:rPr>
      </w:pPr>
    </w:p>
    <w:p w:rsidR="00003942" w:rsidRPr="000D5C03" w:rsidRDefault="00003942" w:rsidP="00276B33">
      <w:pPr>
        <w:jc w:val="both"/>
        <w:rPr>
          <w:rFonts w:ascii="Arial" w:hAnsi="Arial" w:cs="Arial"/>
          <w:b/>
          <w:i/>
          <w:color w:val="00B0F0"/>
          <w:sz w:val="18"/>
          <w:szCs w:val="18"/>
        </w:rPr>
      </w:pPr>
    </w:p>
    <w:p w:rsidR="00003942" w:rsidRDefault="00003942" w:rsidP="00276B33">
      <w:pPr>
        <w:jc w:val="both"/>
        <w:rPr>
          <w:rFonts w:ascii="Arial" w:hAnsi="Arial" w:cs="Arial"/>
          <w:b/>
          <w:i/>
          <w:color w:val="00B0F0"/>
          <w:sz w:val="18"/>
          <w:szCs w:val="18"/>
        </w:rPr>
      </w:pPr>
    </w:p>
    <w:p w:rsidR="00003942" w:rsidRDefault="00003942" w:rsidP="00276B33">
      <w:pPr>
        <w:jc w:val="both"/>
        <w:rPr>
          <w:rFonts w:ascii="Arial" w:hAnsi="Arial" w:cs="Arial"/>
          <w:b/>
          <w:i/>
          <w:color w:val="00B0F0"/>
          <w:sz w:val="18"/>
          <w:szCs w:val="18"/>
        </w:rPr>
      </w:pPr>
    </w:p>
    <w:p w:rsidR="00003942" w:rsidRDefault="00003942" w:rsidP="00276B33">
      <w:pPr>
        <w:jc w:val="both"/>
        <w:rPr>
          <w:rFonts w:ascii="Arial" w:hAnsi="Arial" w:cs="Arial"/>
          <w:b/>
          <w:i/>
          <w:color w:val="00B0F0"/>
          <w:sz w:val="18"/>
          <w:szCs w:val="18"/>
        </w:rPr>
      </w:pPr>
    </w:p>
    <w:p w:rsidR="000D5C03" w:rsidRDefault="000D5C03" w:rsidP="00276B33">
      <w:pPr>
        <w:jc w:val="both"/>
        <w:rPr>
          <w:rFonts w:ascii="Arial" w:hAnsi="Arial" w:cs="Arial"/>
          <w:b/>
          <w:i/>
          <w:color w:val="00B0F0"/>
          <w:sz w:val="18"/>
          <w:szCs w:val="18"/>
        </w:rPr>
      </w:pPr>
    </w:p>
    <w:p w:rsidR="00003942" w:rsidRDefault="00003942" w:rsidP="00276B33">
      <w:pPr>
        <w:jc w:val="both"/>
        <w:rPr>
          <w:rFonts w:ascii="Arial" w:hAnsi="Arial" w:cs="Arial"/>
          <w:b/>
          <w:i/>
          <w:color w:val="00B0F0"/>
          <w:sz w:val="18"/>
          <w:szCs w:val="18"/>
        </w:rPr>
      </w:pPr>
    </w:p>
    <w:p w:rsidR="00003942" w:rsidRDefault="00003942" w:rsidP="00276B33">
      <w:pPr>
        <w:jc w:val="both"/>
        <w:rPr>
          <w:rFonts w:ascii="Arial" w:hAnsi="Arial" w:cs="Arial"/>
          <w:b/>
          <w:i/>
          <w:color w:val="00B0F0"/>
          <w:sz w:val="18"/>
          <w:szCs w:val="18"/>
        </w:rPr>
      </w:pPr>
    </w:p>
    <w:p w:rsidR="00003942" w:rsidRDefault="00003942" w:rsidP="00276B33">
      <w:pPr>
        <w:jc w:val="both"/>
        <w:rPr>
          <w:rFonts w:ascii="Arial" w:hAnsi="Arial" w:cs="Arial"/>
          <w:b/>
          <w:i/>
          <w:color w:val="00B0F0"/>
          <w:sz w:val="18"/>
          <w:szCs w:val="18"/>
        </w:rPr>
      </w:pPr>
    </w:p>
    <w:p w:rsidR="000D5C03" w:rsidRDefault="000D5C03">
      <w:pPr>
        <w:rPr>
          <w:rFonts w:ascii="Arial" w:hAnsi="Arial" w:cs="Arial"/>
          <w:b/>
          <w:i/>
          <w:color w:val="00B0F0"/>
          <w:sz w:val="18"/>
          <w:szCs w:val="18"/>
        </w:rPr>
      </w:pPr>
      <w:r>
        <w:rPr>
          <w:rFonts w:ascii="Arial" w:hAnsi="Arial" w:cs="Arial"/>
          <w:b/>
          <w:i/>
          <w:color w:val="00B0F0"/>
          <w:sz w:val="18"/>
          <w:szCs w:val="18"/>
        </w:rPr>
        <w:br w:type="page"/>
      </w:r>
    </w:p>
    <w:p w:rsidR="00276B33" w:rsidRPr="00D80990" w:rsidRDefault="00276B33" w:rsidP="00276B33">
      <w:pPr>
        <w:pStyle w:val="Titolo1"/>
        <w:shd w:val="clear" w:color="auto" w:fill="B6DDE8"/>
      </w:pPr>
      <w:bookmarkStart w:id="80" w:name="_INDEBITAMENTO"/>
      <w:bookmarkStart w:id="81" w:name="_Toc535487628"/>
      <w:bookmarkEnd w:id="80"/>
      <w:r w:rsidRPr="00D80990">
        <w:lastRenderedPageBreak/>
        <w:t>INDEBITAMENTO</w:t>
      </w:r>
      <w:bookmarkEnd w:id="81"/>
    </w:p>
    <w:p w:rsidR="00151995" w:rsidRPr="008B1A79" w:rsidRDefault="00151995" w:rsidP="00151995">
      <w:pPr>
        <w:spacing w:after="120"/>
        <w:jc w:val="both"/>
        <w:rPr>
          <w:rFonts w:ascii="Arial" w:hAnsi="Arial" w:cs="Arial"/>
          <w:sz w:val="22"/>
          <w:szCs w:val="22"/>
        </w:rPr>
      </w:pPr>
      <w:r w:rsidRPr="008B1A79">
        <w:rPr>
          <w:rFonts w:ascii="Arial" w:hAnsi="Arial" w:cs="Arial"/>
          <w:sz w:val="22"/>
          <w:szCs w:val="22"/>
        </w:rPr>
        <w:t>Il revisore ha verificato che la Missione 50 riporta al programma 1 tutti gli interessi passivi su operazioni di indebitamento e al programma 2 tutte le quote capitale della rata di ammortamento.</w:t>
      </w:r>
    </w:p>
    <w:p w:rsidR="00151995" w:rsidRPr="008B1A79" w:rsidRDefault="00151995" w:rsidP="00151995">
      <w:pPr>
        <w:widowControl w:val="0"/>
        <w:autoSpaceDE w:val="0"/>
        <w:autoSpaceDN w:val="0"/>
        <w:adjustRightInd w:val="0"/>
        <w:rPr>
          <w:rFonts w:ascii="Arial" w:hAnsi="Arial" w:cs="Arial"/>
          <w:b/>
          <w:sz w:val="22"/>
          <w:szCs w:val="22"/>
          <w:u w:val="single"/>
        </w:rPr>
      </w:pPr>
      <w:r w:rsidRPr="008B1A79">
        <w:rPr>
          <w:rFonts w:ascii="Arial" w:hAnsi="Arial" w:cs="Arial"/>
          <w:b/>
          <w:sz w:val="22"/>
          <w:szCs w:val="22"/>
          <w:u w:val="single"/>
        </w:rPr>
        <w:t>L’indebitamento dell’ente subisce la seguente evoluzione:</w:t>
      </w:r>
    </w:p>
    <w:p w:rsidR="00151995" w:rsidRPr="00705E88" w:rsidRDefault="00151995" w:rsidP="00151995">
      <w:pPr>
        <w:widowControl w:val="0"/>
        <w:autoSpaceDE w:val="0"/>
        <w:autoSpaceDN w:val="0"/>
        <w:adjustRightInd w:val="0"/>
        <w:rPr>
          <w:rFonts w:ascii="Arial" w:hAnsi="Arial" w:cs="Arial"/>
          <w:color w:val="FF00FF"/>
          <w:sz w:val="22"/>
          <w:szCs w:val="22"/>
          <w:u w:val="single"/>
        </w:rPr>
      </w:pPr>
    </w:p>
    <w:p w:rsidR="00151995" w:rsidRPr="00705E88" w:rsidRDefault="00151995" w:rsidP="00151995">
      <w:pPr>
        <w:widowControl w:val="0"/>
        <w:autoSpaceDE w:val="0"/>
        <w:autoSpaceDN w:val="0"/>
        <w:adjustRightInd w:val="0"/>
        <w:jc w:val="center"/>
        <w:rPr>
          <w:rFonts w:ascii="Arial" w:hAnsi="Arial" w:cs="Arial"/>
          <w:color w:val="FF00FF"/>
          <w:sz w:val="22"/>
          <w:szCs w:val="22"/>
        </w:rPr>
      </w:pPr>
      <w:r w:rsidRPr="00705E88">
        <w:rPr>
          <w:rFonts w:cs="Arial"/>
          <w:color w:val="FF00FF"/>
          <w:sz w:val="22"/>
          <w:szCs w:val="22"/>
        </w:rPr>
        <w:object w:dxaOrig="9808" w:dyaOrig="2525">
          <v:shape id="_x0000_i1062" type="#_x0000_t75" style="width:489.75pt;height:122.25pt" o:ole="">
            <v:imagedata r:id="rId101" o:title=""/>
          </v:shape>
          <o:OLEObject Type="Embed" ProgID="Excel.Sheet.12" ShapeID="_x0000_i1062" DrawAspect="Content" ObjectID="_1610733426" r:id="rId102"/>
        </w:object>
      </w:r>
    </w:p>
    <w:p w:rsidR="00151995" w:rsidRPr="00D80990" w:rsidRDefault="00151995" w:rsidP="00151995">
      <w:pPr>
        <w:spacing w:after="120"/>
        <w:jc w:val="both"/>
        <w:rPr>
          <w:rFonts w:ascii="Arial" w:hAnsi="Arial" w:cs="Arial"/>
          <w:color w:val="000000"/>
          <w:sz w:val="16"/>
          <w:szCs w:val="16"/>
        </w:rPr>
      </w:pPr>
      <w:r w:rsidRPr="00D80990">
        <w:rPr>
          <w:rFonts w:ascii="Arial" w:hAnsi="Arial" w:cs="Arial"/>
          <w:sz w:val="22"/>
          <w:szCs w:val="22"/>
        </w:rPr>
        <w:t>L’ammontare dei prestiti previsti per il finanziamento di spese in conto capitale risul</w:t>
      </w:r>
      <w:r>
        <w:rPr>
          <w:rFonts w:ascii="Arial" w:hAnsi="Arial" w:cs="Arial"/>
          <w:sz w:val="22"/>
          <w:szCs w:val="22"/>
        </w:rPr>
        <w:t>ta compatibile per gli anni 2019, 2020 e 2021</w:t>
      </w:r>
      <w:r w:rsidRPr="00D80990">
        <w:rPr>
          <w:rFonts w:ascii="Arial" w:hAnsi="Arial" w:cs="Arial"/>
          <w:sz w:val="22"/>
          <w:szCs w:val="22"/>
        </w:rPr>
        <w:t xml:space="preserve"> con il limite della capacità di indebitamento previsto dall’articolo 204 del TUEL e nel rispetto dell’art.203 del TUEL.</w:t>
      </w:r>
    </w:p>
    <w:p w:rsidR="00151995" w:rsidRPr="008B1A79" w:rsidRDefault="00151995" w:rsidP="00151995">
      <w:pPr>
        <w:rPr>
          <w:rFonts w:ascii="Arial" w:hAnsi="Arial" w:cs="Arial"/>
          <w:b/>
          <w:sz w:val="22"/>
          <w:szCs w:val="22"/>
          <w:u w:val="single"/>
        </w:rPr>
      </w:pPr>
      <w:r w:rsidRPr="008B1A79">
        <w:rPr>
          <w:rFonts w:ascii="Arial" w:hAnsi="Arial" w:cs="Arial"/>
          <w:b/>
          <w:sz w:val="22"/>
          <w:szCs w:val="22"/>
          <w:u w:val="single"/>
        </w:rPr>
        <w:t>Interessi passivi e oneri finanziari diversi</w:t>
      </w:r>
    </w:p>
    <w:p w:rsidR="00151995" w:rsidRPr="008B1A79" w:rsidRDefault="00151995" w:rsidP="00151995">
      <w:pPr>
        <w:widowControl w:val="0"/>
        <w:autoSpaceDE w:val="0"/>
        <w:autoSpaceDN w:val="0"/>
        <w:adjustRightInd w:val="0"/>
        <w:jc w:val="both"/>
        <w:rPr>
          <w:rFonts w:ascii="Arial" w:hAnsi="Arial" w:cs="Arial"/>
          <w:sz w:val="22"/>
          <w:szCs w:val="22"/>
        </w:rPr>
      </w:pPr>
    </w:p>
    <w:p w:rsidR="00151995" w:rsidRPr="008B1A79" w:rsidRDefault="00151995" w:rsidP="00151995">
      <w:pPr>
        <w:widowControl w:val="0"/>
        <w:autoSpaceDE w:val="0"/>
        <w:autoSpaceDN w:val="0"/>
        <w:adjustRightInd w:val="0"/>
        <w:jc w:val="both"/>
        <w:rPr>
          <w:rFonts w:ascii="Arial" w:hAnsi="Arial" w:cs="Arial"/>
          <w:sz w:val="22"/>
          <w:szCs w:val="22"/>
        </w:rPr>
      </w:pPr>
      <w:r w:rsidRPr="008B1A79">
        <w:rPr>
          <w:rFonts w:ascii="Arial" w:hAnsi="Arial" w:cs="Arial"/>
          <w:sz w:val="22"/>
          <w:szCs w:val="22"/>
        </w:rPr>
        <w:t>Gli oneri finanziari per ammortamento prestiti ed il rimborso degli stessi in conto capitale registra la seguente evoluzione:</w:t>
      </w:r>
    </w:p>
    <w:p w:rsidR="00151995" w:rsidRPr="00C8297B" w:rsidRDefault="00151995" w:rsidP="00151995">
      <w:pPr>
        <w:widowControl w:val="0"/>
        <w:autoSpaceDE w:val="0"/>
        <w:autoSpaceDN w:val="0"/>
        <w:adjustRightInd w:val="0"/>
        <w:jc w:val="both"/>
        <w:rPr>
          <w:rFonts w:ascii="Arial" w:hAnsi="Arial" w:cs="Arial"/>
          <w:color w:val="FF00FF"/>
          <w:sz w:val="22"/>
          <w:szCs w:val="22"/>
        </w:rPr>
      </w:pPr>
    </w:p>
    <w:p w:rsidR="00151995" w:rsidRPr="00C8297B" w:rsidRDefault="00151995" w:rsidP="00151995">
      <w:pPr>
        <w:widowControl w:val="0"/>
        <w:autoSpaceDE w:val="0"/>
        <w:autoSpaceDN w:val="0"/>
        <w:adjustRightInd w:val="0"/>
        <w:jc w:val="center"/>
        <w:rPr>
          <w:rFonts w:ascii="Arial" w:hAnsi="Arial" w:cs="Arial"/>
          <w:color w:val="FF00FF"/>
          <w:sz w:val="22"/>
          <w:szCs w:val="22"/>
        </w:rPr>
      </w:pPr>
      <w:r w:rsidRPr="00C8297B">
        <w:rPr>
          <w:rFonts w:cs="Arial"/>
          <w:color w:val="FF00FF"/>
          <w:sz w:val="22"/>
          <w:szCs w:val="22"/>
        </w:rPr>
        <w:object w:dxaOrig="9808" w:dyaOrig="1133">
          <v:shape id="_x0000_i1063" type="#_x0000_t75" style="width:489.75pt;height:57.75pt" o:ole="">
            <v:imagedata r:id="rId103" o:title=""/>
          </v:shape>
          <o:OLEObject Type="Embed" ProgID="Excel.Sheet.12" ShapeID="_x0000_i1063" DrawAspect="Content" ObjectID="_1610733427" r:id="rId104"/>
        </w:object>
      </w:r>
    </w:p>
    <w:p w:rsidR="00151995" w:rsidRPr="007C28ED" w:rsidRDefault="00151995" w:rsidP="00151995">
      <w:pPr>
        <w:pStyle w:val="Corpodeltesto21"/>
        <w:spacing w:before="120"/>
        <w:rPr>
          <w:rFonts w:cs="Arial"/>
          <w:b w:val="0"/>
          <w:i w:val="0"/>
          <w:sz w:val="22"/>
          <w:szCs w:val="22"/>
        </w:rPr>
      </w:pPr>
      <w:r w:rsidRPr="007C28ED">
        <w:rPr>
          <w:rFonts w:cs="Arial"/>
          <w:b w:val="0"/>
          <w:i w:val="0"/>
          <w:sz w:val="22"/>
          <w:szCs w:val="22"/>
        </w:rPr>
        <w:t>La previsione di spesa per gli anni 2019, 2020 e 2021 per interessi passivi e oneri finanziari diversi, pari a euro ……….. è congrua sulla base del riepilogo predisposto dal responsabile del servizio finanziario degli altri prestiti contratti a tutt’oggi e rientra nel limite di indebitamento previsto dall’articolo 204 del TUELcome calcolato nel seguente prospetto</w:t>
      </w:r>
      <w:r w:rsidRPr="007C28ED">
        <w:rPr>
          <w:rFonts w:cs="Arial"/>
          <w:i w:val="0"/>
          <w:sz w:val="20"/>
        </w:rPr>
        <w:t>.</w:t>
      </w:r>
    </w:p>
    <w:p w:rsidR="00276B33" w:rsidRPr="00D80990" w:rsidRDefault="00276B33" w:rsidP="00276B33">
      <w:pPr>
        <w:rPr>
          <w:rFonts w:ascii="Arial" w:hAnsi="Arial" w:cs="Arial"/>
          <w:sz w:val="22"/>
          <w:szCs w:val="22"/>
        </w:rPr>
      </w:pPr>
    </w:p>
    <w:p w:rsidR="00AA4EDC" w:rsidRDefault="00AA4EDC" w:rsidP="00276B33">
      <w:pPr>
        <w:pStyle w:val="Corpodeltesto21"/>
        <w:rPr>
          <w:rStyle w:val="Collegamentoipertestuale"/>
          <w:rFonts w:cs="Arial"/>
        </w:rPr>
      </w:pPr>
    </w:p>
    <w:bookmarkStart w:id="82" w:name="_MON_1609228051"/>
    <w:bookmarkEnd w:id="82"/>
    <w:p w:rsidR="00276B33" w:rsidRDefault="00792A6A" w:rsidP="00F4160F">
      <w:pPr>
        <w:pStyle w:val="Corpodeltesto21"/>
        <w:jc w:val="center"/>
        <w:rPr>
          <w:rFonts w:cs="Arial"/>
          <w:sz w:val="22"/>
          <w:szCs w:val="22"/>
        </w:rPr>
      </w:pPr>
      <w:r w:rsidRPr="006B2B37">
        <w:rPr>
          <w:rFonts w:cs="Arial"/>
          <w:sz w:val="22"/>
          <w:szCs w:val="22"/>
        </w:rPr>
        <w:object w:dxaOrig="9792" w:dyaOrig="1397">
          <v:shape id="_x0000_i1064" type="#_x0000_t75" style="width:489.75pt;height:1in" o:ole="">
            <v:imagedata r:id="rId105" o:title=""/>
          </v:shape>
          <o:OLEObject Type="Embed" ProgID="Excel.Sheet.12" ShapeID="_x0000_i1064" DrawAspect="Content" ObjectID="_1610733428" r:id="rId106"/>
        </w:object>
      </w:r>
    </w:p>
    <w:p w:rsidR="007C28ED" w:rsidRDefault="007C28ED" w:rsidP="00F4160F">
      <w:pPr>
        <w:pStyle w:val="Corpodeltesto21"/>
        <w:jc w:val="center"/>
        <w:rPr>
          <w:rFonts w:cs="Arial"/>
          <w:sz w:val="22"/>
          <w:szCs w:val="22"/>
        </w:rPr>
      </w:pPr>
    </w:p>
    <w:p w:rsidR="007C28ED" w:rsidRDefault="007C28ED" w:rsidP="00F4160F">
      <w:pPr>
        <w:pStyle w:val="Corpodeltesto21"/>
        <w:jc w:val="center"/>
        <w:rPr>
          <w:rFonts w:cs="Arial"/>
          <w:sz w:val="22"/>
          <w:szCs w:val="22"/>
        </w:rPr>
      </w:pPr>
    </w:p>
    <w:p w:rsidR="007C28ED" w:rsidRDefault="007C28ED" w:rsidP="00F4160F">
      <w:pPr>
        <w:pStyle w:val="Corpodeltesto21"/>
        <w:jc w:val="center"/>
        <w:rPr>
          <w:rFonts w:cs="Arial"/>
          <w:sz w:val="22"/>
          <w:szCs w:val="22"/>
        </w:rPr>
      </w:pPr>
    </w:p>
    <w:p w:rsidR="007C28ED" w:rsidRDefault="007C28ED" w:rsidP="00F4160F">
      <w:pPr>
        <w:pStyle w:val="Corpodeltesto21"/>
        <w:jc w:val="center"/>
        <w:rPr>
          <w:rFonts w:cs="Arial"/>
          <w:sz w:val="22"/>
          <w:szCs w:val="22"/>
        </w:rPr>
      </w:pPr>
    </w:p>
    <w:p w:rsidR="007C28ED" w:rsidRPr="00D80990" w:rsidRDefault="007C28ED" w:rsidP="00F4160F">
      <w:pPr>
        <w:pStyle w:val="Corpodeltesto21"/>
        <w:jc w:val="center"/>
        <w:rPr>
          <w:rFonts w:cs="Arial"/>
          <w:b w:val="0"/>
          <w:i w:val="0"/>
          <w:sz w:val="22"/>
          <w:szCs w:val="22"/>
        </w:rPr>
      </w:pPr>
    </w:p>
    <w:p w:rsidR="00F4160F" w:rsidRDefault="00F4160F" w:rsidP="00276B33">
      <w:pPr>
        <w:rPr>
          <w:rFonts w:ascii="Arial" w:hAnsi="Arial" w:cs="Arial"/>
          <w:b/>
          <w:sz w:val="22"/>
          <w:szCs w:val="22"/>
          <w:u w:val="single"/>
        </w:rPr>
      </w:pPr>
    </w:p>
    <w:p w:rsidR="00276B33" w:rsidRPr="00D80990" w:rsidRDefault="00276B33" w:rsidP="00276B33">
      <w:pPr>
        <w:widowControl w:val="0"/>
        <w:autoSpaceDE w:val="0"/>
        <w:autoSpaceDN w:val="0"/>
        <w:adjustRightInd w:val="0"/>
        <w:jc w:val="both"/>
        <w:rPr>
          <w:rFonts w:ascii="Arial" w:hAnsi="Arial" w:cs="Arial"/>
          <w:sz w:val="22"/>
          <w:szCs w:val="22"/>
        </w:rPr>
      </w:pPr>
    </w:p>
    <w:p w:rsidR="00276B33" w:rsidRPr="00D80990" w:rsidRDefault="00276B33" w:rsidP="00276B33">
      <w:pPr>
        <w:widowControl w:val="0"/>
        <w:autoSpaceDE w:val="0"/>
        <w:autoSpaceDN w:val="0"/>
        <w:adjustRightInd w:val="0"/>
        <w:jc w:val="both"/>
        <w:rPr>
          <w:rFonts w:ascii="Arial" w:hAnsi="Arial" w:cs="Arial"/>
          <w:sz w:val="22"/>
          <w:szCs w:val="22"/>
        </w:rPr>
      </w:pPr>
      <w:r w:rsidRPr="00D80990">
        <w:rPr>
          <w:rFonts w:ascii="Arial" w:hAnsi="Arial" w:cs="Arial"/>
          <w:sz w:val="22"/>
          <w:szCs w:val="22"/>
        </w:rPr>
        <w:t xml:space="preserve">L’ente </w:t>
      </w:r>
      <w:r w:rsidRPr="008B1A79">
        <w:rPr>
          <w:rFonts w:ascii="Arial" w:hAnsi="Arial" w:cs="Arial"/>
          <w:b/>
          <w:sz w:val="22"/>
          <w:szCs w:val="22"/>
        </w:rPr>
        <w:t>ha</w:t>
      </w:r>
      <w:r w:rsidR="00151995" w:rsidRPr="008B1A79">
        <w:rPr>
          <w:rFonts w:ascii="Arial" w:hAnsi="Arial" w:cs="Arial"/>
          <w:b/>
          <w:sz w:val="22"/>
          <w:szCs w:val="22"/>
        </w:rPr>
        <w:t>/non ha</w:t>
      </w:r>
      <w:r w:rsidRPr="00D80990">
        <w:rPr>
          <w:rFonts w:ascii="Arial" w:hAnsi="Arial" w:cs="Arial"/>
          <w:sz w:val="22"/>
          <w:szCs w:val="22"/>
        </w:rPr>
        <w:t xml:space="preserve"> prestato garanzie principali e sussidiarie per le quali è stato costituito regolare accantonamento come da prospetto seguente:</w:t>
      </w:r>
    </w:p>
    <w:p w:rsidR="00276B33" w:rsidRPr="00D80990" w:rsidRDefault="00276B33" w:rsidP="00276B33">
      <w:pPr>
        <w:widowControl w:val="0"/>
        <w:autoSpaceDE w:val="0"/>
        <w:autoSpaceDN w:val="0"/>
        <w:adjustRightInd w:val="0"/>
        <w:jc w:val="both"/>
        <w:rPr>
          <w:rFonts w:ascii="Arial" w:hAnsi="Arial" w:cs="Arial"/>
          <w:sz w:val="22"/>
          <w:szCs w:val="22"/>
        </w:rPr>
      </w:pPr>
    </w:p>
    <w:p w:rsidR="00276B33" w:rsidRPr="00D80990" w:rsidRDefault="00003942" w:rsidP="00276B33">
      <w:pPr>
        <w:widowControl w:val="0"/>
        <w:autoSpaceDE w:val="0"/>
        <w:autoSpaceDN w:val="0"/>
        <w:adjustRightInd w:val="0"/>
        <w:jc w:val="center"/>
        <w:rPr>
          <w:rFonts w:ascii="Arial" w:hAnsi="Arial" w:cs="Arial"/>
          <w:sz w:val="22"/>
          <w:szCs w:val="22"/>
        </w:rPr>
      </w:pPr>
      <w:r w:rsidRPr="006B2B37">
        <w:rPr>
          <w:rFonts w:cs="Arial"/>
          <w:sz w:val="22"/>
          <w:szCs w:val="22"/>
        </w:rPr>
        <w:object w:dxaOrig="7365" w:dyaOrig="1354">
          <v:shape id="_x0000_i1065" type="#_x0000_t75" style="width:367.5pt;height:64.5pt" o:ole="">
            <v:imagedata r:id="rId107" o:title=""/>
          </v:shape>
          <o:OLEObject Type="Embed" ProgID="Excel.Sheet.12" ShapeID="_x0000_i1065" DrawAspect="Content" ObjectID="_1610733429" r:id="rId108"/>
        </w:object>
      </w:r>
    </w:p>
    <w:p w:rsidR="00276B33" w:rsidRPr="00D80990" w:rsidRDefault="00276B33" w:rsidP="00276B33">
      <w:pPr>
        <w:spacing w:before="100" w:beforeAutospacing="1" w:after="100" w:afterAutospacing="1"/>
        <w:jc w:val="both"/>
        <w:rPr>
          <w:rFonts w:ascii="Arial" w:hAnsi="Arial" w:cs="Arial"/>
          <w:color w:val="000000"/>
          <w:sz w:val="22"/>
          <w:szCs w:val="22"/>
        </w:rPr>
      </w:pPr>
      <w:r w:rsidRPr="00D80990">
        <w:rPr>
          <w:rFonts w:ascii="Arial" w:hAnsi="Arial" w:cs="Arial"/>
          <w:color w:val="000000"/>
          <w:sz w:val="22"/>
          <w:szCs w:val="22"/>
        </w:rPr>
        <w:t>L’organo di revisione ricorda che ai sensi dell’</w:t>
      </w:r>
      <w:r w:rsidRPr="00D80990">
        <w:rPr>
          <w:rFonts w:ascii="Arial" w:hAnsi="Arial" w:cs="Arial"/>
          <w:sz w:val="22"/>
          <w:szCs w:val="22"/>
        </w:rPr>
        <w:t>art.10 della Legge 243/2012</w:t>
      </w:r>
      <w:r w:rsidRPr="00D80990">
        <w:rPr>
          <w:rFonts w:ascii="Arial" w:hAnsi="Arial" w:cs="Arial"/>
          <w:color w:val="000000"/>
          <w:sz w:val="22"/>
          <w:szCs w:val="22"/>
        </w:rPr>
        <w:t>:</w:t>
      </w:r>
    </w:p>
    <w:p w:rsidR="00276B33" w:rsidRPr="00D80990" w:rsidRDefault="00276B33" w:rsidP="00276B33">
      <w:pPr>
        <w:pStyle w:val="Paragrafoelenco"/>
        <w:numPr>
          <w:ilvl w:val="0"/>
          <w:numId w:val="18"/>
        </w:numPr>
        <w:spacing w:before="100" w:beforeAutospacing="1" w:after="100" w:afterAutospacing="1"/>
        <w:jc w:val="both"/>
        <w:rPr>
          <w:rFonts w:ascii="Arial" w:hAnsi="Arial" w:cs="Arial"/>
          <w:color w:val="000000"/>
          <w:sz w:val="22"/>
          <w:szCs w:val="22"/>
        </w:rPr>
      </w:pPr>
      <w:r w:rsidRPr="00D80990">
        <w:rPr>
          <w:rFonts w:ascii="Arial" w:hAnsi="Arial" w:cs="Arial"/>
          <w:color w:val="000000"/>
          <w:sz w:val="22"/>
          <w:szCs w:val="22"/>
        </w:rPr>
        <w:t>il ricorso all'indebitamento da parte delle regioni, dei comuni, delle province, delle città metropolitane e delle province autonome di Trento e di Bolzano è consentito esclusivamente per finanziare spese di investimento;</w:t>
      </w:r>
    </w:p>
    <w:p w:rsidR="00276B33" w:rsidRDefault="00276B33" w:rsidP="00CE36A2">
      <w:pPr>
        <w:pStyle w:val="Paragrafoelenco"/>
        <w:numPr>
          <w:ilvl w:val="0"/>
          <w:numId w:val="18"/>
        </w:numPr>
        <w:spacing w:before="100" w:beforeAutospacing="1" w:after="100" w:afterAutospacing="1"/>
        <w:jc w:val="both"/>
        <w:rPr>
          <w:rFonts w:ascii="Arial" w:hAnsi="Arial" w:cs="Arial"/>
          <w:color w:val="000000"/>
          <w:sz w:val="22"/>
          <w:szCs w:val="22"/>
        </w:rPr>
      </w:pPr>
      <w:r w:rsidRPr="00D80990">
        <w:rPr>
          <w:rFonts w:ascii="Arial" w:hAnsi="Arial" w:cs="Arial"/>
          <w:color w:val="000000"/>
          <w:sz w:val="22"/>
          <w:szCs w:val="22"/>
        </w:rPr>
        <w:t>le operazioni di indebitamento sono effettuate solo contestualmente all'adozione di piani di ammortamento di durata non superiore alla vita utile dell'investimento, nei quali sono evidenziate l'incidenza delle obbligazioni assunte sui singoli esercizi finanziari futuri nonché le modalità di copertura degli oneri corrispondenti</w:t>
      </w:r>
      <w:r w:rsidR="001004AB">
        <w:rPr>
          <w:rFonts w:ascii="Arial" w:hAnsi="Arial" w:cs="Arial"/>
          <w:color w:val="000000"/>
          <w:sz w:val="22"/>
          <w:szCs w:val="22"/>
        </w:rPr>
        <w:t>.</w:t>
      </w:r>
    </w:p>
    <w:p w:rsidR="001004AB" w:rsidRPr="00792A6A" w:rsidRDefault="001004AB" w:rsidP="001004AB">
      <w:pPr>
        <w:spacing w:before="100" w:beforeAutospacing="1" w:after="100" w:afterAutospacing="1"/>
        <w:jc w:val="both"/>
        <w:rPr>
          <w:rFonts w:ascii="Arial" w:hAnsi="Arial" w:cs="Arial"/>
          <w:i/>
          <w:color w:val="00B0F0"/>
          <w:sz w:val="22"/>
          <w:szCs w:val="22"/>
        </w:rPr>
      </w:pPr>
      <w:r w:rsidRPr="00792A6A">
        <w:rPr>
          <w:rFonts w:ascii="Arial" w:hAnsi="Arial" w:cs="Arial"/>
          <w:i/>
          <w:color w:val="00B0F0"/>
          <w:sz w:val="22"/>
          <w:szCs w:val="22"/>
        </w:rPr>
        <w:t>N.B. I commi da 961 a 964 della legge di Bilancio 2019 (</w:t>
      </w:r>
      <w:r w:rsidR="00792A6A">
        <w:rPr>
          <w:rFonts w:ascii="Arial" w:hAnsi="Arial" w:cs="Arial"/>
          <w:i/>
          <w:color w:val="00B0F0"/>
          <w:sz w:val="22"/>
          <w:szCs w:val="22"/>
        </w:rPr>
        <w:t xml:space="preserve">n. </w:t>
      </w:r>
      <w:r w:rsidRPr="00792A6A">
        <w:rPr>
          <w:rFonts w:ascii="Arial" w:hAnsi="Arial" w:cs="Arial"/>
          <w:i/>
          <w:color w:val="00B0F0"/>
          <w:sz w:val="22"/>
          <w:szCs w:val="22"/>
        </w:rPr>
        <w:t>145/2018) consentono l’apertura di una tornata di rinegoziazione dei mutui rimasti nella titolarità del Ministero dell’economia e delle finanz</w:t>
      </w:r>
      <w:r w:rsidR="00792A6A">
        <w:rPr>
          <w:rFonts w:ascii="Arial" w:hAnsi="Arial" w:cs="Arial"/>
          <w:i/>
          <w:color w:val="00B0F0"/>
          <w:sz w:val="22"/>
          <w:szCs w:val="22"/>
        </w:rPr>
        <w:t>e</w:t>
      </w:r>
      <w:r w:rsidRPr="00792A6A">
        <w:rPr>
          <w:rFonts w:ascii="Arial" w:hAnsi="Arial" w:cs="Arial"/>
          <w:i/>
          <w:color w:val="00B0F0"/>
          <w:sz w:val="22"/>
          <w:szCs w:val="22"/>
        </w:rPr>
        <w:t xml:space="preserve"> dopo la riforma della Cassa depositi e prestiti del 2003, sui q</w:t>
      </w:r>
      <w:r w:rsidR="00792A6A">
        <w:rPr>
          <w:rFonts w:ascii="Arial" w:hAnsi="Arial" w:cs="Arial"/>
          <w:i/>
          <w:color w:val="00B0F0"/>
          <w:sz w:val="22"/>
          <w:szCs w:val="22"/>
        </w:rPr>
        <w:t>uali Cdp mantiene esclusi</w:t>
      </w:r>
      <w:r w:rsidRPr="00792A6A">
        <w:rPr>
          <w:rFonts w:ascii="Arial" w:hAnsi="Arial" w:cs="Arial"/>
          <w:i/>
          <w:color w:val="00B0F0"/>
          <w:sz w:val="22"/>
          <w:szCs w:val="22"/>
        </w:rPr>
        <w:t xml:space="preserve">vamente la gestione operativa. I destinatari sono i Comuni, le Province e le Città metropolitane. Lo stock complessivo di tali posizioni debitorie è stimato in circa 2,2 </w:t>
      </w:r>
      <w:r w:rsidR="001C1946">
        <w:rPr>
          <w:rFonts w:ascii="Arial" w:hAnsi="Arial" w:cs="Arial"/>
          <w:i/>
          <w:color w:val="00B0F0"/>
          <w:sz w:val="22"/>
          <w:szCs w:val="22"/>
        </w:rPr>
        <w:t>miliardi</w:t>
      </w:r>
      <w:r w:rsidRPr="00792A6A">
        <w:rPr>
          <w:rFonts w:ascii="Arial" w:hAnsi="Arial" w:cs="Arial"/>
          <w:i/>
          <w:color w:val="00B0F0"/>
          <w:sz w:val="22"/>
          <w:szCs w:val="22"/>
        </w:rPr>
        <w:t xml:space="preserve"> di euro. Dalle operazioni di rinegoziazione dovrà derivare una riduzione del valore finanziario delle passività totali; in altri termini l’operazione ora attivata, diversamente da precedenti operazioni di rinegoziazione riguardanti i mutui Cassa depositi e prestiti, ristruttura il debito locale tenendo conto della discesa dei tassi di interesse intervenuta negli ultimi anni, diminuendo l’onere per gli enti per alcune decine di milioni di euro complessivi. </w:t>
      </w:r>
    </w:p>
    <w:p w:rsidR="001004AB" w:rsidRPr="00792A6A" w:rsidRDefault="001004AB" w:rsidP="001004AB">
      <w:pPr>
        <w:pStyle w:val="Default"/>
        <w:jc w:val="both"/>
        <w:rPr>
          <w:rFonts w:ascii="Bookman Old Style" w:hAnsi="Bookman Old Style" w:cs="Bookman Old Style"/>
          <w:i/>
          <w:color w:val="00B0F0"/>
          <w:kern w:val="0"/>
          <w:lang w:eastAsia="it-IT"/>
        </w:rPr>
      </w:pPr>
      <w:r w:rsidRPr="00792A6A">
        <w:rPr>
          <w:rFonts w:ascii="Arial" w:hAnsi="Arial" w:cs="Arial"/>
          <w:i/>
          <w:color w:val="00B0F0"/>
        </w:rPr>
        <w:t>Il comma 963 rimanda ad un decreto di natura non regolamentare del Ministro dell'economia e delle finanze da emanarsi entro il 28 febbraio 2019 l’individuazione dei mutui che saranno oggetto di rinegoziazione, nonché i criteri e le modalità di perfezionamento delle operazioni. La norma precisa altresì che le rinegoziazioni saranno determinate sulla base della curva dei rendimenti di mercato dei titoli di Stato, secondo un piano di ammortamento a tasso fisso e a rate costanti, comprensive di quota capitale e quota interessi.</w:t>
      </w:r>
    </w:p>
    <w:p w:rsidR="001004AB" w:rsidRDefault="001004AB" w:rsidP="001004AB">
      <w:pPr>
        <w:spacing w:before="100" w:beforeAutospacing="1" w:after="100" w:afterAutospacing="1"/>
        <w:jc w:val="both"/>
        <w:rPr>
          <w:rFonts w:ascii="Arial" w:hAnsi="Arial" w:cs="Arial"/>
          <w:color w:val="FF0000"/>
          <w:sz w:val="22"/>
          <w:szCs w:val="22"/>
        </w:rPr>
      </w:pPr>
    </w:p>
    <w:p w:rsidR="000D5C03" w:rsidRDefault="000D5C03" w:rsidP="001004AB">
      <w:pPr>
        <w:spacing w:before="100" w:beforeAutospacing="1" w:after="100" w:afterAutospacing="1"/>
        <w:jc w:val="both"/>
        <w:rPr>
          <w:rFonts w:ascii="Arial" w:hAnsi="Arial" w:cs="Arial"/>
          <w:color w:val="FF0000"/>
          <w:sz w:val="22"/>
          <w:szCs w:val="22"/>
        </w:rPr>
      </w:pPr>
    </w:p>
    <w:p w:rsidR="000D5C03" w:rsidRDefault="000D5C03" w:rsidP="001004AB">
      <w:pPr>
        <w:spacing w:before="100" w:beforeAutospacing="1" w:after="100" w:afterAutospacing="1"/>
        <w:jc w:val="both"/>
        <w:rPr>
          <w:rFonts w:ascii="Arial" w:hAnsi="Arial" w:cs="Arial"/>
          <w:color w:val="FF0000"/>
          <w:sz w:val="22"/>
          <w:szCs w:val="22"/>
        </w:rPr>
      </w:pPr>
    </w:p>
    <w:p w:rsidR="000D5C03" w:rsidRDefault="000D5C03" w:rsidP="001004AB">
      <w:pPr>
        <w:spacing w:before="100" w:beforeAutospacing="1" w:after="100" w:afterAutospacing="1"/>
        <w:jc w:val="both"/>
        <w:rPr>
          <w:rFonts w:ascii="Arial" w:hAnsi="Arial" w:cs="Arial"/>
          <w:color w:val="FF0000"/>
          <w:sz w:val="22"/>
          <w:szCs w:val="22"/>
        </w:rPr>
      </w:pPr>
    </w:p>
    <w:p w:rsidR="000D5C03" w:rsidRDefault="000D5C03" w:rsidP="001004AB">
      <w:pPr>
        <w:spacing w:before="100" w:beforeAutospacing="1" w:after="100" w:afterAutospacing="1"/>
        <w:jc w:val="both"/>
        <w:rPr>
          <w:rFonts w:ascii="Arial" w:hAnsi="Arial" w:cs="Arial"/>
          <w:color w:val="FF0000"/>
          <w:sz w:val="22"/>
          <w:szCs w:val="22"/>
        </w:rPr>
      </w:pPr>
    </w:p>
    <w:p w:rsidR="000D5C03" w:rsidRDefault="000D5C03" w:rsidP="001004AB">
      <w:pPr>
        <w:spacing w:before="100" w:beforeAutospacing="1" w:after="100" w:afterAutospacing="1"/>
        <w:jc w:val="both"/>
        <w:rPr>
          <w:rFonts w:ascii="Arial" w:hAnsi="Arial" w:cs="Arial"/>
          <w:color w:val="FF0000"/>
          <w:sz w:val="22"/>
          <w:szCs w:val="22"/>
        </w:rPr>
      </w:pPr>
    </w:p>
    <w:p w:rsidR="007C28ED" w:rsidRDefault="007C28ED">
      <w:pPr>
        <w:rPr>
          <w:rFonts w:ascii="Arial" w:hAnsi="Arial" w:cs="Arial"/>
          <w:color w:val="FF0000"/>
          <w:sz w:val="22"/>
          <w:szCs w:val="22"/>
        </w:rPr>
      </w:pPr>
      <w:r>
        <w:rPr>
          <w:rFonts w:ascii="Arial" w:hAnsi="Arial" w:cs="Arial"/>
          <w:color w:val="FF0000"/>
          <w:sz w:val="22"/>
          <w:szCs w:val="22"/>
        </w:rPr>
        <w:br w:type="page"/>
      </w:r>
    </w:p>
    <w:p w:rsidR="009F6E3E" w:rsidRPr="00D80990" w:rsidRDefault="007F766F">
      <w:pPr>
        <w:pStyle w:val="Titolo1"/>
        <w:shd w:val="clear" w:color="auto" w:fill="B6DDE8" w:themeFill="accent5" w:themeFillTint="66"/>
        <w:rPr>
          <w:sz w:val="32"/>
          <w:szCs w:val="32"/>
        </w:rPr>
      </w:pPr>
      <w:bookmarkStart w:id="83" w:name="_Toc408988076"/>
      <w:bookmarkStart w:id="84" w:name="_Toc535487629"/>
      <w:r w:rsidRPr="00D80990">
        <w:rPr>
          <w:sz w:val="32"/>
          <w:szCs w:val="32"/>
        </w:rPr>
        <w:lastRenderedPageBreak/>
        <w:t>OSSERVAZIONI E SUGGERIMENTI</w:t>
      </w:r>
      <w:bookmarkEnd w:id="83"/>
      <w:bookmarkEnd w:id="84"/>
    </w:p>
    <w:p w:rsidR="00264EAF" w:rsidRPr="00D80990" w:rsidRDefault="00264EAF" w:rsidP="00264EAF">
      <w:pPr>
        <w:tabs>
          <w:tab w:val="left" w:pos="4820"/>
        </w:tabs>
        <w:jc w:val="both"/>
        <w:rPr>
          <w:rFonts w:ascii="Arial" w:hAnsi="Arial" w:cs="Arial"/>
          <w:sz w:val="22"/>
          <w:szCs w:val="22"/>
        </w:rPr>
      </w:pPr>
      <w:r w:rsidRPr="00D80990">
        <w:rPr>
          <w:rFonts w:ascii="Arial" w:hAnsi="Arial" w:cs="Arial"/>
          <w:sz w:val="22"/>
          <w:szCs w:val="22"/>
        </w:rPr>
        <w:t>L’organo di revisione a conclusione delle verifiche esposte nei punti precedenti considera:</w:t>
      </w:r>
    </w:p>
    <w:p w:rsidR="00264EAF" w:rsidRPr="00D80990" w:rsidRDefault="00264EAF" w:rsidP="00264EAF">
      <w:pPr>
        <w:tabs>
          <w:tab w:val="left" w:pos="4820"/>
        </w:tabs>
        <w:jc w:val="both"/>
        <w:rPr>
          <w:rFonts w:ascii="Arial" w:hAnsi="Arial" w:cs="Arial"/>
          <w:sz w:val="20"/>
        </w:rPr>
      </w:pPr>
    </w:p>
    <w:p w:rsidR="00264EAF" w:rsidRPr="00D80990" w:rsidRDefault="00264EAF" w:rsidP="00264EAF">
      <w:pPr>
        <w:tabs>
          <w:tab w:val="left" w:pos="4820"/>
        </w:tabs>
        <w:jc w:val="both"/>
        <w:rPr>
          <w:rFonts w:ascii="Arial" w:hAnsi="Arial" w:cs="Arial"/>
          <w:b/>
          <w:sz w:val="22"/>
          <w:szCs w:val="22"/>
        </w:rPr>
      </w:pPr>
      <w:r w:rsidRPr="00D80990">
        <w:rPr>
          <w:rFonts w:ascii="Arial" w:hAnsi="Arial" w:cs="Arial"/>
          <w:b/>
          <w:sz w:val="22"/>
          <w:szCs w:val="22"/>
        </w:rPr>
        <w:t xml:space="preserve">a)Riguardo alle previsioni di parte corrente </w:t>
      </w:r>
    </w:p>
    <w:p w:rsidR="00264EAF" w:rsidRPr="00D80990" w:rsidRDefault="00264EAF" w:rsidP="00264EAF">
      <w:pPr>
        <w:tabs>
          <w:tab w:val="left" w:pos="4820"/>
        </w:tabs>
        <w:spacing w:line="80" w:lineRule="exact"/>
        <w:jc w:val="both"/>
        <w:rPr>
          <w:rFonts w:ascii="Arial" w:hAnsi="Arial" w:cs="Arial"/>
          <w:sz w:val="22"/>
          <w:szCs w:val="22"/>
        </w:rPr>
      </w:pPr>
    </w:p>
    <w:p w:rsidR="00264EAF" w:rsidRPr="00D80990" w:rsidRDefault="00264EAF" w:rsidP="00264EAF">
      <w:pPr>
        <w:tabs>
          <w:tab w:val="left" w:pos="4820"/>
        </w:tabs>
        <w:jc w:val="both"/>
        <w:rPr>
          <w:rFonts w:ascii="Arial" w:hAnsi="Arial" w:cs="Arial"/>
          <w:sz w:val="22"/>
          <w:szCs w:val="22"/>
        </w:rPr>
      </w:pPr>
      <w:r w:rsidRPr="00D80990">
        <w:rPr>
          <w:rFonts w:ascii="Arial" w:hAnsi="Arial" w:cs="Arial"/>
          <w:sz w:val="22"/>
          <w:szCs w:val="22"/>
        </w:rPr>
        <w:t xml:space="preserve">1) Congrue le previsioni di spesa ed attendibili le entrate previste sulla base:  </w:t>
      </w:r>
    </w:p>
    <w:p w:rsidR="00264EAF" w:rsidRPr="007C28ED" w:rsidRDefault="005D6DE8" w:rsidP="00264EAF">
      <w:pPr>
        <w:pStyle w:val="Paragrafoelenco"/>
        <w:numPr>
          <w:ilvl w:val="0"/>
          <w:numId w:val="19"/>
        </w:numPr>
        <w:jc w:val="both"/>
        <w:rPr>
          <w:rFonts w:ascii="Arial" w:hAnsi="Arial" w:cs="Arial"/>
          <w:sz w:val="22"/>
          <w:szCs w:val="22"/>
        </w:rPr>
      </w:pPr>
      <w:r w:rsidRPr="007C28ED">
        <w:rPr>
          <w:rFonts w:ascii="Arial" w:hAnsi="Arial" w:cs="Arial"/>
          <w:sz w:val="22"/>
          <w:szCs w:val="22"/>
        </w:rPr>
        <w:t xml:space="preserve">delle previsioni definitive 2018-2020; </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della salvaguardia degli equilibri effettuata ai sensi dell'art. 193 del TUEL;</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della modalità di quantificazione e aggiornamento del fondo pluriennale vincolato;</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di eventuali reimputazioni di entrata;</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 xml:space="preserve">del bilancio delle aziende speciali, consorzi, istituzioni e società partecipate; </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 xml:space="preserve">della valutazione del gettito effettivamente accertabile per i diversi cespiti d’entrata; </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dei riflessi delle decisioni già prese e di quelle da effettuare descritte nel DUP;</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degli oneri indotti delle spese in conto capitale;</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degli oneri derivanti dalle assunzioni di prestiti.</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degli effetti derivanti da spese disposte da leggi, contratti ed atti che obbligano giuridicamente l’ente;</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degli effetti derivanti dalla manovra finanziaria che l’ente ha attuato sulle entrate e sulle spese;</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dei vincoli sulle spese e riduzioni dei trasferimenti erariali;</w:t>
      </w:r>
    </w:p>
    <w:p w:rsidR="00264EAF" w:rsidRPr="00792A6A" w:rsidRDefault="000D5C03" w:rsidP="00264EAF">
      <w:pPr>
        <w:pStyle w:val="Paragrafoelenco"/>
        <w:numPr>
          <w:ilvl w:val="0"/>
          <w:numId w:val="19"/>
        </w:numPr>
        <w:jc w:val="both"/>
        <w:rPr>
          <w:rFonts w:ascii="Arial" w:hAnsi="Arial" w:cs="Arial"/>
          <w:color w:val="000000" w:themeColor="text1"/>
          <w:sz w:val="22"/>
          <w:szCs w:val="22"/>
        </w:rPr>
      </w:pPr>
      <w:r>
        <w:rPr>
          <w:rFonts w:ascii="Arial" w:hAnsi="Arial" w:cs="Arial"/>
          <w:sz w:val="22"/>
          <w:szCs w:val="22"/>
        </w:rPr>
        <w:t>del</w:t>
      </w:r>
      <w:r w:rsidR="00264EAF" w:rsidRPr="00D80990">
        <w:rPr>
          <w:rFonts w:ascii="Arial" w:hAnsi="Arial" w:cs="Arial"/>
          <w:sz w:val="22"/>
          <w:szCs w:val="22"/>
        </w:rPr>
        <w:t xml:space="preserve"> rispetto delle norme relative al concorso degli enti locali alla realizzazione degli obiettivi di finanza pubblica</w:t>
      </w:r>
      <w:r w:rsidR="001004AB">
        <w:rPr>
          <w:rFonts w:ascii="Arial" w:hAnsi="Arial" w:cs="Arial"/>
          <w:sz w:val="22"/>
          <w:szCs w:val="22"/>
        </w:rPr>
        <w:t xml:space="preserve"> tenuto </w:t>
      </w:r>
      <w:r w:rsidR="001004AB" w:rsidRPr="00792A6A">
        <w:rPr>
          <w:rFonts w:ascii="Arial" w:hAnsi="Arial" w:cs="Arial"/>
          <w:color w:val="000000" w:themeColor="text1"/>
          <w:sz w:val="22"/>
          <w:szCs w:val="22"/>
        </w:rPr>
        <w:t>conto della Legge 145/2018</w:t>
      </w:r>
      <w:r w:rsidR="00264EAF" w:rsidRPr="00792A6A">
        <w:rPr>
          <w:rFonts w:ascii="Arial" w:hAnsi="Arial" w:cs="Arial"/>
          <w:color w:val="000000" w:themeColor="text1"/>
          <w:sz w:val="22"/>
          <w:szCs w:val="22"/>
        </w:rPr>
        <w:t>;</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della quantificazione del fondo crediti di dubbia esigibilità;</w:t>
      </w:r>
    </w:p>
    <w:p w:rsidR="00264EAF" w:rsidRPr="00D80990" w:rsidRDefault="00264EAF" w:rsidP="00264EAF">
      <w:pPr>
        <w:pStyle w:val="Paragrafoelenco"/>
        <w:numPr>
          <w:ilvl w:val="0"/>
          <w:numId w:val="19"/>
        </w:numPr>
        <w:jc w:val="both"/>
        <w:rPr>
          <w:rFonts w:ascii="Arial" w:hAnsi="Arial" w:cs="Arial"/>
          <w:sz w:val="22"/>
          <w:szCs w:val="22"/>
        </w:rPr>
      </w:pPr>
      <w:r w:rsidRPr="00D80990">
        <w:rPr>
          <w:rFonts w:ascii="Arial" w:hAnsi="Arial" w:cs="Arial"/>
          <w:sz w:val="22"/>
          <w:szCs w:val="22"/>
        </w:rPr>
        <w:t>della quantificazione degli accantonamenti per passività potenziali;</w:t>
      </w:r>
    </w:p>
    <w:p w:rsidR="00264EAF" w:rsidRPr="00D80990" w:rsidRDefault="00264EAF" w:rsidP="00264EAF">
      <w:pPr>
        <w:pStyle w:val="Paragrafoelenco"/>
        <w:numPr>
          <w:ilvl w:val="0"/>
          <w:numId w:val="19"/>
        </w:numPr>
        <w:jc w:val="both"/>
        <w:rPr>
          <w:rFonts w:ascii="Arial" w:hAnsi="Arial" w:cs="Arial"/>
          <w:color w:val="0000FF"/>
          <w:sz w:val="22"/>
          <w:szCs w:val="22"/>
        </w:rPr>
      </w:pPr>
      <w:r w:rsidRPr="00D80990">
        <w:rPr>
          <w:rFonts w:ascii="Arial" w:hAnsi="Arial" w:cs="Arial"/>
          <w:sz w:val="22"/>
          <w:szCs w:val="22"/>
        </w:rPr>
        <w:t>dei seguenti elementi</w:t>
      </w:r>
      <w:r w:rsidRPr="00D80990">
        <w:rPr>
          <w:rFonts w:ascii="Arial" w:hAnsi="Arial" w:cs="Arial"/>
          <w:color w:val="00B0F0"/>
          <w:sz w:val="22"/>
          <w:szCs w:val="22"/>
        </w:rPr>
        <w:t>(</w:t>
      </w:r>
      <w:r w:rsidRPr="00D80990">
        <w:rPr>
          <w:rFonts w:ascii="Arial" w:hAnsi="Arial" w:cs="Arial"/>
          <w:i/>
          <w:color w:val="00B0F0"/>
          <w:sz w:val="22"/>
          <w:szCs w:val="22"/>
        </w:rPr>
        <w:t>indicati nella nota integrativa o rilevati dall’organo di revisione nel suo operato</w:t>
      </w:r>
      <w:r w:rsidRPr="00D80990">
        <w:rPr>
          <w:rFonts w:ascii="Arial" w:hAnsi="Arial" w:cs="Arial"/>
          <w:color w:val="00B0F0"/>
          <w:sz w:val="22"/>
          <w:szCs w:val="22"/>
        </w:rPr>
        <w:t>)</w:t>
      </w:r>
      <w:r w:rsidRPr="00D80990">
        <w:rPr>
          <w:rFonts w:ascii="Arial" w:hAnsi="Arial" w:cs="Arial"/>
          <w:color w:val="0000FF"/>
          <w:sz w:val="22"/>
          <w:szCs w:val="22"/>
        </w:rPr>
        <w:t>:</w:t>
      </w:r>
    </w:p>
    <w:p w:rsidR="00264EAF" w:rsidRPr="00D80990" w:rsidRDefault="00264EAF" w:rsidP="00264EAF">
      <w:pPr>
        <w:jc w:val="both"/>
        <w:rPr>
          <w:rFonts w:ascii="Arial" w:hAnsi="Arial" w:cs="Arial"/>
          <w:color w:val="0000FF"/>
          <w:sz w:val="20"/>
        </w:rPr>
      </w:pPr>
    </w:p>
    <w:p w:rsidR="00264EAF" w:rsidRPr="00D80990" w:rsidRDefault="00264EAF" w:rsidP="00264EAF">
      <w:pPr>
        <w:tabs>
          <w:tab w:val="left" w:pos="4820"/>
        </w:tabs>
        <w:spacing w:line="80" w:lineRule="exact"/>
        <w:rPr>
          <w:rFonts w:ascii="Arial" w:hAnsi="Arial" w:cs="Arial"/>
          <w:sz w:val="20"/>
        </w:rPr>
      </w:pPr>
    </w:p>
    <w:p w:rsidR="00264EAF" w:rsidRPr="00D80990" w:rsidRDefault="00264EAF" w:rsidP="00264EAF">
      <w:pPr>
        <w:pBdr>
          <w:top w:val="outset" w:sz="6" w:space="1" w:color="auto"/>
          <w:left w:val="outset" w:sz="6" w:space="4" w:color="auto"/>
          <w:bottom w:val="inset" w:sz="6" w:space="1" w:color="auto"/>
          <w:right w:val="inset" w:sz="6" w:space="4" w:color="auto"/>
        </w:pBdr>
        <w:rPr>
          <w:rFonts w:ascii="Arial" w:hAnsi="Arial" w:cs="Arial"/>
          <w:i/>
          <w:sz w:val="20"/>
          <w:szCs w:val="18"/>
        </w:rPr>
      </w:pPr>
      <w:r w:rsidRPr="00D80990">
        <w:rPr>
          <w:rFonts w:ascii="Arial" w:hAnsi="Arial" w:cs="Arial"/>
          <w:i/>
          <w:sz w:val="20"/>
          <w:szCs w:val="18"/>
        </w:rPr>
        <w:t>(oppure)</w:t>
      </w:r>
    </w:p>
    <w:p w:rsidR="00264EAF" w:rsidRPr="00D80990" w:rsidRDefault="00264EAF" w:rsidP="00264EAF">
      <w:pPr>
        <w:pBdr>
          <w:top w:val="outset" w:sz="6" w:space="1" w:color="auto"/>
          <w:left w:val="outset" w:sz="6" w:space="4" w:color="auto"/>
          <w:bottom w:val="inset" w:sz="6" w:space="1" w:color="auto"/>
          <w:right w:val="inset" w:sz="6" w:space="4" w:color="auto"/>
        </w:pBdr>
        <w:rPr>
          <w:rFonts w:ascii="Arial" w:hAnsi="Arial" w:cs="Arial"/>
          <w:i/>
          <w:sz w:val="20"/>
          <w:szCs w:val="18"/>
        </w:rPr>
      </w:pPr>
    </w:p>
    <w:p w:rsidR="00264EAF" w:rsidRPr="00D80990" w:rsidRDefault="00264EAF" w:rsidP="00264EAF">
      <w:pPr>
        <w:pBdr>
          <w:top w:val="outset" w:sz="6" w:space="1" w:color="auto"/>
          <w:left w:val="outset" w:sz="6" w:space="4" w:color="auto"/>
          <w:bottom w:val="inset" w:sz="6" w:space="1" w:color="auto"/>
          <w:right w:val="inset" w:sz="6" w:space="4" w:color="auto"/>
        </w:pBdr>
        <w:jc w:val="both"/>
        <w:rPr>
          <w:rFonts w:ascii="Arial" w:hAnsi="Arial" w:cs="Arial"/>
          <w:sz w:val="22"/>
          <w:szCs w:val="22"/>
        </w:rPr>
      </w:pPr>
      <w:r w:rsidRPr="00D80990">
        <w:rPr>
          <w:rFonts w:ascii="Arial" w:hAnsi="Arial" w:cs="Arial"/>
          <w:sz w:val="20"/>
          <w:szCs w:val="18"/>
        </w:rPr>
        <w:t xml:space="preserve">1.bis) </w:t>
      </w:r>
      <w:r w:rsidRPr="00D80990">
        <w:rPr>
          <w:rFonts w:ascii="Arial" w:hAnsi="Arial" w:cs="Arial"/>
          <w:sz w:val="22"/>
          <w:szCs w:val="22"/>
        </w:rPr>
        <w:t xml:space="preserve">Che le previsioni di entrata e spesa corrente, pur complessivamente attendibili e congrue, devono essere verificate relativamente alle seguenti voci, tenendo conto delle proposte e suggerimenti dell’organo di revisione, adottando immediato provvedimento di riequilibrio nel caso si rivelassero eccedenti o insufficienti per mantenere l'equilibrio economico-finanziario complessivo: </w:t>
      </w:r>
    </w:p>
    <w:p w:rsidR="00264EAF" w:rsidRPr="00D80990" w:rsidRDefault="00264EAF" w:rsidP="00264EAF">
      <w:pPr>
        <w:pBdr>
          <w:top w:val="outset" w:sz="6" w:space="1" w:color="auto"/>
          <w:left w:val="outset" w:sz="6" w:space="4" w:color="auto"/>
          <w:bottom w:val="inset" w:sz="6" w:space="1" w:color="auto"/>
          <w:right w:val="inset" w:sz="6" w:space="4" w:color="auto"/>
        </w:pBdr>
        <w:tabs>
          <w:tab w:val="left" w:pos="4820"/>
        </w:tabs>
        <w:spacing w:line="80" w:lineRule="exact"/>
        <w:rPr>
          <w:rFonts w:ascii="Arial" w:hAnsi="Arial" w:cs="Arial"/>
          <w:sz w:val="22"/>
          <w:szCs w:val="22"/>
        </w:rPr>
      </w:pPr>
    </w:p>
    <w:p w:rsidR="00264EAF" w:rsidRPr="00D80990" w:rsidRDefault="00264EAF" w:rsidP="00264EAF">
      <w:pPr>
        <w:pBdr>
          <w:top w:val="outset" w:sz="6" w:space="1" w:color="auto"/>
          <w:left w:val="outset" w:sz="6" w:space="4" w:color="auto"/>
          <w:bottom w:val="inset" w:sz="6" w:space="1" w:color="auto"/>
          <w:right w:val="inset" w:sz="6" w:space="4" w:color="auto"/>
        </w:pBdr>
        <w:rPr>
          <w:rFonts w:ascii="Arial" w:hAnsi="Arial" w:cs="Arial"/>
          <w:sz w:val="22"/>
          <w:szCs w:val="22"/>
        </w:rPr>
      </w:pPr>
      <w:r w:rsidRPr="00D80990">
        <w:rPr>
          <w:rFonts w:ascii="Arial" w:hAnsi="Arial" w:cs="Arial"/>
          <w:sz w:val="22"/>
          <w:szCs w:val="22"/>
        </w:rPr>
        <w:t>entrate </w:t>
      </w:r>
      <w:r w:rsidRPr="00D80990">
        <w:rPr>
          <w:rFonts w:ascii="Arial" w:hAnsi="Arial" w:cs="Arial"/>
          <w:sz w:val="22"/>
          <w:szCs w:val="22"/>
        </w:rPr>
        <w:tab/>
      </w:r>
      <w:r w:rsidRPr="00D80990">
        <w:rPr>
          <w:rFonts w:ascii="Arial" w:hAnsi="Arial" w:cs="Arial"/>
          <w:sz w:val="22"/>
          <w:szCs w:val="22"/>
        </w:rPr>
        <w:tab/>
        <w:t xml:space="preserve">             spese </w:t>
      </w:r>
    </w:p>
    <w:p w:rsidR="00264EAF" w:rsidRPr="00D80990" w:rsidRDefault="00264EAF" w:rsidP="00264EAF">
      <w:pPr>
        <w:pBdr>
          <w:top w:val="outset" w:sz="6" w:space="1" w:color="auto"/>
          <w:left w:val="outset" w:sz="6" w:space="4" w:color="auto"/>
          <w:bottom w:val="inset" w:sz="6" w:space="1" w:color="auto"/>
          <w:right w:val="inset" w:sz="6" w:space="4" w:color="auto"/>
        </w:pBdr>
        <w:rPr>
          <w:rFonts w:ascii="Arial" w:hAnsi="Arial" w:cs="Arial"/>
          <w:sz w:val="22"/>
          <w:szCs w:val="22"/>
        </w:rPr>
      </w:pPr>
      <w:r w:rsidRPr="00D80990">
        <w:rPr>
          <w:rFonts w:ascii="Arial" w:hAnsi="Arial" w:cs="Arial"/>
          <w:sz w:val="22"/>
          <w:szCs w:val="22"/>
        </w:rPr>
        <w:t>....................</w:t>
      </w:r>
      <w:r w:rsidRPr="00D80990">
        <w:rPr>
          <w:rFonts w:ascii="Arial" w:hAnsi="Arial" w:cs="Arial"/>
          <w:sz w:val="22"/>
          <w:szCs w:val="22"/>
        </w:rPr>
        <w:tab/>
      </w:r>
      <w:r w:rsidRPr="00D80990">
        <w:rPr>
          <w:rFonts w:ascii="Arial" w:hAnsi="Arial" w:cs="Arial"/>
          <w:sz w:val="22"/>
          <w:szCs w:val="22"/>
        </w:rPr>
        <w:tab/>
        <w:t>.................</w:t>
      </w:r>
    </w:p>
    <w:p w:rsidR="00264EAF" w:rsidRPr="00D80990" w:rsidRDefault="00264EAF" w:rsidP="00264EAF">
      <w:pPr>
        <w:tabs>
          <w:tab w:val="left" w:pos="4820"/>
        </w:tabs>
        <w:jc w:val="both"/>
        <w:rPr>
          <w:rFonts w:ascii="Arial" w:hAnsi="Arial" w:cs="Arial"/>
          <w:i/>
          <w:sz w:val="16"/>
        </w:rPr>
      </w:pPr>
    </w:p>
    <w:p w:rsidR="00264EAF" w:rsidRPr="00D80990" w:rsidRDefault="00264EAF" w:rsidP="00264EAF">
      <w:pPr>
        <w:tabs>
          <w:tab w:val="left" w:pos="4820"/>
        </w:tabs>
        <w:jc w:val="both"/>
        <w:rPr>
          <w:rFonts w:ascii="Arial" w:hAnsi="Arial" w:cs="Arial"/>
          <w:i/>
          <w:color w:val="00B0F0"/>
          <w:sz w:val="20"/>
          <w:szCs w:val="20"/>
          <w:u w:val="single"/>
        </w:rPr>
      </w:pPr>
      <w:r w:rsidRPr="00D80990">
        <w:rPr>
          <w:rFonts w:ascii="Arial" w:hAnsi="Arial" w:cs="Arial"/>
          <w:i/>
          <w:color w:val="00B0F0"/>
          <w:sz w:val="20"/>
          <w:szCs w:val="20"/>
        </w:rPr>
        <w:t>(N.B. Proporre il termine del 30/6/201</w:t>
      </w:r>
      <w:r>
        <w:rPr>
          <w:rFonts w:ascii="Arial" w:hAnsi="Arial" w:cs="Arial"/>
          <w:i/>
          <w:color w:val="00B0F0"/>
          <w:sz w:val="20"/>
          <w:szCs w:val="20"/>
        </w:rPr>
        <w:t>9</w:t>
      </w:r>
      <w:r w:rsidRPr="00D80990">
        <w:rPr>
          <w:rFonts w:ascii="Arial" w:hAnsi="Arial" w:cs="Arial"/>
          <w:i/>
          <w:color w:val="00B0F0"/>
          <w:sz w:val="20"/>
          <w:szCs w:val="20"/>
        </w:rPr>
        <w:t>, per la verifica delle entrate eventuali e indicare quali spese sono autorizzate a condizione. Esempi di entrate eventuali potrebbero essere: gettito arretrato di tributi aboliti, entrate per recupero evasione tributaria, IMU, TASI e TARI, fondo di solidarietà, trasferimenti di enti o privati, contributo per rilascio permesso di costruire, sanzioni per contravvenzione al codice della strada, dividendi da società partecipate</w:t>
      </w:r>
      <w:r w:rsidRPr="00D80990">
        <w:rPr>
          <w:rFonts w:ascii="Arial" w:hAnsi="Arial" w:cs="Arial"/>
          <w:i/>
          <w:color w:val="00B0F0"/>
          <w:sz w:val="20"/>
          <w:szCs w:val="20"/>
          <w:u w:val="single"/>
        </w:rPr>
        <w:t>)</w:t>
      </w:r>
    </w:p>
    <w:p w:rsidR="00264EAF" w:rsidRPr="00D80990" w:rsidRDefault="00264EAF" w:rsidP="00264EAF">
      <w:pPr>
        <w:tabs>
          <w:tab w:val="left" w:pos="4820"/>
        </w:tabs>
        <w:jc w:val="both"/>
        <w:rPr>
          <w:rFonts w:ascii="Arial" w:hAnsi="Arial" w:cs="Arial"/>
          <w:color w:val="0000FF"/>
        </w:rPr>
      </w:pPr>
    </w:p>
    <w:p w:rsidR="00264EAF" w:rsidRPr="00D80990" w:rsidRDefault="00264EAF" w:rsidP="00264EAF">
      <w:pPr>
        <w:tabs>
          <w:tab w:val="left" w:pos="4820"/>
        </w:tabs>
        <w:spacing w:line="80" w:lineRule="exact"/>
        <w:rPr>
          <w:rFonts w:ascii="Arial" w:hAnsi="Arial" w:cs="Arial"/>
          <w:color w:val="0000FF"/>
          <w:sz w:val="20"/>
        </w:rPr>
      </w:pPr>
    </w:p>
    <w:p w:rsidR="00264EAF" w:rsidRPr="00D80990" w:rsidRDefault="00264EAF" w:rsidP="00264EAF">
      <w:pPr>
        <w:pBdr>
          <w:top w:val="outset" w:sz="6" w:space="1" w:color="auto"/>
          <w:left w:val="outset" w:sz="6" w:space="4" w:color="auto"/>
          <w:bottom w:val="inset" w:sz="6" w:space="1" w:color="auto"/>
          <w:right w:val="inset" w:sz="6" w:space="4" w:color="auto"/>
        </w:pBdr>
        <w:rPr>
          <w:rFonts w:ascii="Arial" w:hAnsi="Arial" w:cs="Arial"/>
          <w:i/>
          <w:sz w:val="20"/>
          <w:szCs w:val="18"/>
        </w:rPr>
      </w:pPr>
      <w:r w:rsidRPr="00D80990">
        <w:rPr>
          <w:rFonts w:ascii="Arial" w:hAnsi="Arial" w:cs="Arial"/>
          <w:i/>
          <w:sz w:val="20"/>
          <w:szCs w:val="18"/>
        </w:rPr>
        <w:t>(oppure)</w:t>
      </w:r>
    </w:p>
    <w:p w:rsidR="00264EAF" w:rsidRPr="00D80990" w:rsidRDefault="00264EAF" w:rsidP="00264EAF">
      <w:pPr>
        <w:pBdr>
          <w:top w:val="outset" w:sz="6" w:space="1" w:color="auto"/>
          <w:left w:val="outset" w:sz="6" w:space="4" w:color="auto"/>
          <w:bottom w:val="inset" w:sz="6" w:space="1" w:color="auto"/>
          <w:right w:val="inset" w:sz="6" w:space="4" w:color="auto"/>
        </w:pBdr>
        <w:rPr>
          <w:rFonts w:ascii="Arial" w:hAnsi="Arial" w:cs="Arial"/>
          <w:i/>
          <w:sz w:val="20"/>
          <w:szCs w:val="18"/>
        </w:rPr>
      </w:pPr>
    </w:p>
    <w:p w:rsidR="00264EAF" w:rsidRPr="00D80990" w:rsidRDefault="00264EAF" w:rsidP="00264EAF">
      <w:pPr>
        <w:pBdr>
          <w:top w:val="outset" w:sz="6" w:space="1" w:color="auto"/>
          <w:left w:val="outset" w:sz="6" w:space="4" w:color="auto"/>
          <w:bottom w:val="inset" w:sz="6" w:space="1" w:color="auto"/>
          <w:right w:val="inset" w:sz="6" w:space="4" w:color="auto"/>
        </w:pBdr>
        <w:jc w:val="both"/>
        <w:rPr>
          <w:rFonts w:ascii="Arial" w:hAnsi="Arial" w:cs="Arial"/>
          <w:sz w:val="22"/>
          <w:szCs w:val="22"/>
        </w:rPr>
      </w:pPr>
      <w:r w:rsidRPr="00D80990">
        <w:rPr>
          <w:rFonts w:ascii="Arial" w:hAnsi="Arial" w:cs="Arial"/>
          <w:sz w:val="20"/>
          <w:szCs w:val="18"/>
        </w:rPr>
        <w:t xml:space="preserve">1.ter) </w:t>
      </w:r>
      <w:r w:rsidRPr="00D80990">
        <w:rPr>
          <w:rFonts w:ascii="Arial" w:hAnsi="Arial" w:cs="Arial"/>
          <w:sz w:val="22"/>
          <w:szCs w:val="22"/>
        </w:rPr>
        <w:t>Che la congruità e l'attendibilità delle seguenti previsioni non è fondata su provvedimenti che consentono di ritenere attendibile l’entrata, mentre la spesa prevista non appare congrua tenendo conto:</w:t>
      </w:r>
    </w:p>
    <w:p w:rsidR="00264EAF" w:rsidRPr="00D80990" w:rsidRDefault="00264EAF" w:rsidP="00264EAF">
      <w:pPr>
        <w:numPr>
          <w:ilvl w:val="0"/>
          <w:numId w:val="5"/>
        </w:numPr>
        <w:pBdr>
          <w:top w:val="outset" w:sz="6" w:space="1" w:color="auto"/>
          <w:left w:val="outset" w:sz="6" w:space="4" w:color="auto"/>
          <w:bottom w:val="inset" w:sz="6" w:space="1" w:color="auto"/>
          <w:right w:val="inset" w:sz="6" w:space="4" w:color="auto"/>
        </w:pBdr>
        <w:jc w:val="both"/>
        <w:rPr>
          <w:rFonts w:ascii="Arial" w:hAnsi="Arial" w:cs="Arial"/>
          <w:sz w:val="22"/>
          <w:szCs w:val="22"/>
        </w:rPr>
      </w:pPr>
      <w:r w:rsidRPr="00D80990">
        <w:rPr>
          <w:rFonts w:ascii="Arial" w:hAnsi="Arial" w:cs="Arial"/>
          <w:sz w:val="22"/>
          <w:szCs w:val="22"/>
        </w:rPr>
        <w:t>delle obbligazioni assunte e da assumere in relazione agli obiettivi stabiliti negli atti di programmazione dell’ente;</w:t>
      </w:r>
    </w:p>
    <w:p w:rsidR="00264EAF" w:rsidRPr="00D80990" w:rsidRDefault="00264EAF" w:rsidP="00264EAF">
      <w:pPr>
        <w:numPr>
          <w:ilvl w:val="0"/>
          <w:numId w:val="5"/>
        </w:numPr>
        <w:pBdr>
          <w:top w:val="outset" w:sz="6" w:space="1" w:color="auto"/>
          <w:left w:val="outset" w:sz="6" w:space="4" w:color="auto"/>
          <w:bottom w:val="inset" w:sz="6" w:space="1" w:color="auto"/>
          <w:right w:val="inset" w:sz="6" w:space="4" w:color="auto"/>
        </w:pBdr>
        <w:jc w:val="both"/>
        <w:rPr>
          <w:rFonts w:ascii="Arial" w:hAnsi="Arial" w:cs="Arial"/>
          <w:sz w:val="22"/>
          <w:szCs w:val="22"/>
        </w:rPr>
      </w:pPr>
      <w:r w:rsidRPr="00D80990">
        <w:rPr>
          <w:rFonts w:ascii="Arial" w:hAnsi="Arial" w:cs="Arial"/>
          <w:sz w:val="22"/>
          <w:szCs w:val="22"/>
        </w:rPr>
        <w:t>ai vincoli di finanza pubblica;</w:t>
      </w:r>
    </w:p>
    <w:p w:rsidR="00264EAF" w:rsidRPr="00D80990" w:rsidRDefault="00264EAF" w:rsidP="00264EAF">
      <w:pPr>
        <w:numPr>
          <w:ilvl w:val="0"/>
          <w:numId w:val="5"/>
        </w:numPr>
        <w:pBdr>
          <w:top w:val="outset" w:sz="6" w:space="1" w:color="auto"/>
          <w:left w:val="outset" w:sz="6" w:space="4" w:color="auto"/>
          <w:bottom w:val="inset" w:sz="6" w:space="1" w:color="auto"/>
          <w:right w:val="inset" w:sz="6" w:space="4" w:color="auto"/>
        </w:pBdr>
        <w:jc w:val="both"/>
        <w:rPr>
          <w:rFonts w:ascii="Arial" w:hAnsi="Arial" w:cs="Arial"/>
          <w:sz w:val="22"/>
          <w:szCs w:val="22"/>
        </w:rPr>
      </w:pPr>
      <w:r w:rsidRPr="00D80990">
        <w:rPr>
          <w:rFonts w:ascii="Arial" w:hAnsi="Arial" w:cs="Arial"/>
          <w:sz w:val="22"/>
          <w:szCs w:val="22"/>
        </w:rPr>
        <w:t>alla necessità di finanziare o ricapitalizzare i seguenti organismi partecipati …….;</w:t>
      </w:r>
    </w:p>
    <w:p w:rsidR="00264EAF" w:rsidRPr="00D80990" w:rsidRDefault="00264EAF" w:rsidP="00264EAF">
      <w:pPr>
        <w:numPr>
          <w:ilvl w:val="0"/>
          <w:numId w:val="5"/>
        </w:numPr>
        <w:pBdr>
          <w:top w:val="outset" w:sz="6" w:space="1" w:color="auto"/>
          <w:left w:val="outset" w:sz="6" w:space="4" w:color="auto"/>
          <w:bottom w:val="inset" w:sz="6" w:space="1" w:color="auto"/>
          <w:right w:val="inset" w:sz="6" w:space="4" w:color="auto"/>
        </w:pBdr>
        <w:jc w:val="both"/>
        <w:rPr>
          <w:rFonts w:ascii="Arial" w:hAnsi="Arial" w:cs="Arial"/>
          <w:sz w:val="22"/>
          <w:szCs w:val="22"/>
        </w:rPr>
      </w:pPr>
      <w:r w:rsidRPr="00D80990">
        <w:rPr>
          <w:rFonts w:ascii="Arial" w:hAnsi="Arial" w:cs="Arial"/>
          <w:sz w:val="22"/>
          <w:szCs w:val="22"/>
        </w:rPr>
        <w:t>alla necessità di aumentare il fondo crediti di dubbia esigibilità  in relazione all’andamento storico degli accertamenti inesigibili;</w:t>
      </w:r>
    </w:p>
    <w:p w:rsidR="00264EAF" w:rsidRPr="00D80990" w:rsidRDefault="00264EAF" w:rsidP="00264EAF">
      <w:pPr>
        <w:numPr>
          <w:ilvl w:val="0"/>
          <w:numId w:val="5"/>
        </w:numPr>
        <w:pBdr>
          <w:top w:val="outset" w:sz="6" w:space="1" w:color="auto"/>
          <w:left w:val="outset" w:sz="6" w:space="4" w:color="auto"/>
          <w:bottom w:val="inset" w:sz="6" w:space="1" w:color="auto"/>
          <w:right w:val="inset" w:sz="6" w:space="4" w:color="auto"/>
        </w:pBdr>
        <w:jc w:val="both"/>
        <w:rPr>
          <w:rFonts w:ascii="Arial" w:hAnsi="Arial" w:cs="Arial"/>
          <w:sz w:val="22"/>
          <w:szCs w:val="22"/>
        </w:rPr>
      </w:pPr>
      <w:r w:rsidRPr="00D80990">
        <w:rPr>
          <w:rFonts w:ascii="Arial" w:hAnsi="Arial" w:cs="Arial"/>
          <w:sz w:val="22"/>
          <w:szCs w:val="22"/>
        </w:rPr>
        <w:lastRenderedPageBreak/>
        <w:t>alla necessità di finanziare debiti fuori bilancio o passività potenziali probabili.</w:t>
      </w:r>
    </w:p>
    <w:p w:rsidR="00264EAF" w:rsidRPr="00D80990" w:rsidRDefault="00264EAF" w:rsidP="00264EAF">
      <w:pPr>
        <w:pBdr>
          <w:top w:val="outset" w:sz="6" w:space="1" w:color="auto"/>
          <w:left w:val="outset" w:sz="6" w:space="4" w:color="auto"/>
          <w:bottom w:val="inset" w:sz="6" w:space="1" w:color="auto"/>
          <w:right w:val="inset" w:sz="6" w:space="4" w:color="auto"/>
        </w:pBdr>
        <w:spacing w:before="120"/>
        <w:jc w:val="both"/>
        <w:rPr>
          <w:rFonts w:ascii="Arial" w:hAnsi="Arial" w:cs="Arial"/>
          <w:sz w:val="22"/>
          <w:szCs w:val="22"/>
        </w:rPr>
      </w:pPr>
      <w:r w:rsidRPr="00D80990">
        <w:rPr>
          <w:rFonts w:ascii="Arial" w:hAnsi="Arial" w:cs="Arial"/>
          <w:sz w:val="22"/>
          <w:szCs w:val="22"/>
        </w:rPr>
        <w:t xml:space="preserve">per cui si invita il Consiglio a adottare le misure correttive o i provvedimenti di seguito indicati:  </w:t>
      </w:r>
    </w:p>
    <w:p w:rsidR="00264EAF" w:rsidRPr="00D80990" w:rsidRDefault="00264EAF" w:rsidP="00264EAF">
      <w:pPr>
        <w:pBdr>
          <w:top w:val="outset" w:sz="6" w:space="1" w:color="auto"/>
          <w:left w:val="outset" w:sz="6" w:space="4" w:color="auto"/>
          <w:bottom w:val="inset" w:sz="6" w:space="1" w:color="auto"/>
          <w:right w:val="inset" w:sz="6" w:space="4" w:color="auto"/>
        </w:pBdr>
        <w:tabs>
          <w:tab w:val="left" w:pos="4820"/>
        </w:tabs>
        <w:spacing w:line="80" w:lineRule="exact"/>
        <w:rPr>
          <w:rFonts w:ascii="Arial" w:hAnsi="Arial" w:cs="Arial"/>
          <w:sz w:val="22"/>
          <w:szCs w:val="22"/>
        </w:rPr>
      </w:pPr>
    </w:p>
    <w:p w:rsidR="00264EAF" w:rsidRPr="00D80990" w:rsidRDefault="00264EAF" w:rsidP="00264EAF">
      <w:pPr>
        <w:pBdr>
          <w:top w:val="outset" w:sz="6" w:space="1" w:color="auto"/>
          <w:left w:val="outset" w:sz="6" w:space="4" w:color="auto"/>
          <w:bottom w:val="inset" w:sz="6" w:space="1" w:color="auto"/>
          <w:right w:val="inset" w:sz="6" w:space="4" w:color="auto"/>
        </w:pBdr>
        <w:rPr>
          <w:rFonts w:ascii="Arial" w:hAnsi="Arial" w:cs="Arial"/>
          <w:sz w:val="22"/>
          <w:szCs w:val="22"/>
        </w:rPr>
      </w:pPr>
      <w:r w:rsidRPr="00D80990">
        <w:rPr>
          <w:rFonts w:ascii="Arial" w:hAnsi="Arial" w:cs="Arial"/>
          <w:sz w:val="22"/>
          <w:szCs w:val="22"/>
        </w:rPr>
        <w:t>entrate inattendibili</w:t>
      </w:r>
      <w:r w:rsidRPr="00D80990">
        <w:rPr>
          <w:rFonts w:ascii="Arial" w:hAnsi="Arial" w:cs="Arial"/>
          <w:sz w:val="22"/>
          <w:szCs w:val="22"/>
        </w:rPr>
        <w:tab/>
      </w:r>
      <w:r w:rsidRPr="00D80990">
        <w:rPr>
          <w:rFonts w:ascii="Arial" w:hAnsi="Arial" w:cs="Arial"/>
          <w:sz w:val="22"/>
          <w:szCs w:val="22"/>
        </w:rPr>
        <w:tab/>
        <w:t>spese non congrue</w:t>
      </w:r>
    </w:p>
    <w:p w:rsidR="00264EAF" w:rsidRPr="00D80990" w:rsidRDefault="00264EAF" w:rsidP="00264EAF">
      <w:pPr>
        <w:pBdr>
          <w:top w:val="outset" w:sz="6" w:space="1" w:color="auto"/>
          <w:left w:val="outset" w:sz="6" w:space="4" w:color="auto"/>
          <w:bottom w:val="inset" w:sz="6" w:space="1" w:color="auto"/>
          <w:right w:val="inset" w:sz="6" w:space="4" w:color="auto"/>
        </w:pBdr>
        <w:rPr>
          <w:rFonts w:ascii="Arial" w:hAnsi="Arial" w:cs="Arial"/>
          <w:sz w:val="22"/>
          <w:szCs w:val="22"/>
        </w:rPr>
      </w:pPr>
      <w:r w:rsidRPr="00D80990">
        <w:rPr>
          <w:rFonts w:ascii="Arial" w:hAnsi="Arial" w:cs="Arial"/>
          <w:sz w:val="22"/>
          <w:szCs w:val="22"/>
        </w:rPr>
        <w:t>...........................</w:t>
      </w:r>
      <w:r w:rsidRPr="00D80990">
        <w:rPr>
          <w:rFonts w:ascii="Arial" w:hAnsi="Arial" w:cs="Arial"/>
          <w:sz w:val="22"/>
          <w:szCs w:val="22"/>
        </w:rPr>
        <w:tab/>
      </w:r>
      <w:r w:rsidRPr="00D80990">
        <w:rPr>
          <w:rFonts w:ascii="Arial" w:hAnsi="Arial" w:cs="Arial"/>
          <w:sz w:val="22"/>
          <w:szCs w:val="22"/>
        </w:rPr>
        <w:tab/>
        <w:t>..........................</w:t>
      </w:r>
    </w:p>
    <w:p w:rsidR="00264EAF" w:rsidRPr="00D80990" w:rsidRDefault="00264EAF" w:rsidP="00264EAF">
      <w:pPr>
        <w:pBdr>
          <w:top w:val="outset" w:sz="6" w:space="1" w:color="auto"/>
          <w:left w:val="outset" w:sz="6" w:space="4" w:color="auto"/>
          <w:bottom w:val="inset" w:sz="6" w:space="1" w:color="auto"/>
          <w:right w:val="inset" w:sz="6" w:space="4" w:color="auto"/>
        </w:pBdr>
        <w:tabs>
          <w:tab w:val="left" w:pos="4820"/>
        </w:tabs>
        <w:spacing w:line="80" w:lineRule="exact"/>
        <w:rPr>
          <w:rFonts w:ascii="Arial" w:hAnsi="Arial" w:cs="Arial"/>
          <w:sz w:val="20"/>
          <w:szCs w:val="18"/>
        </w:rPr>
      </w:pPr>
    </w:p>
    <w:p w:rsidR="00264EAF" w:rsidRPr="00D80990" w:rsidRDefault="00264EAF" w:rsidP="00264EAF">
      <w:pPr>
        <w:tabs>
          <w:tab w:val="left" w:pos="4820"/>
        </w:tabs>
        <w:spacing w:line="80" w:lineRule="exact"/>
        <w:rPr>
          <w:rFonts w:ascii="Arial" w:hAnsi="Arial" w:cs="Arial"/>
          <w:sz w:val="20"/>
        </w:rPr>
      </w:pPr>
    </w:p>
    <w:p w:rsidR="00264EAF" w:rsidRPr="00D80990" w:rsidRDefault="00264EAF" w:rsidP="00264EAF">
      <w:pPr>
        <w:tabs>
          <w:tab w:val="left" w:pos="4820"/>
        </w:tabs>
        <w:jc w:val="both"/>
        <w:rPr>
          <w:rFonts w:ascii="Arial" w:hAnsi="Arial" w:cs="Arial"/>
          <w:color w:val="0000FF"/>
          <w:sz w:val="20"/>
        </w:rPr>
      </w:pPr>
    </w:p>
    <w:p w:rsidR="00264EAF" w:rsidRPr="00D80990" w:rsidRDefault="00264EAF" w:rsidP="00264EAF">
      <w:pPr>
        <w:tabs>
          <w:tab w:val="left" w:pos="4820"/>
        </w:tabs>
        <w:jc w:val="both"/>
        <w:rPr>
          <w:rFonts w:ascii="Arial" w:hAnsi="Arial" w:cs="Arial"/>
          <w:i/>
          <w:color w:val="00B0F0"/>
          <w:sz w:val="20"/>
        </w:rPr>
      </w:pPr>
      <w:r w:rsidRPr="00D80990">
        <w:rPr>
          <w:rFonts w:ascii="Arial" w:hAnsi="Arial" w:cs="Arial"/>
          <w:i/>
          <w:color w:val="00B0F0"/>
          <w:sz w:val="20"/>
        </w:rPr>
        <w:t>(N.B. Suggerire le modalità tecniche e le misure da adottarsi con urgenza, per assicurare gli equilibri prevision</w:t>
      </w:r>
      <w:r>
        <w:rPr>
          <w:rFonts w:ascii="Arial" w:hAnsi="Arial" w:cs="Arial"/>
          <w:i/>
          <w:color w:val="00B0F0"/>
          <w:sz w:val="20"/>
        </w:rPr>
        <w:t>al</w:t>
      </w:r>
      <w:r w:rsidRPr="00D80990">
        <w:rPr>
          <w:rFonts w:ascii="Arial" w:hAnsi="Arial" w:cs="Arial"/>
          <w:i/>
          <w:color w:val="00B0F0"/>
          <w:sz w:val="20"/>
        </w:rPr>
        <w:t>i o gestionali, quali ad esempio:</w:t>
      </w:r>
    </w:p>
    <w:p w:rsidR="00264EAF" w:rsidRPr="00D80990" w:rsidRDefault="00264EAF" w:rsidP="00264EAF">
      <w:pPr>
        <w:numPr>
          <w:ilvl w:val="0"/>
          <w:numId w:val="5"/>
        </w:numPr>
        <w:tabs>
          <w:tab w:val="left" w:pos="4820"/>
        </w:tabs>
        <w:spacing w:before="120"/>
        <w:ind w:left="357" w:hanging="357"/>
        <w:jc w:val="both"/>
        <w:rPr>
          <w:rFonts w:ascii="Arial" w:hAnsi="Arial" w:cs="Arial"/>
          <w:i/>
          <w:color w:val="00B0F0"/>
          <w:sz w:val="20"/>
        </w:rPr>
      </w:pPr>
      <w:r w:rsidRPr="00D80990">
        <w:rPr>
          <w:rFonts w:ascii="Arial" w:hAnsi="Arial" w:cs="Arial"/>
          <w:i/>
          <w:color w:val="00B0F0"/>
          <w:sz w:val="20"/>
        </w:rPr>
        <w:t>per le entrate, atti deliberativi di determinazione aliquote, tariffe, canoni ecc., atti d’indirizzo per azioni di recupero di gettito e comunque da riportare a ragionevole certezza la previsione;</w:t>
      </w:r>
    </w:p>
    <w:p w:rsidR="00264EAF" w:rsidRPr="00D80990" w:rsidRDefault="00264EAF" w:rsidP="00264EAF">
      <w:pPr>
        <w:numPr>
          <w:ilvl w:val="0"/>
          <w:numId w:val="7"/>
        </w:numPr>
        <w:tabs>
          <w:tab w:val="left" w:pos="4820"/>
        </w:tabs>
        <w:spacing w:before="120"/>
        <w:ind w:left="357" w:hanging="357"/>
        <w:jc w:val="both"/>
        <w:rPr>
          <w:rFonts w:ascii="Arial" w:hAnsi="Arial" w:cs="Arial"/>
          <w:i/>
          <w:color w:val="00B0F0"/>
          <w:sz w:val="20"/>
        </w:rPr>
      </w:pPr>
      <w:r w:rsidRPr="00D80990">
        <w:rPr>
          <w:rFonts w:ascii="Arial" w:hAnsi="Arial" w:cs="Arial"/>
          <w:i/>
          <w:color w:val="00B0F0"/>
          <w:sz w:val="20"/>
        </w:rPr>
        <w:t xml:space="preserve"> per le spese: a) adeguamento delle previsioni dei fattori produttivi consolidati ed assolutamente necessari per assicurare il funzionamento dei servizi gestiti, quali oneri per il personale derivanti da modifiche normative e contrattuali, spese derivanti da disposizioni di legge, oneri finanziari, ammortamenti, accantonamenti, manutenzioni e riparazioni non rinviabili, per finanziamento o ricapitalizzazione di organismi partecipati; b) riduzione delle previsioni di spesa per fattori produttivi non strettamente necessari oppure rinviabili ad esercizi successivi; c) esternalizzazione di funzioni o servizi pubblici.)</w:t>
      </w:r>
    </w:p>
    <w:p w:rsidR="00264EAF" w:rsidRPr="00D80990" w:rsidRDefault="00264EAF" w:rsidP="00264EAF">
      <w:pPr>
        <w:tabs>
          <w:tab w:val="left" w:pos="4820"/>
        </w:tabs>
        <w:rPr>
          <w:rFonts w:ascii="Arial" w:hAnsi="Arial" w:cs="Arial"/>
          <w:color w:val="0000FF"/>
          <w:sz w:val="20"/>
        </w:rPr>
      </w:pPr>
    </w:p>
    <w:p w:rsidR="00264EAF" w:rsidRPr="00D80990" w:rsidRDefault="00264EAF" w:rsidP="00264EAF">
      <w:pPr>
        <w:rPr>
          <w:rFonts w:ascii="Arial" w:hAnsi="Arial" w:cs="Arial"/>
          <w:b/>
          <w:sz w:val="22"/>
          <w:szCs w:val="22"/>
        </w:rPr>
      </w:pPr>
      <w:r w:rsidRPr="00D80990">
        <w:rPr>
          <w:rFonts w:ascii="Arial" w:hAnsi="Arial" w:cs="Arial"/>
          <w:b/>
          <w:sz w:val="22"/>
          <w:szCs w:val="22"/>
        </w:rPr>
        <w:t>b) Riguardo alle previsioni per investimenti</w:t>
      </w:r>
    </w:p>
    <w:p w:rsidR="00264EAF" w:rsidRPr="00D80990" w:rsidRDefault="00264EAF" w:rsidP="00264EAF">
      <w:pPr>
        <w:tabs>
          <w:tab w:val="left" w:pos="4820"/>
        </w:tabs>
        <w:spacing w:line="80" w:lineRule="exact"/>
        <w:rPr>
          <w:rFonts w:ascii="Arial" w:hAnsi="Arial" w:cs="Arial"/>
          <w:sz w:val="22"/>
          <w:szCs w:val="22"/>
        </w:rPr>
      </w:pPr>
    </w:p>
    <w:p w:rsidR="00264EAF" w:rsidRPr="00D80990" w:rsidRDefault="00264EAF" w:rsidP="00264EAF">
      <w:pPr>
        <w:jc w:val="both"/>
        <w:rPr>
          <w:rFonts w:ascii="Arial" w:hAnsi="Arial" w:cs="Arial"/>
          <w:sz w:val="22"/>
          <w:szCs w:val="22"/>
        </w:rPr>
      </w:pPr>
      <w:r w:rsidRPr="00D80990">
        <w:rPr>
          <w:rFonts w:ascii="Arial" w:hAnsi="Arial" w:cs="Arial"/>
          <w:sz w:val="22"/>
          <w:szCs w:val="22"/>
        </w:rPr>
        <w:t>Conforme la previsione dei mezzi di copertura finanziaria e delle spese per investimenti, compreso la modalità di quantificazione e aggiornamento del fondo pluriennale vincolato e le reimputazioni di entrata, all’elenco annuale degli interventi ed al programma triennale dei lavori pubblici, allegati al bilancio.</w:t>
      </w:r>
    </w:p>
    <w:p w:rsidR="00264EAF" w:rsidRPr="00D80990" w:rsidRDefault="00264EAF" w:rsidP="00264EAF">
      <w:pPr>
        <w:jc w:val="both"/>
        <w:rPr>
          <w:rFonts w:ascii="Arial" w:hAnsi="Arial" w:cs="Arial"/>
          <w:sz w:val="22"/>
          <w:szCs w:val="22"/>
        </w:rPr>
      </w:pPr>
      <w:r w:rsidRPr="00D80990">
        <w:rPr>
          <w:rFonts w:ascii="Arial" w:hAnsi="Arial" w:cs="Arial"/>
          <w:sz w:val="22"/>
          <w:szCs w:val="22"/>
        </w:rPr>
        <w:t>Coerente la previsione di spesa per investimenti con il programma amministrativo, il DUP, il piano triennale dei lavori pubblici e il crono programma dei pagamenti, ritenendo che la realizzazione degli interventi previsti sarà possibile a condizione che siano concretamente reperiti, in particolare i seguenti finanziamenti:…………………………</w:t>
      </w:r>
    </w:p>
    <w:p w:rsidR="00264EAF" w:rsidRPr="00D80990" w:rsidRDefault="00264EAF" w:rsidP="00264EAF">
      <w:pPr>
        <w:rPr>
          <w:rFonts w:ascii="Arial" w:hAnsi="Arial" w:cs="Arial"/>
          <w:sz w:val="20"/>
        </w:rPr>
      </w:pPr>
    </w:p>
    <w:p w:rsidR="00264EAF" w:rsidRPr="007C28ED" w:rsidRDefault="00264EAF" w:rsidP="00264EAF">
      <w:pPr>
        <w:pStyle w:val="Paragrafoelenco"/>
        <w:numPr>
          <w:ilvl w:val="0"/>
          <w:numId w:val="12"/>
        </w:numPr>
        <w:rPr>
          <w:rFonts w:ascii="Arial" w:hAnsi="Arial" w:cs="Arial"/>
          <w:b/>
          <w:sz w:val="22"/>
          <w:szCs w:val="22"/>
        </w:rPr>
      </w:pPr>
      <w:r w:rsidRPr="00D80990">
        <w:rPr>
          <w:rFonts w:ascii="Arial" w:hAnsi="Arial" w:cs="Arial"/>
          <w:b/>
          <w:sz w:val="22"/>
          <w:szCs w:val="22"/>
        </w:rPr>
        <w:t xml:space="preserve">Riguardo agli </w:t>
      </w:r>
      <w:r w:rsidR="00B213B9" w:rsidRPr="007C28ED">
        <w:rPr>
          <w:rFonts w:ascii="Arial" w:hAnsi="Arial" w:cs="Arial"/>
          <w:b/>
          <w:sz w:val="22"/>
          <w:szCs w:val="22"/>
        </w:rPr>
        <w:t xml:space="preserve">equilibri </w:t>
      </w:r>
      <w:r w:rsidRPr="007C28ED">
        <w:rPr>
          <w:rFonts w:ascii="Arial" w:hAnsi="Arial" w:cs="Arial"/>
          <w:b/>
          <w:sz w:val="22"/>
          <w:szCs w:val="22"/>
        </w:rPr>
        <w:t xml:space="preserve">di finanza pubblica </w:t>
      </w:r>
    </w:p>
    <w:p w:rsidR="005D6DE8" w:rsidRPr="007C28ED" w:rsidRDefault="005D6DE8" w:rsidP="007C28ED">
      <w:pPr>
        <w:spacing w:after="120"/>
        <w:rPr>
          <w:rFonts w:ascii="Arial" w:hAnsi="Arial" w:cs="Arial"/>
          <w:strike/>
          <w:sz w:val="22"/>
          <w:szCs w:val="22"/>
        </w:rPr>
      </w:pPr>
      <w:r w:rsidRPr="007C28ED">
        <w:rPr>
          <w:rFonts w:ascii="Arial" w:hAnsi="Arial" w:cs="Arial"/>
          <w:sz w:val="22"/>
          <w:szCs w:val="22"/>
        </w:rPr>
        <w:t xml:space="preserve">Con le previsioni contenute nello schema di bilancio, l’ente può conseguire gli equilibri di finanza pubblica nel triennio 2019-2021, così come definiti dalla Legge di Bilancio </w:t>
      </w:r>
      <w:r w:rsidR="00B213B9" w:rsidRPr="007C28ED">
        <w:rPr>
          <w:rFonts w:ascii="Arial" w:hAnsi="Arial" w:cs="Arial"/>
          <w:sz w:val="22"/>
          <w:szCs w:val="22"/>
        </w:rPr>
        <w:t>n.</w:t>
      </w:r>
      <w:r w:rsidRPr="007C28ED">
        <w:rPr>
          <w:rFonts w:ascii="Arial" w:hAnsi="Arial" w:cs="Arial"/>
          <w:sz w:val="22"/>
          <w:szCs w:val="22"/>
        </w:rPr>
        <w:t xml:space="preserve">145/2018. </w:t>
      </w:r>
    </w:p>
    <w:p w:rsidR="00264EAF" w:rsidRPr="00D80990" w:rsidRDefault="00264EAF" w:rsidP="00264EAF">
      <w:pPr>
        <w:rPr>
          <w:rFonts w:ascii="Arial" w:hAnsi="Arial" w:cs="Arial"/>
          <w:sz w:val="22"/>
          <w:szCs w:val="22"/>
        </w:rPr>
      </w:pPr>
    </w:p>
    <w:p w:rsidR="00264EAF" w:rsidRPr="00D80990" w:rsidRDefault="00264EAF" w:rsidP="00264EAF">
      <w:pPr>
        <w:pBdr>
          <w:top w:val="outset" w:sz="6" w:space="1" w:color="auto"/>
          <w:left w:val="outset" w:sz="6" w:space="4" w:color="auto"/>
          <w:bottom w:val="inset" w:sz="6" w:space="1" w:color="auto"/>
          <w:right w:val="inset" w:sz="6" w:space="4" w:color="auto"/>
        </w:pBdr>
        <w:rPr>
          <w:rFonts w:ascii="Arial" w:hAnsi="Arial" w:cs="Arial"/>
          <w:i/>
          <w:sz w:val="20"/>
          <w:szCs w:val="18"/>
        </w:rPr>
      </w:pPr>
      <w:r w:rsidRPr="00D80990">
        <w:rPr>
          <w:rFonts w:ascii="Arial" w:hAnsi="Arial" w:cs="Arial"/>
          <w:i/>
          <w:sz w:val="20"/>
          <w:szCs w:val="18"/>
        </w:rPr>
        <w:t>(oppure)</w:t>
      </w:r>
    </w:p>
    <w:p w:rsidR="00264EAF" w:rsidRPr="00D80990" w:rsidRDefault="00264EAF" w:rsidP="00264EAF">
      <w:pPr>
        <w:pBdr>
          <w:top w:val="outset" w:sz="6" w:space="1" w:color="auto"/>
          <w:left w:val="outset" w:sz="6" w:space="4" w:color="auto"/>
          <w:bottom w:val="inset" w:sz="6" w:space="1" w:color="auto"/>
          <w:right w:val="inset" w:sz="6" w:space="4" w:color="auto"/>
        </w:pBdr>
        <w:tabs>
          <w:tab w:val="center" w:pos="4819"/>
          <w:tab w:val="left" w:pos="6255"/>
        </w:tabs>
        <w:rPr>
          <w:rFonts w:ascii="Arial" w:hAnsi="Arial" w:cs="Arial"/>
          <w:b/>
          <w:i/>
          <w:color w:val="0000FF"/>
          <w:sz w:val="20"/>
          <w:szCs w:val="18"/>
        </w:rPr>
      </w:pPr>
      <w:r w:rsidRPr="00D80990">
        <w:rPr>
          <w:rFonts w:ascii="Arial" w:hAnsi="Arial" w:cs="Arial"/>
          <w:b/>
          <w:i/>
          <w:color w:val="0000FF"/>
          <w:sz w:val="20"/>
          <w:szCs w:val="18"/>
        </w:rPr>
        <w:tab/>
      </w:r>
    </w:p>
    <w:p w:rsidR="00264EAF" w:rsidRPr="00792A6A" w:rsidRDefault="00264EAF" w:rsidP="001004AB">
      <w:pPr>
        <w:pBdr>
          <w:top w:val="outset" w:sz="6" w:space="1" w:color="auto"/>
          <w:left w:val="outset" w:sz="6" w:space="4" w:color="auto"/>
          <w:bottom w:val="inset" w:sz="6" w:space="1" w:color="auto"/>
          <w:right w:val="inset" w:sz="6" w:space="4" w:color="auto"/>
        </w:pBdr>
        <w:jc w:val="both"/>
        <w:rPr>
          <w:rFonts w:ascii="Arial" w:hAnsi="Arial" w:cs="Arial"/>
          <w:color w:val="000000" w:themeColor="text1"/>
          <w:sz w:val="22"/>
          <w:szCs w:val="22"/>
        </w:rPr>
      </w:pPr>
      <w:r w:rsidRPr="00792A6A">
        <w:rPr>
          <w:rFonts w:ascii="Arial" w:hAnsi="Arial" w:cs="Arial"/>
          <w:color w:val="000000" w:themeColor="text1"/>
          <w:sz w:val="22"/>
          <w:szCs w:val="22"/>
        </w:rPr>
        <w:t xml:space="preserve">L’Organo di revisione </w:t>
      </w:r>
      <w:r w:rsidR="001004AB" w:rsidRPr="00792A6A">
        <w:rPr>
          <w:rFonts w:ascii="Arial" w:hAnsi="Arial" w:cs="Arial"/>
          <w:color w:val="000000" w:themeColor="text1"/>
          <w:sz w:val="22"/>
          <w:szCs w:val="22"/>
        </w:rPr>
        <w:t>ritiene che le previsioni non consentano di rispettare gli equilibri di finanza pubblica come definiti dalla Legge di Bilancio n. 145/2018.</w:t>
      </w:r>
    </w:p>
    <w:p w:rsidR="00264EAF" w:rsidRPr="00792A6A" w:rsidRDefault="00264EAF" w:rsidP="00264EAF">
      <w:pPr>
        <w:pBdr>
          <w:top w:val="outset" w:sz="6" w:space="1" w:color="auto"/>
          <w:left w:val="outset" w:sz="6" w:space="4" w:color="auto"/>
          <w:bottom w:val="inset" w:sz="6" w:space="1" w:color="auto"/>
          <w:right w:val="inset" w:sz="6" w:space="4" w:color="auto"/>
        </w:pBdr>
        <w:jc w:val="both"/>
        <w:rPr>
          <w:rFonts w:ascii="Arial" w:hAnsi="Arial" w:cs="Arial"/>
          <w:i/>
          <w:color w:val="000000" w:themeColor="text1"/>
          <w:sz w:val="20"/>
          <w:szCs w:val="18"/>
        </w:rPr>
      </w:pPr>
    </w:p>
    <w:p w:rsidR="00264EAF" w:rsidRPr="00D80990" w:rsidRDefault="00264EAF" w:rsidP="00264EAF">
      <w:pPr>
        <w:jc w:val="both"/>
        <w:rPr>
          <w:rFonts w:ascii="Arial" w:hAnsi="Arial" w:cs="Arial"/>
          <w:sz w:val="22"/>
          <w:szCs w:val="22"/>
        </w:rPr>
      </w:pPr>
    </w:p>
    <w:p w:rsidR="00264EAF" w:rsidRPr="00D80990" w:rsidRDefault="00264EAF" w:rsidP="00264EAF">
      <w:pPr>
        <w:pStyle w:val="Paragrafoelenco"/>
        <w:numPr>
          <w:ilvl w:val="0"/>
          <w:numId w:val="12"/>
        </w:numPr>
        <w:jc w:val="both"/>
        <w:rPr>
          <w:rFonts w:ascii="Arial" w:hAnsi="Arial" w:cs="Arial"/>
          <w:b/>
          <w:sz w:val="22"/>
          <w:szCs w:val="22"/>
        </w:rPr>
      </w:pPr>
      <w:r w:rsidRPr="00D80990">
        <w:rPr>
          <w:rFonts w:ascii="Arial" w:hAnsi="Arial" w:cs="Arial"/>
          <w:b/>
          <w:sz w:val="22"/>
          <w:szCs w:val="22"/>
        </w:rPr>
        <w:t>Riguardo alle previsioni di cassa</w:t>
      </w:r>
    </w:p>
    <w:p w:rsidR="00264EAF" w:rsidRPr="00D80990" w:rsidRDefault="00264EAF" w:rsidP="00264EAF">
      <w:pPr>
        <w:jc w:val="both"/>
        <w:rPr>
          <w:rFonts w:ascii="Arial" w:hAnsi="Arial" w:cs="Arial"/>
          <w:sz w:val="22"/>
          <w:szCs w:val="22"/>
        </w:rPr>
      </w:pPr>
      <w:r w:rsidRPr="00D80990">
        <w:rPr>
          <w:rFonts w:ascii="Arial" w:hAnsi="Arial" w:cs="Arial"/>
          <w:sz w:val="22"/>
          <w:szCs w:val="22"/>
        </w:rPr>
        <w:t>Le previsioni di cassa sono attendibili in relazione all’esigibilità dei residui attivi e delle entrate di competenza, tenuto conto della media degli incassi degli ultimi 5 anni, e congrue in relazione al rispetto dei termini di pagamento con riferimento ai cronoprogrammi e alle scadenze di legge e agli accantonamenti al FCDE.</w:t>
      </w:r>
    </w:p>
    <w:p w:rsidR="00264EAF" w:rsidRPr="00D80990" w:rsidRDefault="00264EAF" w:rsidP="00264EAF">
      <w:pPr>
        <w:jc w:val="both"/>
        <w:rPr>
          <w:rFonts w:ascii="Arial" w:hAnsi="Arial" w:cs="Arial"/>
          <w:sz w:val="22"/>
          <w:szCs w:val="22"/>
        </w:rPr>
      </w:pPr>
    </w:p>
    <w:p w:rsidR="00264EAF" w:rsidRPr="00D80990" w:rsidRDefault="00264EAF" w:rsidP="00264EAF">
      <w:pPr>
        <w:pBdr>
          <w:top w:val="single" w:sz="4" w:space="1" w:color="auto"/>
          <w:left w:val="single" w:sz="4" w:space="4" w:color="auto"/>
          <w:bottom w:val="single" w:sz="4" w:space="1" w:color="auto"/>
          <w:right w:val="single" w:sz="4" w:space="4" w:color="auto"/>
        </w:pBdr>
        <w:jc w:val="both"/>
        <w:rPr>
          <w:rFonts w:ascii="Arial" w:hAnsi="Arial" w:cs="Arial"/>
          <w:i/>
          <w:sz w:val="20"/>
          <w:szCs w:val="20"/>
        </w:rPr>
      </w:pPr>
      <w:r w:rsidRPr="00D80990">
        <w:rPr>
          <w:rFonts w:ascii="Arial" w:hAnsi="Arial" w:cs="Arial"/>
          <w:i/>
          <w:sz w:val="20"/>
          <w:szCs w:val="20"/>
        </w:rPr>
        <w:t xml:space="preserve">Oppure: </w:t>
      </w:r>
    </w:p>
    <w:p w:rsidR="00264EAF" w:rsidRPr="00D80990" w:rsidRDefault="00264EAF" w:rsidP="00264EAF">
      <w:pPr>
        <w:pBdr>
          <w:top w:val="single" w:sz="4" w:space="1" w:color="auto"/>
          <w:left w:val="single" w:sz="4" w:space="4" w:color="auto"/>
          <w:bottom w:val="single" w:sz="4" w:space="1" w:color="auto"/>
          <w:right w:val="single" w:sz="4" w:space="4" w:color="auto"/>
        </w:pBdr>
        <w:jc w:val="both"/>
        <w:rPr>
          <w:rFonts w:ascii="Arial" w:hAnsi="Arial" w:cs="Arial"/>
          <w:sz w:val="22"/>
          <w:szCs w:val="22"/>
        </w:rPr>
      </w:pPr>
      <w:r w:rsidRPr="00D80990">
        <w:rPr>
          <w:rFonts w:ascii="Arial" w:hAnsi="Arial" w:cs="Arial"/>
          <w:sz w:val="22"/>
          <w:szCs w:val="22"/>
        </w:rPr>
        <w:t>Le previsioni di cassa dovranno essere verificate in sede di salvaguardia degli equilibri in particolare per i seguenti incassi e pagamenti………………………….</w:t>
      </w:r>
    </w:p>
    <w:p w:rsidR="00264EAF" w:rsidRPr="00D80990" w:rsidRDefault="00264EAF" w:rsidP="00264EAF">
      <w:pPr>
        <w:pStyle w:val="Paragrafoelenco"/>
        <w:ind w:left="360"/>
        <w:jc w:val="both"/>
        <w:rPr>
          <w:rFonts w:ascii="Arial" w:hAnsi="Arial" w:cs="Arial"/>
          <w:b/>
          <w:sz w:val="22"/>
          <w:szCs w:val="22"/>
        </w:rPr>
      </w:pPr>
    </w:p>
    <w:p w:rsidR="00264EAF" w:rsidRPr="00D80990" w:rsidRDefault="00264EAF" w:rsidP="00264EAF">
      <w:pPr>
        <w:pStyle w:val="Paragrafoelenco"/>
        <w:numPr>
          <w:ilvl w:val="0"/>
          <w:numId w:val="12"/>
        </w:numPr>
        <w:jc w:val="both"/>
        <w:rPr>
          <w:rFonts w:ascii="Arial" w:hAnsi="Arial" w:cs="Arial"/>
          <w:b/>
          <w:sz w:val="22"/>
          <w:szCs w:val="22"/>
        </w:rPr>
      </w:pPr>
      <w:r w:rsidRPr="00D80990">
        <w:rPr>
          <w:rFonts w:ascii="Arial" w:hAnsi="Arial" w:cs="Arial"/>
          <w:b/>
          <w:sz w:val="22"/>
          <w:szCs w:val="22"/>
        </w:rPr>
        <w:t>Invio dati alla banca dati delle amministrazioni pubbliche</w:t>
      </w:r>
    </w:p>
    <w:p w:rsidR="00264EAF" w:rsidRPr="00D80990" w:rsidRDefault="00264EAF" w:rsidP="00264EAF">
      <w:pPr>
        <w:pStyle w:val="Paragrafoelenco"/>
        <w:ind w:left="360"/>
        <w:jc w:val="both"/>
        <w:rPr>
          <w:rFonts w:ascii="Arial" w:hAnsi="Arial" w:cs="Arial"/>
          <w:b/>
          <w:sz w:val="22"/>
          <w:szCs w:val="22"/>
        </w:rPr>
      </w:pPr>
    </w:p>
    <w:p w:rsidR="00264EAF" w:rsidRPr="00D80990" w:rsidRDefault="00264EAF" w:rsidP="00264EAF">
      <w:pPr>
        <w:jc w:val="both"/>
        <w:rPr>
          <w:rFonts w:ascii="Arial" w:hAnsi="Arial" w:cs="Arial"/>
          <w:color w:val="000000"/>
          <w:sz w:val="22"/>
          <w:szCs w:val="22"/>
        </w:rPr>
      </w:pPr>
      <w:r w:rsidRPr="00D80990">
        <w:rPr>
          <w:rFonts w:ascii="Arial" w:hAnsi="Arial" w:cs="Arial"/>
          <w:sz w:val="22"/>
          <w:szCs w:val="22"/>
        </w:rPr>
        <w:t xml:space="preserve">L’organo di revisione richiede il rispetto dei termini per l’invio </w:t>
      </w:r>
      <w:r w:rsidRPr="00D80990">
        <w:rPr>
          <w:rFonts w:ascii="Arial" w:hAnsi="Arial" w:cs="Arial"/>
          <w:color w:val="000000"/>
          <w:sz w:val="22"/>
          <w:szCs w:val="22"/>
        </w:rPr>
        <w:t>dei dati relativi al bilancio di previsione entro trenta giorni dalla sua approvazione alla banca dati delle amministrazioni pubbliche di cui all'</w:t>
      </w:r>
      <w:r w:rsidRPr="00D80990">
        <w:rPr>
          <w:rFonts w:ascii="Arial" w:hAnsi="Arial" w:cs="Arial"/>
          <w:sz w:val="22"/>
          <w:szCs w:val="22"/>
        </w:rPr>
        <w:t>articolo 13 della Legge 31 dicembre 2009, n. 196</w:t>
      </w:r>
      <w:r w:rsidRPr="00D80990">
        <w:rPr>
          <w:rFonts w:ascii="Arial" w:hAnsi="Arial" w:cs="Arial"/>
          <w:color w:val="000000"/>
          <w:sz w:val="22"/>
          <w:szCs w:val="22"/>
        </w:rPr>
        <w:t xml:space="preserve">, compresi i dati aggregati per voce del piano dei conti integrato, avvertendo che nel caso di mancato rispetto di tale termine, </w:t>
      </w:r>
      <w:r w:rsidRPr="00D80990">
        <w:rPr>
          <w:rFonts w:ascii="Arial" w:hAnsi="Arial" w:cs="Arial"/>
          <w:color w:val="000000"/>
          <w:sz w:val="22"/>
          <w:szCs w:val="22"/>
        </w:rPr>
        <w:lastRenderedPageBreak/>
        <w:t>come disposto dal comma 1-</w:t>
      </w:r>
      <w:r w:rsidRPr="00D80990">
        <w:rPr>
          <w:rFonts w:ascii="Arial" w:hAnsi="Arial" w:cs="Arial"/>
          <w:i/>
          <w:color w:val="000000"/>
          <w:sz w:val="22"/>
          <w:szCs w:val="22"/>
        </w:rPr>
        <w:t xml:space="preserve">quinquies </w:t>
      </w:r>
      <w:r w:rsidRPr="00D80990">
        <w:rPr>
          <w:rFonts w:ascii="Arial" w:hAnsi="Arial" w:cs="Arial"/>
          <w:color w:val="000000"/>
          <w:sz w:val="22"/>
          <w:szCs w:val="22"/>
        </w:rPr>
        <w:t>dell’art. 9 del D.L. n. 113/2016,  non sarà possibile procedere ad assunzioni di personale a qualsiasi titolo, con qualsivoglia tipologia contrattuale, ivi compresi i rapporti di collaborazione coordinata e continuativa e di somministrazione, anche con riferimento ai processi di stabilizzazione in atto, fino a quando non si provvederà all’adempimento. E' fatto altresì divieto di stipulare contratti di servizio con soggetti privati che si configurino come elusivi della disposizione del precedente periodo. </w:t>
      </w:r>
    </w:p>
    <w:p w:rsidR="00264EAF" w:rsidRPr="00D80990" w:rsidRDefault="00264EAF" w:rsidP="00264EAF">
      <w:pPr>
        <w:jc w:val="both"/>
        <w:rPr>
          <w:rFonts w:ascii="Arial" w:hAnsi="Arial" w:cs="Arial"/>
          <w:color w:val="000000"/>
          <w:sz w:val="22"/>
          <w:szCs w:val="22"/>
        </w:rPr>
      </w:pPr>
    </w:p>
    <w:p w:rsidR="00264EAF" w:rsidRPr="00D80990" w:rsidRDefault="00264EAF" w:rsidP="00264EAF">
      <w:pPr>
        <w:jc w:val="both"/>
        <w:rPr>
          <w:rFonts w:ascii="Arial" w:hAnsi="Arial" w:cs="Arial"/>
          <w:color w:val="000000"/>
          <w:sz w:val="22"/>
          <w:szCs w:val="22"/>
        </w:rPr>
      </w:pPr>
    </w:p>
    <w:p w:rsidR="00264EAF" w:rsidRPr="00D80990" w:rsidRDefault="00264EAF" w:rsidP="00264EAF">
      <w:pPr>
        <w:pStyle w:val="Titolo1"/>
        <w:shd w:val="clear" w:color="auto" w:fill="B6DDE8" w:themeFill="accent5" w:themeFillTint="66"/>
      </w:pPr>
      <w:bookmarkStart w:id="85" w:name="_Toc408988077"/>
      <w:bookmarkStart w:id="86" w:name="_Toc535487630"/>
      <w:r w:rsidRPr="00D80990">
        <w:t>CONCLUSIONI</w:t>
      </w:r>
      <w:bookmarkEnd w:id="85"/>
      <w:bookmarkEnd w:id="86"/>
    </w:p>
    <w:p w:rsidR="00264EAF" w:rsidRPr="00D80990" w:rsidRDefault="00264EAF" w:rsidP="00264EAF">
      <w:pPr>
        <w:jc w:val="both"/>
        <w:rPr>
          <w:rFonts w:ascii="Arial" w:hAnsi="Arial" w:cs="Arial"/>
          <w:sz w:val="22"/>
          <w:szCs w:val="22"/>
        </w:rPr>
      </w:pPr>
      <w:r w:rsidRPr="00D80990">
        <w:rPr>
          <w:rFonts w:ascii="Arial" w:hAnsi="Arial" w:cs="Arial"/>
          <w:sz w:val="22"/>
          <w:szCs w:val="22"/>
        </w:rPr>
        <w:t>In relazione alle motivazioni specificate nel presente parere, richiamato l’articolo 239 del TUEL e tenuto conto:</w:t>
      </w:r>
    </w:p>
    <w:p w:rsidR="00264EAF" w:rsidRPr="00D80990" w:rsidRDefault="00264EAF" w:rsidP="00264EAF">
      <w:pPr>
        <w:numPr>
          <w:ilvl w:val="0"/>
          <w:numId w:val="20"/>
        </w:numPr>
        <w:tabs>
          <w:tab w:val="left" w:pos="360"/>
        </w:tabs>
        <w:spacing w:before="120"/>
        <w:jc w:val="both"/>
        <w:rPr>
          <w:rFonts w:ascii="Arial" w:hAnsi="Arial" w:cs="Arial"/>
          <w:sz w:val="22"/>
          <w:szCs w:val="22"/>
        </w:rPr>
      </w:pPr>
      <w:r w:rsidRPr="00D80990">
        <w:rPr>
          <w:rFonts w:ascii="Arial" w:hAnsi="Arial" w:cs="Arial"/>
          <w:sz w:val="22"/>
          <w:szCs w:val="22"/>
        </w:rPr>
        <w:t>del parere espresso sul DUP e sulla Nota di aggiornamento;</w:t>
      </w:r>
    </w:p>
    <w:p w:rsidR="00264EAF" w:rsidRPr="00D80990" w:rsidRDefault="00264EAF" w:rsidP="00264EAF">
      <w:pPr>
        <w:numPr>
          <w:ilvl w:val="0"/>
          <w:numId w:val="20"/>
        </w:numPr>
        <w:tabs>
          <w:tab w:val="left" w:pos="360"/>
        </w:tabs>
        <w:spacing w:before="120"/>
        <w:jc w:val="both"/>
        <w:rPr>
          <w:rFonts w:ascii="Arial" w:hAnsi="Arial" w:cs="Arial"/>
          <w:sz w:val="22"/>
          <w:szCs w:val="22"/>
        </w:rPr>
      </w:pPr>
      <w:r w:rsidRPr="00D80990">
        <w:rPr>
          <w:rFonts w:ascii="Arial" w:hAnsi="Arial" w:cs="Arial"/>
          <w:sz w:val="22"/>
          <w:szCs w:val="22"/>
        </w:rPr>
        <w:t>del parere espresso dal responsabile del servizio finanziario;</w:t>
      </w:r>
    </w:p>
    <w:p w:rsidR="00264EAF" w:rsidRPr="00D80990" w:rsidRDefault="00264EAF" w:rsidP="00264EAF">
      <w:pPr>
        <w:numPr>
          <w:ilvl w:val="0"/>
          <w:numId w:val="20"/>
        </w:numPr>
        <w:tabs>
          <w:tab w:val="left" w:pos="360"/>
        </w:tabs>
        <w:spacing w:before="120"/>
        <w:jc w:val="both"/>
        <w:rPr>
          <w:rFonts w:ascii="Arial" w:hAnsi="Arial" w:cs="Arial"/>
          <w:sz w:val="22"/>
          <w:szCs w:val="22"/>
        </w:rPr>
      </w:pPr>
      <w:r w:rsidRPr="00D80990">
        <w:rPr>
          <w:rFonts w:ascii="Arial" w:hAnsi="Arial" w:cs="Arial"/>
          <w:sz w:val="22"/>
          <w:szCs w:val="22"/>
        </w:rPr>
        <w:t>delle variazioni rispetto all’anno precedente;</w:t>
      </w:r>
    </w:p>
    <w:p w:rsidR="00264EAF" w:rsidRPr="00D80990" w:rsidRDefault="00264EAF" w:rsidP="00264EAF">
      <w:pPr>
        <w:numPr>
          <w:ilvl w:val="0"/>
          <w:numId w:val="20"/>
        </w:numPr>
        <w:tabs>
          <w:tab w:val="left" w:pos="360"/>
        </w:tabs>
        <w:spacing w:before="120"/>
        <w:jc w:val="both"/>
        <w:rPr>
          <w:rFonts w:ascii="Arial" w:hAnsi="Arial" w:cs="Arial"/>
          <w:sz w:val="22"/>
          <w:szCs w:val="22"/>
        </w:rPr>
      </w:pPr>
      <w:r w:rsidRPr="00D80990">
        <w:rPr>
          <w:rFonts w:ascii="Arial" w:hAnsi="Arial" w:cs="Arial"/>
          <w:sz w:val="22"/>
          <w:szCs w:val="22"/>
        </w:rPr>
        <w:t>della verifica effettuata sugli equilibri di competenza e di cassa.</w:t>
      </w:r>
    </w:p>
    <w:p w:rsidR="00264EAF" w:rsidRPr="00D80990" w:rsidRDefault="00264EAF" w:rsidP="00264EAF">
      <w:pPr>
        <w:pStyle w:val="BodyText21"/>
        <w:spacing w:before="240"/>
        <w:rPr>
          <w:rFonts w:cs="Arial"/>
          <w:b w:val="0"/>
          <w:i w:val="0"/>
          <w:sz w:val="22"/>
          <w:szCs w:val="22"/>
        </w:rPr>
      </w:pPr>
      <w:r w:rsidRPr="00D80990">
        <w:rPr>
          <w:rFonts w:cs="Arial"/>
          <w:b w:val="0"/>
          <w:i w:val="0"/>
          <w:sz w:val="22"/>
          <w:szCs w:val="22"/>
        </w:rPr>
        <w:t>L’organo di revisione:</w:t>
      </w:r>
    </w:p>
    <w:p w:rsidR="00264EAF" w:rsidRPr="00D80990" w:rsidRDefault="00264EAF" w:rsidP="00264EAF">
      <w:pPr>
        <w:numPr>
          <w:ilvl w:val="0"/>
          <w:numId w:val="6"/>
        </w:numPr>
        <w:jc w:val="both"/>
        <w:rPr>
          <w:rFonts w:ascii="Arial" w:hAnsi="Arial" w:cs="Arial"/>
          <w:i/>
          <w:sz w:val="22"/>
          <w:szCs w:val="22"/>
        </w:rPr>
      </w:pPr>
      <w:r w:rsidRPr="00D80990">
        <w:rPr>
          <w:rFonts w:ascii="Arial" w:hAnsi="Arial" w:cs="Arial"/>
          <w:sz w:val="22"/>
          <w:szCs w:val="22"/>
        </w:rPr>
        <w:t>ha verificato che il bilancio è stato redatto nell’osservanza delle norme di Legge, dello statuto dell’ente, del regolamento di contabilità, dei principi previsti dall’articolo 162 del TUEL e dalle norme del D.Lgs. n.118/2011 e dai principi contabili applicati n.4/1 e n. 4/2 allegati al predetto decreto legislativo;</w:t>
      </w:r>
    </w:p>
    <w:p w:rsidR="00264EAF" w:rsidRPr="00D80990" w:rsidRDefault="00264EAF" w:rsidP="00264EAF">
      <w:pPr>
        <w:pStyle w:val="BodyText21"/>
        <w:numPr>
          <w:ilvl w:val="0"/>
          <w:numId w:val="6"/>
        </w:numPr>
        <w:spacing w:before="120"/>
        <w:rPr>
          <w:rFonts w:cs="Arial"/>
          <w:b w:val="0"/>
          <w:i w:val="0"/>
          <w:sz w:val="22"/>
          <w:szCs w:val="22"/>
        </w:rPr>
      </w:pPr>
      <w:r w:rsidRPr="00D80990">
        <w:rPr>
          <w:rFonts w:cs="Arial"/>
          <w:b w:val="0"/>
          <w:i w:val="0"/>
          <w:sz w:val="22"/>
          <w:szCs w:val="22"/>
        </w:rPr>
        <w:t>ha rilevato la coerenza interna, la congruità e l’attendibilità contabile delle previsioni di bilancio;</w:t>
      </w:r>
    </w:p>
    <w:p w:rsidR="00264EAF" w:rsidRPr="007C28ED" w:rsidRDefault="006A589E" w:rsidP="00275CE8">
      <w:pPr>
        <w:pStyle w:val="BodyText21"/>
        <w:numPr>
          <w:ilvl w:val="0"/>
          <w:numId w:val="6"/>
        </w:numPr>
        <w:spacing w:before="120"/>
        <w:rPr>
          <w:rFonts w:cs="Arial"/>
          <w:b w:val="0"/>
          <w:i w:val="0"/>
          <w:sz w:val="22"/>
          <w:szCs w:val="22"/>
        </w:rPr>
      </w:pPr>
      <w:r w:rsidRPr="007C28ED">
        <w:rPr>
          <w:rFonts w:cs="Arial"/>
          <w:b w:val="0"/>
          <w:i w:val="0"/>
          <w:sz w:val="22"/>
          <w:szCs w:val="22"/>
        </w:rPr>
        <w:t xml:space="preserve">ha rilevato la coerenza esterna ed in particolare la possibilità, con le previsioni proposte, di rispettare gli equilibri di finanza pubblica, così come disposti dalla Legge di Bilancio n. 145/2018. </w:t>
      </w:r>
      <w:r w:rsidR="00264EAF" w:rsidRPr="007C28ED">
        <w:rPr>
          <w:rFonts w:cs="Arial"/>
          <w:b w:val="0"/>
          <w:i w:val="0"/>
          <w:sz w:val="22"/>
          <w:szCs w:val="22"/>
        </w:rPr>
        <w:t>Ed esprime, pertanto, parere favorevole sulla proposta di bilancio di previsione 2019-2021 e sui documenti allegati.</w:t>
      </w:r>
    </w:p>
    <w:p w:rsidR="00264EAF" w:rsidRPr="007C28ED" w:rsidRDefault="00264EAF" w:rsidP="00264EAF">
      <w:pPr>
        <w:pStyle w:val="BodyText21"/>
        <w:rPr>
          <w:rFonts w:cs="Arial"/>
          <w:b w:val="0"/>
          <w:i w:val="0"/>
          <w:color w:val="00B0F0"/>
          <w:sz w:val="20"/>
        </w:rPr>
      </w:pPr>
      <w:r w:rsidRPr="007C28ED">
        <w:rPr>
          <w:rFonts w:cs="Arial"/>
          <w:b w:val="0"/>
          <w:i w:val="0"/>
          <w:color w:val="00B0F0"/>
          <w:sz w:val="20"/>
        </w:rPr>
        <w:t>(</w:t>
      </w:r>
      <w:r w:rsidRPr="007C28ED">
        <w:rPr>
          <w:rFonts w:cs="Arial"/>
          <w:b w:val="0"/>
          <w:color w:val="00B0F0"/>
          <w:sz w:val="20"/>
        </w:rPr>
        <w:t xml:space="preserve">Nel caso in cui sussistano le motivazioni esposte nel precedente paragrafo l’organo di revisione esprimerà un parere non favorevole, oppure un parere favorevole con riserva su specifiche problematiche emerse nel corso dell’analisi, sulla proposta di bilancio presentata dalla giunta e sui documenti allegati, in particolare nel caso in cui le previsioni portino a non rispettare </w:t>
      </w:r>
      <w:r w:rsidR="004A1F64" w:rsidRPr="007C28ED">
        <w:rPr>
          <w:rFonts w:cs="Arial"/>
          <w:b w:val="0"/>
          <w:color w:val="00B0F0"/>
          <w:sz w:val="20"/>
        </w:rPr>
        <w:t>gli equilibri di finanza pubblica</w:t>
      </w:r>
      <w:r w:rsidRPr="007C28ED">
        <w:rPr>
          <w:rFonts w:cs="Arial"/>
          <w:b w:val="0"/>
          <w:color w:val="00B0F0"/>
          <w:sz w:val="20"/>
        </w:rPr>
        <w:t xml:space="preserve"> il parere può essere così articolato</w:t>
      </w:r>
      <w:r w:rsidRPr="007C28ED">
        <w:rPr>
          <w:rFonts w:cs="Arial"/>
          <w:b w:val="0"/>
          <w:i w:val="0"/>
          <w:color w:val="00B0F0"/>
          <w:sz w:val="20"/>
        </w:rPr>
        <w:t>)</w:t>
      </w:r>
    </w:p>
    <w:p w:rsidR="00264EAF" w:rsidRPr="00D80990" w:rsidRDefault="00264EAF" w:rsidP="00264EAF">
      <w:pPr>
        <w:pBdr>
          <w:top w:val="outset" w:sz="6" w:space="1" w:color="auto"/>
          <w:left w:val="outset" w:sz="6" w:space="4" w:color="auto"/>
          <w:bottom w:val="inset" w:sz="6" w:space="1" w:color="auto"/>
          <w:right w:val="inset" w:sz="6" w:space="4" w:color="auto"/>
        </w:pBdr>
        <w:rPr>
          <w:rFonts w:ascii="Arial" w:hAnsi="Arial" w:cs="Arial"/>
          <w:i/>
          <w:sz w:val="20"/>
          <w:szCs w:val="20"/>
        </w:rPr>
      </w:pPr>
      <w:r w:rsidRPr="00D80990">
        <w:rPr>
          <w:rFonts w:ascii="Arial" w:hAnsi="Arial" w:cs="Arial"/>
          <w:i/>
          <w:sz w:val="20"/>
          <w:szCs w:val="20"/>
        </w:rPr>
        <w:t>Ipotesi 1</w:t>
      </w:r>
    </w:p>
    <w:p w:rsidR="00264EAF" w:rsidRPr="00D80990" w:rsidRDefault="00264EAF" w:rsidP="00264EAF">
      <w:pPr>
        <w:pBdr>
          <w:top w:val="outset" w:sz="6" w:space="1" w:color="auto"/>
          <w:left w:val="outset" w:sz="6" w:space="4" w:color="auto"/>
          <w:bottom w:val="inset" w:sz="6" w:space="1" w:color="auto"/>
          <w:right w:val="inset" w:sz="6" w:space="4" w:color="auto"/>
        </w:pBdr>
        <w:jc w:val="both"/>
        <w:rPr>
          <w:rFonts w:ascii="Arial" w:hAnsi="Arial" w:cs="Arial"/>
          <w:sz w:val="22"/>
          <w:szCs w:val="22"/>
        </w:rPr>
      </w:pPr>
      <w:r w:rsidRPr="00D80990">
        <w:rPr>
          <w:rFonts w:ascii="Arial" w:hAnsi="Arial" w:cs="Arial"/>
          <w:sz w:val="22"/>
          <w:szCs w:val="22"/>
        </w:rPr>
        <w:t xml:space="preserve">L’organo di revisione esprime parere favorevole sulla proposta di bilancio </w:t>
      </w:r>
      <w:r w:rsidRPr="00CD4510">
        <w:rPr>
          <w:rFonts w:ascii="Arial" w:hAnsi="Arial" w:cs="Arial"/>
          <w:sz w:val="22"/>
          <w:szCs w:val="22"/>
        </w:rPr>
        <w:t>2019-2021</w:t>
      </w:r>
      <w:r w:rsidRPr="00D80990">
        <w:rPr>
          <w:rFonts w:ascii="Arial" w:hAnsi="Arial" w:cs="Arial"/>
          <w:sz w:val="22"/>
          <w:szCs w:val="22"/>
        </w:rPr>
        <w:t>e relativi allegati relativamente a:</w:t>
      </w:r>
    </w:p>
    <w:p w:rsidR="00264EAF" w:rsidRPr="00D80990" w:rsidRDefault="00264EAF" w:rsidP="00264EAF">
      <w:pPr>
        <w:pStyle w:val="Paragrafoelenco"/>
        <w:numPr>
          <w:ilvl w:val="0"/>
          <w:numId w:val="6"/>
        </w:numPr>
        <w:pBdr>
          <w:top w:val="outset" w:sz="6" w:space="1" w:color="auto"/>
          <w:left w:val="outset" w:sz="6" w:space="4" w:color="auto"/>
          <w:bottom w:val="inset" w:sz="6" w:space="1" w:color="auto"/>
          <w:right w:val="inset" w:sz="6" w:space="4" w:color="auto"/>
        </w:pBdr>
        <w:jc w:val="both"/>
        <w:rPr>
          <w:rFonts w:ascii="Arial" w:hAnsi="Arial" w:cs="Arial"/>
          <w:sz w:val="22"/>
          <w:szCs w:val="22"/>
        </w:rPr>
      </w:pPr>
      <w:r w:rsidRPr="00D80990">
        <w:rPr>
          <w:rFonts w:ascii="Arial" w:hAnsi="Arial" w:cs="Arial"/>
          <w:sz w:val="22"/>
          <w:szCs w:val="22"/>
        </w:rPr>
        <w:t>osservanza delle norme di Legge, dello statuto dell’ente, del regolamento di contabilità, dei principi previsti dall’articolo 162 del TUEL e dalle norme del D.Lgs.n.118/2001 e dai principi contabili applicati n.4/1 e 4/2 allegati al predetto decreto legislativo;</w:t>
      </w:r>
    </w:p>
    <w:p w:rsidR="00264EAF" w:rsidRPr="007C28ED" w:rsidRDefault="00264EAF" w:rsidP="00264EAF">
      <w:pPr>
        <w:pStyle w:val="Paragrafoelenco"/>
        <w:numPr>
          <w:ilvl w:val="0"/>
          <w:numId w:val="6"/>
        </w:numPr>
        <w:pBdr>
          <w:top w:val="outset" w:sz="6" w:space="1" w:color="auto"/>
          <w:left w:val="outset" w:sz="6" w:space="4" w:color="auto"/>
          <w:bottom w:val="inset" w:sz="6" w:space="1" w:color="auto"/>
          <w:right w:val="inset" w:sz="6" w:space="4" w:color="auto"/>
        </w:pBdr>
        <w:jc w:val="both"/>
        <w:rPr>
          <w:rFonts w:ascii="Arial" w:hAnsi="Arial" w:cs="Arial"/>
          <w:sz w:val="22"/>
          <w:szCs w:val="22"/>
        </w:rPr>
      </w:pPr>
      <w:r w:rsidRPr="00D80990">
        <w:rPr>
          <w:rFonts w:ascii="Arial" w:hAnsi="Arial" w:cs="Arial"/>
          <w:sz w:val="22"/>
          <w:szCs w:val="22"/>
        </w:rPr>
        <w:t>coerenza interna, congruità e attendibilità contabile delle previsioni di bilancio e dei programmi e progetti</w:t>
      </w:r>
    </w:p>
    <w:p w:rsidR="00264EAF" w:rsidRDefault="00264EAF" w:rsidP="00264EAF">
      <w:pPr>
        <w:pBdr>
          <w:top w:val="outset" w:sz="6" w:space="1" w:color="auto"/>
          <w:left w:val="outset" w:sz="6" w:space="4" w:color="auto"/>
          <w:bottom w:val="inset" w:sz="6" w:space="1" w:color="auto"/>
          <w:right w:val="inset" w:sz="6" w:space="4" w:color="auto"/>
        </w:pBdr>
        <w:jc w:val="both"/>
        <w:rPr>
          <w:rFonts w:ascii="Arial" w:hAnsi="Arial" w:cs="Arial"/>
          <w:sz w:val="22"/>
          <w:szCs w:val="22"/>
        </w:rPr>
      </w:pPr>
      <w:r w:rsidRPr="007C28ED">
        <w:rPr>
          <w:rFonts w:ascii="Arial" w:hAnsi="Arial" w:cs="Arial"/>
          <w:sz w:val="22"/>
          <w:szCs w:val="22"/>
        </w:rPr>
        <w:t xml:space="preserve">e </w:t>
      </w:r>
      <w:r w:rsidR="006A589E" w:rsidRPr="007C28ED">
        <w:rPr>
          <w:rFonts w:ascii="Arial" w:hAnsi="Arial" w:cs="Arial"/>
          <w:sz w:val="22"/>
          <w:szCs w:val="22"/>
        </w:rPr>
        <w:t>parere non favorevole relativamente ai seguenti aspetti: ________________________</w:t>
      </w:r>
    </w:p>
    <w:p w:rsidR="007C28ED" w:rsidRPr="007C28ED" w:rsidRDefault="007C28ED" w:rsidP="00264EAF">
      <w:pPr>
        <w:pBdr>
          <w:top w:val="outset" w:sz="6" w:space="1" w:color="auto"/>
          <w:left w:val="outset" w:sz="6" w:space="4" w:color="auto"/>
          <w:bottom w:val="inset" w:sz="6" w:space="1" w:color="auto"/>
          <w:right w:val="inset" w:sz="6" w:space="4" w:color="auto"/>
        </w:pBdr>
        <w:jc w:val="both"/>
        <w:rPr>
          <w:rFonts w:ascii="Arial" w:hAnsi="Arial" w:cs="Arial"/>
          <w:sz w:val="22"/>
          <w:szCs w:val="22"/>
        </w:rPr>
      </w:pPr>
    </w:p>
    <w:p w:rsidR="000D5C03" w:rsidRPr="00D80990" w:rsidRDefault="000D5C03" w:rsidP="00264EAF">
      <w:pPr>
        <w:tabs>
          <w:tab w:val="left" w:pos="5954"/>
        </w:tabs>
        <w:rPr>
          <w:rFonts w:ascii="Arial" w:hAnsi="Arial" w:cs="Arial"/>
          <w:i/>
          <w:sz w:val="20"/>
          <w:szCs w:val="20"/>
        </w:rPr>
      </w:pPr>
    </w:p>
    <w:p w:rsidR="00264EAF" w:rsidRPr="00D80990" w:rsidRDefault="00264EAF" w:rsidP="00264EAF">
      <w:pPr>
        <w:pBdr>
          <w:top w:val="outset" w:sz="6" w:space="1" w:color="auto"/>
          <w:left w:val="outset" w:sz="6" w:space="4" w:color="auto"/>
          <w:bottom w:val="inset" w:sz="6" w:space="1" w:color="auto"/>
          <w:right w:val="inset" w:sz="6" w:space="4" w:color="auto"/>
        </w:pBdr>
        <w:rPr>
          <w:rFonts w:ascii="Arial" w:hAnsi="Arial" w:cs="Arial"/>
          <w:i/>
          <w:sz w:val="20"/>
          <w:szCs w:val="20"/>
        </w:rPr>
      </w:pPr>
      <w:r w:rsidRPr="00D80990">
        <w:rPr>
          <w:rFonts w:ascii="Arial" w:hAnsi="Arial" w:cs="Arial"/>
          <w:i/>
          <w:sz w:val="20"/>
          <w:szCs w:val="20"/>
        </w:rPr>
        <w:t>Ipotesi 2</w:t>
      </w:r>
    </w:p>
    <w:p w:rsidR="00264EAF" w:rsidRPr="00D80990" w:rsidRDefault="00264EAF" w:rsidP="007C28ED">
      <w:pPr>
        <w:pBdr>
          <w:top w:val="outset" w:sz="6" w:space="1" w:color="auto"/>
          <w:left w:val="outset" w:sz="6" w:space="4" w:color="auto"/>
          <w:bottom w:val="inset" w:sz="6" w:space="1" w:color="auto"/>
          <w:right w:val="inset" w:sz="6" w:space="4" w:color="auto"/>
        </w:pBdr>
        <w:jc w:val="both"/>
        <w:rPr>
          <w:rFonts w:ascii="Arial" w:hAnsi="Arial" w:cs="Arial"/>
          <w:b/>
          <w:sz w:val="20"/>
        </w:rPr>
      </w:pPr>
      <w:r w:rsidRPr="00D80990">
        <w:rPr>
          <w:rFonts w:ascii="Arial" w:hAnsi="Arial" w:cs="Arial"/>
          <w:sz w:val="22"/>
          <w:szCs w:val="22"/>
        </w:rPr>
        <w:t xml:space="preserve">L’organo di revisione esprime parere non favorevole sulla proposta di bilancio </w:t>
      </w:r>
      <w:r w:rsidRPr="00CD4510">
        <w:rPr>
          <w:rFonts w:ascii="Arial" w:hAnsi="Arial" w:cs="Arial"/>
          <w:sz w:val="22"/>
          <w:szCs w:val="22"/>
        </w:rPr>
        <w:t>2019-2021</w:t>
      </w:r>
      <w:r w:rsidRPr="00D80990">
        <w:rPr>
          <w:rFonts w:ascii="Arial" w:hAnsi="Arial" w:cs="Arial"/>
          <w:sz w:val="22"/>
          <w:szCs w:val="22"/>
        </w:rPr>
        <w:t xml:space="preserve">e relativi allegati in quanto le previsioni di </w:t>
      </w:r>
      <w:r w:rsidRPr="007C28ED">
        <w:rPr>
          <w:rFonts w:ascii="Arial" w:hAnsi="Arial" w:cs="Arial"/>
          <w:sz w:val="22"/>
          <w:szCs w:val="22"/>
        </w:rPr>
        <w:t>bilancio</w:t>
      </w:r>
      <w:r w:rsidR="006A589E" w:rsidRPr="007C28ED">
        <w:rPr>
          <w:rFonts w:ascii="Arial" w:hAnsi="Arial" w:cs="Arial"/>
          <w:sz w:val="22"/>
          <w:szCs w:val="22"/>
        </w:rPr>
        <w:t xml:space="preserve"> non consentono di rispettare gli equilibri di finanza pubblica come definiti dalla Legge di Bilancio n. 145/2018.</w:t>
      </w:r>
    </w:p>
    <w:p w:rsidR="007C28ED" w:rsidRDefault="007C28ED" w:rsidP="00C10C7F">
      <w:pPr>
        <w:tabs>
          <w:tab w:val="left" w:pos="5954"/>
        </w:tabs>
        <w:jc w:val="right"/>
        <w:rPr>
          <w:rFonts w:ascii="Arial" w:hAnsi="Arial" w:cs="Arial"/>
          <w:b/>
        </w:rPr>
      </w:pPr>
    </w:p>
    <w:p w:rsidR="00C10C7F" w:rsidRPr="00D80990" w:rsidRDefault="00264EAF" w:rsidP="00C10C7F">
      <w:pPr>
        <w:tabs>
          <w:tab w:val="left" w:pos="5954"/>
        </w:tabs>
        <w:jc w:val="right"/>
        <w:rPr>
          <w:rFonts w:ascii="Arial" w:hAnsi="Arial" w:cs="Arial"/>
          <w:b/>
          <w:color w:val="00B0F0"/>
          <w:sz w:val="28"/>
          <w:szCs w:val="28"/>
        </w:rPr>
      </w:pPr>
      <w:r w:rsidRPr="00D80990">
        <w:rPr>
          <w:rFonts w:ascii="Arial" w:hAnsi="Arial" w:cs="Arial"/>
          <w:b/>
        </w:rPr>
        <w:t>L’ORGANO DI REVISIONE</w:t>
      </w:r>
    </w:p>
    <w:sectPr w:rsidR="00C10C7F" w:rsidRPr="00D80990" w:rsidSect="00087EC6">
      <w:pgSz w:w="11906" w:h="16838" w:code="9"/>
      <w:pgMar w:top="1417" w:right="1134" w:bottom="1134" w:left="1134" w:header="709" w:footer="709" w:gutter="0"/>
      <w:cols w:space="708"/>
      <w:titlePg/>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810" w:rsidRDefault="009A5810">
      <w:r>
        <w:separator/>
      </w:r>
    </w:p>
  </w:endnote>
  <w:endnote w:type="continuationSeparator" w:id="1">
    <w:p w:rsidR="009A5810" w:rsidRDefault="009A581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ItcCenturyLight">
    <w:altName w:val="Calibri"/>
    <w:panose1 w:val="00000000000000000000"/>
    <w:charset w:val="00"/>
    <w:family w:val="auto"/>
    <w:notTrueType/>
    <w:pitch w:val="default"/>
    <w:sig w:usb0="00000003" w:usb1="00000000" w:usb2="00000000" w:usb3="00000000" w:csb0="00000001" w:csb1="00000000"/>
  </w:font>
  <w:font w:name="UniversExBlkExt">
    <w:panose1 w:val="00000000000000000000"/>
    <w:charset w:val="00"/>
    <w:family w:val="auto"/>
    <w:notTrueType/>
    <w:pitch w:val="default"/>
    <w:sig w:usb0="00000003" w:usb1="00000000" w:usb2="00000000" w:usb3="00000000" w:csb0="00000001" w:csb1="00000000"/>
  </w:font>
  <w:font w:name="Futura">
    <w:charset w:val="B1"/>
    <w:family w:val="swiss"/>
    <w:pitch w:val="variable"/>
    <w:sig w:usb0="80000867" w:usb1="00000000" w:usb2="00000000" w:usb3="00000000" w:csb0="000001FB" w:csb1="00000000"/>
  </w:font>
  <w:font w:name="Tahoma">
    <w:panose1 w:val="020B0604030504040204"/>
    <w:charset w:val="00"/>
    <w:family w:val="swiss"/>
    <w:notTrueType/>
    <w:pitch w:val="variable"/>
    <w:sig w:usb0="00000003" w:usb1="00000000" w:usb2="00000000" w:usb3="00000000" w:csb0="00000001" w:csb1="00000000"/>
  </w:font>
  <w:font w:name="Thorndale AMT">
    <w:altName w:val="Times New Roman"/>
    <w:panose1 w:val="00000000000000000000"/>
    <w:charset w:val="00"/>
    <w:family w:val="roman"/>
    <w:notTrueType/>
    <w:pitch w:val="variable"/>
    <w:sig w:usb0="00000003" w:usb1="00000000" w:usb2="00000000" w:usb3="00000000" w:csb0="00000001" w:csb1="00000000"/>
  </w:font>
  <w:font w:name="Albany AMT">
    <w:altName w:val="Arial"/>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Bookman Old Style">
    <w:altName w:val="Bookman Old Style"/>
    <w:panose1 w:val="020506040505050202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A99" w:rsidRDefault="00213664">
    <w:pPr>
      <w:pStyle w:val="Pidipagina"/>
      <w:framePr w:wrap="around" w:vAnchor="text" w:hAnchor="margin" w:xAlign="right" w:y="1"/>
      <w:rPr>
        <w:rStyle w:val="Numeropagina"/>
      </w:rPr>
    </w:pPr>
    <w:r>
      <w:rPr>
        <w:rStyle w:val="Numeropagina"/>
      </w:rPr>
      <w:fldChar w:fldCharType="begin"/>
    </w:r>
    <w:r w:rsidR="00EA4A99">
      <w:rPr>
        <w:rStyle w:val="Numeropagina"/>
      </w:rPr>
      <w:instrText xml:space="preserve">PAGE  </w:instrText>
    </w:r>
    <w:r>
      <w:rPr>
        <w:rStyle w:val="Numeropagina"/>
      </w:rPr>
      <w:fldChar w:fldCharType="end"/>
    </w:r>
  </w:p>
  <w:p w:rsidR="00EA4A99" w:rsidRDefault="00EA4A99">
    <w:pPr>
      <w:pStyle w:val="Pidipa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A99" w:rsidRDefault="00EA4A99">
    <w:pPr>
      <w:pBdr>
        <w:top w:val="single" w:sz="4" w:space="1" w:color="auto"/>
      </w:pBdr>
      <w:tabs>
        <w:tab w:val="left" w:pos="0"/>
        <w:tab w:val="right" w:pos="9306"/>
      </w:tabs>
      <w:rPr>
        <w:rFonts w:ascii="Arial" w:hAnsi="Arial" w:cs="Arial"/>
        <w:b/>
        <w:sz w:val="18"/>
        <w:szCs w:val="20"/>
      </w:rPr>
    </w:pPr>
    <w:r>
      <w:rPr>
        <w:rFonts w:ascii="Arial" w:hAnsi="Arial" w:cs="Arial"/>
        <w:b/>
        <w:sz w:val="18"/>
        <w:szCs w:val="20"/>
      </w:rPr>
      <w:t xml:space="preserve">Parere dell’Organo di Revisione sul bilancio di previsione 2019-2021 </w:t>
    </w:r>
    <w:r>
      <w:rPr>
        <w:rFonts w:ascii="Arial" w:hAnsi="Arial" w:cs="Arial"/>
        <w:b/>
        <w:sz w:val="18"/>
        <w:szCs w:val="20"/>
      </w:rPr>
      <w:tab/>
      <w:t xml:space="preserve">Pagina </w:t>
    </w:r>
    <w:r w:rsidR="00213664">
      <w:rPr>
        <w:rFonts w:ascii="Arial" w:hAnsi="Arial" w:cs="Arial"/>
        <w:b/>
        <w:sz w:val="18"/>
        <w:szCs w:val="20"/>
      </w:rPr>
      <w:fldChar w:fldCharType="begin"/>
    </w:r>
    <w:r>
      <w:rPr>
        <w:rFonts w:ascii="Arial" w:hAnsi="Arial" w:cs="Arial"/>
        <w:b/>
        <w:sz w:val="18"/>
        <w:szCs w:val="20"/>
      </w:rPr>
      <w:instrText xml:space="preserve"> PAGE </w:instrText>
    </w:r>
    <w:r w:rsidR="00213664">
      <w:rPr>
        <w:rFonts w:ascii="Arial" w:hAnsi="Arial" w:cs="Arial"/>
        <w:b/>
        <w:sz w:val="18"/>
        <w:szCs w:val="20"/>
      </w:rPr>
      <w:fldChar w:fldCharType="separate"/>
    </w:r>
    <w:r w:rsidR="00F54464">
      <w:rPr>
        <w:rFonts w:ascii="Arial" w:hAnsi="Arial" w:cs="Arial"/>
        <w:b/>
        <w:noProof/>
        <w:sz w:val="18"/>
        <w:szCs w:val="20"/>
      </w:rPr>
      <w:t>16</w:t>
    </w:r>
    <w:r w:rsidR="00213664">
      <w:rPr>
        <w:rFonts w:ascii="Arial" w:hAnsi="Arial" w:cs="Arial"/>
        <w:b/>
        <w:sz w:val="18"/>
        <w:szCs w:val="20"/>
      </w:rPr>
      <w:fldChar w:fldCharType="end"/>
    </w:r>
    <w:r>
      <w:rPr>
        <w:rFonts w:ascii="Arial" w:hAnsi="Arial" w:cs="Arial"/>
        <w:b/>
        <w:sz w:val="18"/>
        <w:szCs w:val="20"/>
      </w:rPr>
      <w:t xml:space="preserve"> di </w:t>
    </w:r>
    <w:r w:rsidR="00213664">
      <w:rPr>
        <w:rFonts w:ascii="Arial" w:hAnsi="Arial" w:cs="Arial"/>
        <w:b/>
        <w:sz w:val="18"/>
        <w:szCs w:val="20"/>
      </w:rPr>
      <w:fldChar w:fldCharType="begin"/>
    </w:r>
    <w:r>
      <w:rPr>
        <w:rFonts w:ascii="Arial" w:hAnsi="Arial" w:cs="Arial"/>
        <w:b/>
        <w:sz w:val="18"/>
        <w:szCs w:val="20"/>
      </w:rPr>
      <w:instrText xml:space="preserve"> NUMPAGES  </w:instrText>
    </w:r>
    <w:r w:rsidR="00213664">
      <w:rPr>
        <w:rFonts w:ascii="Arial" w:hAnsi="Arial" w:cs="Arial"/>
        <w:b/>
        <w:sz w:val="18"/>
        <w:szCs w:val="20"/>
      </w:rPr>
      <w:fldChar w:fldCharType="separate"/>
    </w:r>
    <w:r w:rsidR="00F54464">
      <w:rPr>
        <w:rFonts w:ascii="Arial" w:hAnsi="Arial" w:cs="Arial"/>
        <w:b/>
        <w:noProof/>
        <w:sz w:val="18"/>
        <w:szCs w:val="20"/>
      </w:rPr>
      <w:t>49</w:t>
    </w:r>
    <w:r w:rsidR="00213664">
      <w:rPr>
        <w:rFonts w:ascii="Arial" w:hAnsi="Arial" w:cs="Arial"/>
        <w:b/>
        <w:sz w:val="18"/>
        <w:szCs w:val="20"/>
      </w:rPr>
      <w:fldChar w:fldCharType="end"/>
    </w:r>
  </w:p>
  <w:p w:rsidR="00EA4A99" w:rsidRDefault="00EA4A99">
    <w:pPr>
      <w:pStyle w:val="Pidipagina"/>
      <w:pBdr>
        <w:top w:val="none" w:sz="0" w:space="0" w:color="auto"/>
      </w:pBdr>
      <w:tabs>
        <w:tab w:val="left" w:pos="0"/>
        <w:tab w:val="left" w:pos="8190"/>
      </w:tabs>
      <w:ind w:right="-50"/>
      <w:jc w:val="left"/>
      <w:rPr>
        <w:rFonts w:ascii="Garamond" w:hAnsi="Garamond"/>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A99" w:rsidRDefault="00EA4A99">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810" w:rsidRDefault="009A5810">
      <w:r>
        <w:separator/>
      </w:r>
    </w:p>
  </w:footnote>
  <w:footnote w:type="continuationSeparator" w:id="1">
    <w:p w:rsidR="009A5810" w:rsidRDefault="009A581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A99" w:rsidRDefault="00EA4A99">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A99" w:rsidRDefault="00EA4A99">
    <w:pPr>
      <w:pStyle w:val="Intestazione"/>
      <w:jc w:val="right"/>
      <w:rPr>
        <w:rFonts w:cs="Arial"/>
        <w:b/>
        <w:sz w:val="20"/>
      </w:rPr>
    </w:pPr>
    <w:r>
      <w:rPr>
        <w:rFonts w:cs="Arial"/>
        <w:b/>
        <w:sz w:val="20"/>
      </w:rPr>
      <w:t>Comune di………</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A99" w:rsidRDefault="00EA4A99">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949EA4D"/>
    <w:multiLevelType w:val="hybridMultilevel"/>
    <w:tmpl w:val="033CF0B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260559E"/>
    <w:multiLevelType w:val="hybridMultilevel"/>
    <w:tmpl w:val="A19C77A2"/>
    <w:lvl w:ilvl="0" w:tplc="3476E574">
      <w:numFmt w:val="bullet"/>
      <w:lvlText w:val=""/>
      <w:lvlJc w:val="left"/>
      <w:pPr>
        <w:ind w:left="720" w:hanging="360"/>
      </w:pPr>
      <w:rPr>
        <w:rFonts w:ascii="Symbol" w:eastAsiaTheme="minorHAnsi" w:hAnsi="Symbol" w:cstheme="minorBid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A783CB9"/>
    <w:multiLevelType w:val="hybridMultilevel"/>
    <w:tmpl w:val="522A6A5C"/>
    <w:lvl w:ilvl="0" w:tplc="FFFFFFFF">
      <w:start w:val="1"/>
      <w:numFmt w:val="bullet"/>
      <w:lvlText w:val="-"/>
      <w:lvlJc w:val="left"/>
      <w:pPr>
        <w:tabs>
          <w:tab w:val="num" w:pos="720"/>
        </w:tabs>
        <w:ind w:left="720" w:hanging="360"/>
      </w:pPr>
      <w:rPr>
        <w:rFonts w:ascii="Times New Roman" w:eastAsia="Times New Roman" w:hAnsi="Times New Roman" w:hint="default"/>
      </w:rPr>
    </w:lvl>
    <w:lvl w:ilvl="1" w:tplc="FFFFFFFF">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
    <w:nsid w:val="0BDA68A6"/>
    <w:multiLevelType w:val="hybridMultilevel"/>
    <w:tmpl w:val="C03C4E4E"/>
    <w:lvl w:ilvl="0" w:tplc="73748356">
      <w:start w:val="1"/>
      <w:numFmt w:val="bullet"/>
      <w:lvlText w:val="-"/>
      <w:lvlJc w:val="left"/>
      <w:pPr>
        <w:tabs>
          <w:tab w:val="num" w:pos="786"/>
        </w:tabs>
        <w:ind w:left="786" w:hanging="360"/>
      </w:pPr>
      <w:rPr>
        <w:rFonts w:ascii="Times New Roman" w:eastAsia="Times New Roman" w:hAnsi="Times New Roman" w:hint="default"/>
      </w:rPr>
    </w:lvl>
    <w:lvl w:ilvl="1" w:tplc="31D645D6">
      <w:start w:val="1"/>
      <w:numFmt w:val="decimal"/>
      <w:lvlText w:val="%2."/>
      <w:lvlJc w:val="left"/>
      <w:pPr>
        <w:tabs>
          <w:tab w:val="num" w:pos="1440"/>
        </w:tabs>
        <w:ind w:left="1440" w:hanging="360"/>
      </w:pPr>
      <w:rPr>
        <w:rFonts w:cs="Times New Roman"/>
      </w:rPr>
    </w:lvl>
    <w:lvl w:ilvl="2" w:tplc="7EF84F82">
      <w:start w:val="1"/>
      <w:numFmt w:val="decimal"/>
      <w:lvlText w:val="%3."/>
      <w:lvlJc w:val="left"/>
      <w:pPr>
        <w:tabs>
          <w:tab w:val="num" w:pos="2160"/>
        </w:tabs>
        <w:ind w:left="2160" w:hanging="360"/>
      </w:pPr>
      <w:rPr>
        <w:rFonts w:cs="Times New Roman"/>
      </w:rPr>
    </w:lvl>
    <w:lvl w:ilvl="3" w:tplc="AD4E1844">
      <w:start w:val="1"/>
      <w:numFmt w:val="decimal"/>
      <w:lvlText w:val="%4."/>
      <w:lvlJc w:val="left"/>
      <w:pPr>
        <w:tabs>
          <w:tab w:val="num" w:pos="2880"/>
        </w:tabs>
        <w:ind w:left="2880" w:hanging="360"/>
      </w:pPr>
      <w:rPr>
        <w:rFonts w:cs="Times New Roman"/>
      </w:rPr>
    </w:lvl>
    <w:lvl w:ilvl="4" w:tplc="69021174">
      <w:start w:val="1"/>
      <w:numFmt w:val="decimal"/>
      <w:lvlText w:val="%5."/>
      <w:lvlJc w:val="left"/>
      <w:pPr>
        <w:tabs>
          <w:tab w:val="num" w:pos="3600"/>
        </w:tabs>
        <w:ind w:left="3600" w:hanging="360"/>
      </w:pPr>
      <w:rPr>
        <w:rFonts w:cs="Times New Roman"/>
      </w:rPr>
    </w:lvl>
    <w:lvl w:ilvl="5" w:tplc="E0B88BC0">
      <w:start w:val="1"/>
      <w:numFmt w:val="decimal"/>
      <w:lvlText w:val="%6."/>
      <w:lvlJc w:val="left"/>
      <w:pPr>
        <w:tabs>
          <w:tab w:val="num" w:pos="4320"/>
        </w:tabs>
        <w:ind w:left="4320" w:hanging="360"/>
      </w:pPr>
      <w:rPr>
        <w:rFonts w:cs="Times New Roman"/>
      </w:rPr>
    </w:lvl>
    <w:lvl w:ilvl="6" w:tplc="E94A3C18">
      <w:start w:val="1"/>
      <w:numFmt w:val="decimal"/>
      <w:lvlText w:val="%7."/>
      <w:lvlJc w:val="left"/>
      <w:pPr>
        <w:tabs>
          <w:tab w:val="num" w:pos="5040"/>
        </w:tabs>
        <w:ind w:left="5040" w:hanging="360"/>
      </w:pPr>
      <w:rPr>
        <w:rFonts w:cs="Times New Roman"/>
      </w:rPr>
    </w:lvl>
    <w:lvl w:ilvl="7" w:tplc="AFFCD71C">
      <w:start w:val="1"/>
      <w:numFmt w:val="decimal"/>
      <w:lvlText w:val="%8."/>
      <w:lvlJc w:val="left"/>
      <w:pPr>
        <w:tabs>
          <w:tab w:val="num" w:pos="5760"/>
        </w:tabs>
        <w:ind w:left="5760" w:hanging="360"/>
      </w:pPr>
      <w:rPr>
        <w:rFonts w:cs="Times New Roman"/>
      </w:rPr>
    </w:lvl>
    <w:lvl w:ilvl="8" w:tplc="06F40CDA">
      <w:start w:val="1"/>
      <w:numFmt w:val="decimal"/>
      <w:lvlText w:val="%9."/>
      <w:lvlJc w:val="left"/>
      <w:pPr>
        <w:tabs>
          <w:tab w:val="num" w:pos="6480"/>
        </w:tabs>
        <w:ind w:left="6480" w:hanging="360"/>
      </w:pPr>
      <w:rPr>
        <w:rFonts w:cs="Times New Roman"/>
      </w:rPr>
    </w:lvl>
  </w:abstractNum>
  <w:abstractNum w:abstractNumId="4">
    <w:nsid w:val="0C1666AC"/>
    <w:multiLevelType w:val="hybridMultilevel"/>
    <w:tmpl w:val="57DCF676"/>
    <w:lvl w:ilvl="0" w:tplc="43A81B18">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11D66D2D"/>
    <w:multiLevelType w:val="hybridMultilevel"/>
    <w:tmpl w:val="213661B6"/>
    <w:lvl w:ilvl="0" w:tplc="C116E058">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
    <w:nsid w:val="13BB2838"/>
    <w:multiLevelType w:val="hybridMultilevel"/>
    <w:tmpl w:val="6AB64B72"/>
    <w:lvl w:ilvl="0" w:tplc="3476E574">
      <w:numFmt w:val="bullet"/>
      <w:lvlText w:val=""/>
      <w:lvlJc w:val="left"/>
      <w:pPr>
        <w:ind w:left="1080" w:hanging="360"/>
      </w:pPr>
      <w:rPr>
        <w:rFonts w:ascii="Symbol" w:eastAsiaTheme="minorHAnsi" w:hAnsi="Symbol" w:cstheme="minorBid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7">
    <w:nsid w:val="159C3F78"/>
    <w:multiLevelType w:val="hybridMultilevel"/>
    <w:tmpl w:val="4C74514A"/>
    <w:lvl w:ilvl="0" w:tplc="43A81B18">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178C1BBC"/>
    <w:multiLevelType w:val="hybridMultilevel"/>
    <w:tmpl w:val="DC18082A"/>
    <w:lvl w:ilvl="0" w:tplc="F9BC5D8E">
      <w:start w:val="1"/>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9">
    <w:nsid w:val="1CCE441F"/>
    <w:multiLevelType w:val="hybridMultilevel"/>
    <w:tmpl w:val="2974A968"/>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21DE05AF"/>
    <w:multiLevelType w:val="hybridMultilevel"/>
    <w:tmpl w:val="80D27C3E"/>
    <w:lvl w:ilvl="0" w:tplc="3476E574">
      <w:numFmt w:val="bullet"/>
      <w:lvlText w:val=""/>
      <w:lvlJc w:val="left"/>
      <w:pPr>
        <w:ind w:left="720" w:hanging="360"/>
      </w:pPr>
      <w:rPr>
        <w:rFonts w:ascii="Symbol" w:eastAsiaTheme="minorHAnsi" w:hAnsi="Symbol"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27B61E80"/>
    <w:multiLevelType w:val="hybridMultilevel"/>
    <w:tmpl w:val="17A6C0FC"/>
    <w:lvl w:ilvl="0" w:tplc="04100017">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2CB2614E"/>
    <w:multiLevelType w:val="multilevel"/>
    <w:tmpl w:val="39F60982"/>
    <w:lvl w:ilvl="0">
      <w:start w:val="1"/>
      <w:numFmt w:val="bullet"/>
      <w:lvlText w:val=""/>
      <w:lvlJc w:val="left"/>
      <w:pPr>
        <w:ind w:left="436" w:hanging="360"/>
      </w:pPr>
      <w:rPr>
        <w:rFonts w:ascii="Symbol" w:hAnsi="Symbol" w:hint="default"/>
        <w:sz w:val="16"/>
      </w:rPr>
    </w:lvl>
    <w:lvl w:ilvl="1">
      <w:start w:val="1"/>
      <w:numFmt w:val="none"/>
      <w:lvlText w:val="o"/>
      <w:legacy w:legacy="1" w:legacySpace="120" w:legacyIndent="360"/>
      <w:lvlJc w:val="left"/>
      <w:pPr>
        <w:ind w:left="796" w:hanging="360"/>
      </w:pPr>
      <w:rPr>
        <w:rFonts w:ascii="Courier New" w:hAnsi="Courier New" w:cs="Times New Roman" w:hint="default"/>
      </w:rPr>
    </w:lvl>
    <w:lvl w:ilvl="2">
      <w:start w:val="1"/>
      <w:numFmt w:val="none"/>
      <w:lvlText w:val=""/>
      <w:legacy w:legacy="1" w:legacySpace="120" w:legacyIndent="360"/>
      <w:lvlJc w:val="left"/>
      <w:pPr>
        <w:ind w:left="1156" w:hanging="360"/>
      </w:pPr>
      <w:rPr>
        <w:rFonts w:ascii="Wingdings" w:hAnsi="Wingdings" w:cs="Times New Roman" w:hint="default"/>
      </w:rPr>
    </w:lvl>
    <w:lvl w:ilvl="3">
      <w:start w:val="1"/>
      <w:numFmt w:val="none"/>
      <w:lvlText w:val=""/>
      <w:legacy w:legacy="1" w:legacySpace="120" w:legacyIndent="360"/>
      <w:lvlJc w:val="left"/>
      <w:pPr>
        <w:ind w:left="1516" w:hanging="360"/>
      </w:pPr>
      <w:rPr>
        <w:rFonts w:ascii="Symbol" w:hAnsi="Symbol" w:cs="Times New Roman" w:hint="default"/>
      </w:rPr>
    </w:lvl>
    <w:lvl w:ilvl="4">
      <w:start w:val="1"/>
      <w:numFmt w:val="none"/>
      <w:lvlText w:val="o"/>
      <w:legacy w:legacy="1" w:legacySpace="120" w:legacyIndent="360"/>
      <w:lvlJc w:val="left"/>
      <w:pPr>
        <w:ind w:left="1876" w:hanging="360"/>
      </w:pPr>
      <w:rPr>
        <w:rFonts w:ascii="Courier New" w:hAnsi="Courier New" w:cs="Times New Roman" w:hint="default"/>
      </w:rPr>
    </w:lvl>
    <w:lvl w:ilvl="5">
      <w:start w:val="1"/>
      <w:numFmt w:val="none"/>
      <w:lvlText w:val=""/>
      <w:legacy w:legacy="1" w:legacySpace="120" w:legacyIndent="360"/>
      <w:lvlJc w:val="left"/>
      <w:pPr>
        <w:ind w:left="2236" w:hanging="360"/>
      </w:pPr>
      <w:rPr>
        <w:rFonts w:ascii="Wingdings" w:hAnsi="Wingdings" w:cs="Times New Roman" w:hint="default"/>
      </w:rPr>
    </w:lvl>
    <w:lvl w:ilvl="6">
      <w:start w:val="1"/>
      <w:numFmt w:val="none"/>
      <w:lvlText w:val=""/>
      <w:legacy w:legacy="1" w:legacySpace="120" w:legacyIndent="360"/>
      <w:lvlJc w:val="left"/>
      <w:pPr>
        <w:ind w:left="2596" w:hanging="360"/>
      </w:pPr>
      <w:rPr>
        <w:rFonts w:ascii="Symbol" w:hAnsi="Symbol" w:cs="Times New Roman" w:hint="default"/>
      </w:rPr>
    </w:lvl>
    <w:lvl w:ilvl="7">
      <w:start w:val="1"/>
      <w:numFmt w:val="none"/>
      <w:lvlText w:val="o"/>
      <w:legacy w:legacy="1" w:legacySpace="120" w:legacyIndent="360"/>
      <w:lvlJc w:val="left"/>
      <w:pPr>
        <w:ind w:left="2956" w:hanging="360"/>
      </w:pPr>
      <w:rPr>
        <w:rFonts w:ascii="Courier New" w:hAnsi="Courier New" w:cs="Times New Roman" w:hint="default"/>
      </w:rPr>
    </w:lvl>
    <w:lvl w:ilvl="8">
      <w:start w:val="1"/>
      <w:numFmt w:val="none"/>
      <w:lvlText w:val=""/>
      <w:legacy w:legacy="1" w:legacySpace="120" w:legacyIndent="360"/>
      <w:lvlJc w:val="left"/>
      <w:pPr>
        <w:ind w:left="3316" w:hanging="360"/>
      </w:pPr>
      <w:rPr>
        <w:rFonts w:ascii="Wingdings" w:hAnsi="Wingdings" w:cs="Times New Roman" w:hint="default"/>
      </w:rPr>
    </w:lvl>
  </w:abstractNum>
  <w:abstractNum w:abstractNumId="13">
    <w:nsid w:val="2E506574"/>
    <w:multiLevelType w:val="hybridMultilevel"/>
    <w:tmpl w:val="A262302C"/>
    <w:lvl w:ilvl="0" w:tplc="3476E574">
      <w:numFmt w:val="bullet"/>
      <w:lvlText w:val=""/>
      <w:lvlJc w:val="left"/>
      <w:pPr>
        <w:ind w:left="720" w:hanging="360"/>
      </w:pPr>
      <w:rPr>
        <w:rFonts w:ascii="Symbol" w:eastAsiaTheme="minorHAnsi" w:hAnsi="Symbol"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2F8B12AC"/>
    <w:multiLevelType w:val="hybridMultilevel"/>
    <w:tmpl w:val="CF487C9E"/>
    <w:lvl w:ilvl="0" w:tplc="FF560A9E">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32616650"/>
    <w:multiLevelType w:val="hybridMultilevel"/>
    <w:tmpl w:val="FF7E1560"/>
    <w:lvl w:ilvl="0" w:tplc="04100017">
      <w:start w:val="8"/>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3597140A"/>
    <w:multiLevelType w:val="hybridMultilevel"/>
    <w:tmpl w:val="C3C884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3BFB5AE0"/>
    <w:multiLevelType w:val="hybridMultilevel"/>
    <w:tmpl w:val="13002C18"/>
    <w:lvl w:ilvl="0" w:tplc="3C2E3542">
      <w:start w:val="1"/>
      <w:numFmt w:val="lowerLetter"/>
      <w:lvlText w:val="%1)"/>
      <w:lvlJc w:val="left"/>
      <w:pPr>
        <w:tabs>
          <w:tab w:val="num" w:pos="360"/>
        </w:tabs>
        <w:ind w:left="360" w:hanging="360"/>
      </w:pPr>
      <w:rPr>
        <w:rFonts w:cs="Times New Roman"/>
      </w:rPr>
    </w:lvl>
    <w:lvl w:ilvl="1" w:tplc="73748356">
      <w:start w:val="1"/>
      <w:numFmt w:val="bullet"/>
      <w:lvlText w:val="-"/>
      <w:lvlJc w:val="left"/>
      <w:pPr>
        <w:tabs>
          <w:tab w:val="num" w:pos="1080"/>
        </w:tabs>
        <w:ind w:left="1080" w:hanging="360"/>
      </w:pPr>
      <w:rPr>
        <w:rFonts w:ascii="Times New Roman" w:eastAsia="Times New Roman" w:hAnsi="Times New Roman" w:hint="default"/>
      </w:rPr>
    </w:lvl>
    <w:lvl w:ilvl="2" w:tplc="F8DE199E">
      <w:start w:val="1"/>
      <w:numFmt w:val="decimal"/>
      <w:lvlText w:val="%3."/>
      <w:lvlJc w:val="left"/>
      <w:pPr>
        <w:tabs>
          <w:tab w:val="num" w:pos="2160"/>
        </w:tabs>
        <w:ind w:left="2160" w:hanging="360"/>
      </w:pPr>
      <w:rPr>
        <w:rFonts w:cs="Times New Roman"/>
      </w:rPr>
    </w:lvl>
    <w:lvl w:ilvl="3" w:tplc="051E8D78">
      <w:start w:val="1"/>
      <w:numFmt w:val="decimal"/>
      <w:lvlText w:val="%4."/>
      <w:lvlJc w:val="left"/>
      <w:pPr>
        <w:tabs>
          <w:tab w:val="num" w:pos="2880"/>
        </w:tabs>
        <w:ind w:left="2880" w:hanging="360"/>
      </w:pPr>
      <w:rPr>
        <w:rFonts w:cs="Times New Roman"/>
      </w:rPr>
    </w:lvl>
    <w:lvl w:ilvl="4" w:tplc="DAE052AE">
      <w:start w:val="1"/>
      <w:numFmt w:val="decimal"/>
      <w:lvlText w:val="%5."/>
      <w:lvlJc w:val="left"/>
      <w:pPr>
        <w:tabs>
          <w:tab w:val="num" w:pos="3600"/>
        </w:tabs>
        <w:ind w:left="3600" w:hanging="360"/>
      </w:pPr>
      <w:rPr>
        <w:rFonts w:cs="Times New Roman"/>
      </w:rPr>
    </w:lvl>
    <w:lvl w:ilvl="5" w:tplc="30688BFA">
      <w:start w:val="1"/>
      <w:numFmt w:val="decimal"/>
      <w:lvlText w:val="%6."/>
      <w:lvlJc w:val="left"/>
      <w:pPr>
        <w:tabs>
          <w:tab w:val="num" w:pos="4320"/>
        </w:tabs>
        <w:ind w:left="4320" w:hanging="360"/>
      </w:pPr>
      <w:rPr>
        <w:rFonts w:cs="Times New Roman"/>
      </w:rPr>
    </w:lvl>
    <w:lvl w:ilvl="6" w:tplc="88524830">
      <w:start w:val="1"/>
      <w:numFmt w:val="decimal"/>
      <w:lvlText w:val="%7."/>
      <w:lvlJc w:val="left"/>
      <w:pPr>
        <w:tabs>
          <w:tab w:val="num" w:pos="5040"/>
        </w:tabs>
        <w:ind w:left="5040" w:hanging="360"/>
      </w:pPr>
      <w:rPr>
        <w:rFonts w:cs="Times New Roman"/>
      </w:rPr>
    </w:lvl>
    <w:lvl w:ilvl="7" w:tplc="D0BE8460">
      <w:start w:val="1"/>
      <w:numFmt w:val="decimal"/>
      <w:lvlText w:val="%8."/>
      <w:lvlJc w:val="left"/>
      <w:pPr>
        <w:tabs>
          <w:tab w:val="num" w:pos="5760"/>
        </w:tabs>
        <w:ind w:left="5760" w:hanging="360"/>
      </w:pPr>
      <w:rPr>
        <w:rFonts w:cs="Times New Roman"/>
      </w:rPr>
    </w:lvl>
    <w:lvl w:ilvl="8" w:tplc="F83A53C4">
      <w:start w:val="1"/>
      <w:numFmt w:val="decimal"/>
      <w:lvlText w:val="%9."/>
      <w:lvlJc w:val="left"/>
      <w:pPr>
        <w:tabs>
          <w:tab w:val="num" w:pos="6480"/>
        </w:tabs>
        <w:ind w:left="6480" w:hanging="360"/>
      </w:pPr>
      <w:rPr>
        <w:rFonts w:cs="Times New Roman"/>
      </w:rPr>
    </w:lvl>
  </w:abstractNum>
  <w:abstractNum w:abstractNumId="18">
    <w:nsid w:val="3FC77781"/>
    <w:multiLevelType w:val="multilevel"/>
    <w:tmpl w:val="5F048D08"/>
    <w:lvl w:ilvl="0">
      <w:start w:val="1"/>
      <w:numFmt w:val="lowerLetter"/>
      <w:lvlText w:val="%1)"/>
      <w:lvlJc w:val="left"/>
      <w:pPr>
        <w:ind w:left="360" w:hanging="360"/>
      </w:pPr>
      <w:rPr>
        <w:rFonts w:cs="Times New Roman" w:hint="default"/>
        <w:sz w:val="22"/>
        <w:szCs w:val="22"/>
      </w:rPr>
    </w:lvl>
    <w:lvl w:ilvl="1">
      <w:start w:val="1"/>
      <w:numFmt w:val="none"/>
      <w:lvlText w:val="o"/>
      <w:legacy w:legacy="1" w:legacySpace="120" w:legacyIndent="360"/>
      <w:lvlJc w:val="left"/>
      <w:pPr>
        <w:ind w:left="720" w:hanging="360"/>
      </w:pPr>
      <w:rPr>
        <w:rFonts w:ascii="Courier New" w:hAnsi="Courier New" w:cs="Times New Roman" w:hint="default"/>
      </w:rPr>
    </w:lvl>
    <w:lvl w:ilvl="2">
      <w:start w:val="1"/>
      <w:numFmt w:val="none"/>
      <w:lvlText w:val=""/>
      <w:legacy w:legacy="1" w:legacySpace="120" w:legacyIndent="360"/>
      <w:lvlJc w:val="left"/>
      <w:pPr>
        <w:ind w:left="1080" w:hanging="360"/>
      </w:pPr>
      <w:rPr>
        <w:rFonts w:ascii="Wingdings" w:hAnsi="Wingdings" w:cs="Times New Roman" w:hint="default"/>
      </w:rPr>
    </w:lvl>
    <w:lvl w:ilvl="3">
      <w:start w:val="1"/>
      <w:numFmt w:val="none"/>
      <w:lvlText w:val=""/>
      <w:legacy w:legacy="1" w:legacySpace="120" w:legacyIndent="360"/>
      <w:lvlJc w:val="left"/>
      <w:pPr>
        <w:ind w:left="1440" w:hanging="360"/>
      </w:pPr>
      <w:rPr>
        <w:rFonts w:ascii="Symbol" w:hAnsi="Symbol" w:cs="Times New Roman" w:hint="default"/>
      </w:rPr>
    </w:lvl>
    <w:lvl w:ilvl="4">
      <w:start w:val="1"/>
      <w:numFmt w:val="none"/>
      <w:lvlText w:val="o"/>
      <w:legacy w:legacy="1" w:legacySpace="120" w:legacyIndent="360"/>
      <w:lvlJc w:val="left"/>
      <w:pPr>
        <w:ind w:left="1800" w:hanging="360"/>
      </w:pPr>
      <w:rPr>
        <w:rFonts w:ascii="Courier New" w:hAnsi="Courier New" w:cs="Times New Roman" w:hint="default"/>
      </w:rPr>
    </w:lvl>
    <w:lvl w:ilvl="5">
      <w:start w:val="1"/>
      <w:numFmt w:val="none"/>
      <w:lvlText w:val=""/>
      <w:legacy w:legacy="1" w:legacySpace="120" w:legacyIndent="360"/>
      <w:lvlJc w:val="left"/>
      <w:pPr>
        <w:ind w:left="2160" w:hanging="360"/>
      </w:pPr>
      <w:rPr>
        <w:rFonts w:ascii="Wingdings" w:hAnsi="Wingdings" w:cs="Times New Roman" w:hint="default"/>
      </w:rPr>
    </w:lvl>
    <w:lvl w:ilvl="6">
      <w:start w:val="1"/>
      <w:numFmt w:val="none"/>
      <w:lvlText w:val=""/>
      <w:legacy w:legacy="1" w:legacySpace="120" w:legacyIndent="360"/>
      <w:lvlJc w:val="left"/>
      <w:pPr>
        <w:ind w:left="2520" w:hanging="360"/>
      </w:pPr>
      <w:rPr>
        <w:rFonts w:ascii="Symbol" w:hAnsi="Symbol" w:cs="Times New Roman" w:hint="default"/>
      </w:rPr>
    </w:lvl>
    <w:lvl w:ilvl="7">
      <w:start w:val="1"/>
      <w:numFmt w:val="none"/>
      <w:lvlText w:val="o"/>
      <w:legacy w:legacy="1" w:legacySpace="120" w:legacyIndent="360"/>
      <w:lvlJc w:val="left"/>
      <w:pPr>
        <w:ind w:left="2880" w:hanging="360"/>
      </w:pPr>
      <w:rPr>
        <w:rFonts w:ascii="Courier New" w:hAnsi="Courier New" w:cs="Times New Roman" w:hint="default"/>
      </w:rPr>
    </w:lvl>
    <w:lvl w:ilvl="8">
      <w:start w:val="1"/>
      <w:numFmt w:val="none"/>
      <w:lvlText w:val=""/>
      <w:legacy w:legacy="1" w:legacySpace="120" w:legacyIndent="360"/>
      <w:lvlJc w:val="left"/>
      <w:pPr>
        <w:ind w:left="3240" w:hanging="360"/>
      </w:pPr>
      <w:rPr>
        <w:rFonts w:ascii="Wingdings" w:hAnsi="Wingdings" w:cs="Times New Roman" w:hint="default"/>
      </w:rPr>
    </w:lvl>
  </w:abstractNum>
  <w:abstractNum w:abstractNumId="19">
    <w:nsid w:val="443A20A1"/>
    <w:multiLevelType w:val="hybridMultilevel"/>
    <w:tmpl w:val="DBE8DE4E"/>
    <w:lvl w:ilvl="0" w:tplc="13E832E4">
      <w:start w:val="1"/>
      <w:numFmt w:val="lowerLetter"/>
      <w:lvlText w:val="%1)"/>
      <w:lvlJc w:val="left"/>
      <w:pPr>
        <w:ind w:left="1211" w:hanging="360"/>
      </w:pPr>
      <w:rPr>
        <w:rFonts w:hint="default"/>
      </w:rPr>
    </w:lvl>
    <w:lvl w:ilvl="1" w:tplc="04100019" w:tentative="1">
      <w:start w:val="1"/>
      <w:numFmt w:val="lowerLetter"/>
      <w:lvlText w:val="%2."/>
      <w:lvlJc w:val="left"/>
      <w:pPr>
        <w:ind w:left="1931" w:hanging="360"/>
      </w:pPr>
    </w:lvl>
    <w:lvl w:ilvl="2" w:tplc="0410001B" w:tentative="1">
      <w:start w:val="1"/>
      <w:numFmt w:val="lowerRoman"/>
      <w:lvlText w:val="%3."/>
      <w:lvlJc w:val="right"/>
      <w:pPr>
        <w:ind w:left="2651" w:hanging="180"/>
      </w:pPr>
    </w:lvl>
    <w:lvl w:ilvl="3" w:tplc="0410000F" w:tentative="1">
      <w:start w:val="1"/>
      <w:numFmt w:val="decimal"/>
      <w:lvlText w:val="%4."/>
      <w:lvlJc w:val="left"/>
      <w:pPr>
        <w:ind w:left="3371" w:hanging="360"/>
      </w:pPr>
    </w:lvl>
    <w:lvl w:ilvl="4" w:tplc="04100019" w:tentative="1">
      <w:start w:val="1"/>
      <w:numFmt w:val="lowerLetter"/>
      <w:lvlText w:val="%5."/>
      <w:lvlJc w:val="left"/>
      <w:pPr>
        <w:ind w:left="4091" w:hanging="360"/>
      </w:pPr>
    </w:lvl>
    <w:lvl w:ilvl="5" w:tplc="0410001B" w:tentative="1">
      <w:start w:val="1"/>
      <w:numFmt w:val="lowerRoman"/>
      <w:lvlText w:val="%6."/>
      <w:lvlJc w:val="right"/>
      <w:pPr>
        <w:ind w:left="4811" w:hanging="180"/>
      </w:pPr>
    </w:lvl>
    <w:lvl w:ilvl="6" w:tplc="0410000F" w:tentative="1">
      <w:start w:val="1"/>
      <w:numFmt w:val="decimal"/>
      <w:lvlText w:val="%7."/>
      <w:lvlJc w:val="left"/>
      <w:pPr>
        <w:ind w:left="5531" w:hanging="360"/>
      </w:pPr>
    </w:lvl>
    <w:lvl w:ilvl="7" w:tplc="04100019" w:tentative="1">
      <w:start w:val="1"/>
      <w:numFmt w:val="lowerLetter"/>
      <w:lvlText w:val="%8."/>
      <w:lvlJc w:val="left"/>
      <w:pPr>
        <w:ind w:left="6251" w:hanging="360"/>
      </w:pPr>
    </w:lvl>
    <w:lvl w:ilvl="8" w:tplc="0410001B" w:tentative="1">
      <w:start w:val="1"/>
      <w:numFmt w:val="lowerRoman"/>
      <w:lvlText w:val="%9."/>
      <w:lvlJc w:val="right"/>
      <w:pPr>
        <w:ind w:left="6971" w:hanging="180"/>
      </w:pPr>
    </w:lvl>
  </w:abstractNum>
  <w:abstractNum w:abstractNumId="20">
    <w:nsid w:val="474C77F6"/>
    <w:multiLevelType w:val="multilevel"/>
    <w:tmpl w:val="DDBAE24C"/>
    <w:lvl w:ilvl="0">
      <w:numFmt w:val="bullet"/>
      <w:lvlText w:val="-"/>
      <w:lvlJc w:val="left"/>
      <w:pPr>
        <w:ind w:left="360" w:hanging="360"/>
      </w:pPr>
      <w:rPr>
        <w:rFonts w:ascii="Arial" w:eastAsia="Times New Roman" w:hAnsi="Arial" w:hint="default"/>
        <w:sz w:val="16"/>
      </w:rPr>
    </w:lvl>
    <w:lvl w:ilvl="1">
      <w:start w:val="1"/>
      <w:numFmt w:val="none"/>
      <w:lvlText w:val="o"/>
      <w:legacy w:legacy="1" w:legacySpace="120" w:legacyIndent="360"/>
      <w:lvlJc w:val="left"/>
      <w:pPr>
        <w:ind w:left="720" w:hanging="360"/>
      </w:pPr>
      <w:rPr>
        <w:rFonts w:ascii="Courier New" w:hAnsi="Courier New" w:cs="Times New Roman" w:hint="default"/>
      </w:rPr>
    </w:lvl>
    <w:lvl w:ilvl="2">
      <w:start w:val="1"/>
      <w:numFmt w:val="none"/>
      <w:lvlText w:val=""/>
      <w:legacy w:legacy="1" w:legacySpace="120" w:legacyIndent="360"/>
      <w:lvlJc w:val="left"/>
      <w:pPr>
        <w:ind w:left="1080" w:hanging="360"/>
      </w:pPr>
      <w:rPr>
        <w:rFonts w:ascii="Wingdings" w:hAnsi="Wingdings" w:cs="Times New Roman" w:hint="default"/>
      </w:rPr>
    </w:lvl>
    <w:lvl w:ilvl="3">
      <w:start w:val="1"/>
      <w:numFmt w:val="none"/>
      <w:lvlText w:val=""/>
      <w:legacy w:legacy="1" w:legacySpace="120" w:legacyIndent="360"/>
      <w:lvlJc w:val="left"/>
      <w:pPr>
        <w:ind w:left="1440" w:hanging="360"/>
      </w:pPr>
      <w:rPr>
        <w:rFonts w:ascii="Symbol" w:hAnsi="Symbol" w:cs="Times New Roman" w:hint="default"/>
      </w:rPr>
    </w:lvl>
    <w:lvl w:ilvl="4">
      <w:start w:val="1"/>
      <w:numFmt w:val="none"/>
      <w:lvlText w:val="o"/>
      <w:legacy w:legacy="1" w:legacySpace="120" w:legacyIndent="360"/>
      <w:lvlJc w:val="left"/>
      <w:pPr>
        <w:ind w:left="1800" w:hanging="360"/>
      </w:pPr>
      <w:rPr>
        <w:rFonts w:ascii="Courier New" w:hAnsi="Courier New" w:cs="Times New Roman" w:hint="default"/>
      </w:rPr>
    </w:lvl>
    <w:lvl w:ilvl="5">
      <w:start w:val="1"/>
      <w:numFmt w:val="none"/>
      <w:lvlText w:val=""/>
      <w:legacy w:legacy="1" w:legacySpace="120" w:legacyIndent="360"/>
      <w:lvlJc w:val="left"/>
      <w:pPr>
        <w:ind w:left="2160" w:hanging="360"/>
      </w:pPr>
      <w:rPr>
        <w:rFonts w:ascii="Wingdings" w:hAnsi="Wingdings" w:cs="Times New Roman" w:hint="default"/>
      </w:rPr>
    </w:lvl>
    <w:lvl w:ilvl="6">
      <w:start w:val="1"/>
      <w:numFmt w:val="none"/>
      <w:lvlText w:val=""/>
      <w:legacy w:legacy="1" w:legacySpace="120" w:legacyIndent="360"/>
      <w:lvlJc w:val="left"/>
      <w:pPr>
        <w:ind w:left="2520" w:hanging="360"/>
      </w:pPr>
      <w:rPr>
        <w:rFonts w:ascii="Symbol" w:hAnsi="Symbol" w:cs="Times New Roman" w:hint="default"/>
      </w:rPr>
    </w:lvl>
    <w:lvl w:ilvl="7">
      <w:start w:val="1"/>
      <w:numFmt w:val="none"/>
      <w:lvlText w:val="o"/>
      <w:legacy w:legacy="1" w:legacySpace="120" w:legacyIndent="360"/>
      <w:lvlJc w:val="left"/>
      <w:pPr>
        <w:ind w:left="2880" w:hanging="360"/>
      </w:pPr>
      <w:rPr>
        <w:rFonts w:ascii="Courier New" w:hAnsi="Courier New" w:cs="Times New Roman" w:hint="default"/>
      </w:rPr>
    </w:lvl>
    <w:lvl w:ilvl="8">
      <w:start w:val="1"/>
      <w:numFmt w:val="none"/>
      <w:lvlText w:val=""/>
      <w:legacy w:legacy="1" w:legacySpace="120" w:legacyIndent="360"/>
      <w:lvlJc w:val="left"/>
      <w:pPr>
        <w:ind w:left="3240" w:hanging="360"/>
      </w:pPr>
      <w:rPr>
        <w:rFonts w:ascii="Wingdings" w:hAnsi="Wingdings" w:cs="Times New Roman" w:hint="default"/>
      </w:rPr>
    </w:lvl>
  </w:abstractNum>
  <w:abstractNum w:abstractNumId="21">
    <w:nsid w:val="48327BE1"/>
    <w:multiLevelType w:val="hybridMultilevel"/>
    <w:tmpl w:val="54300C48"/>
    <w:lvl w:ilvl="0" w:tplc="04100001">
      <w:start w:val="1"/>
      <w:numFmt w:val="bullet"/>
      <w:lvlText w:val=""/>
      <w:lvlJc w:val="left"/>
      <w:pPr>
        <w:ind w:left="1639" w:hanging="360"/>
      </w:pPr>
      <w:rPr>
        <w:rFonts w:ascii="Symbol" w:hAnsi="Symbol" w:hint="default"/>
      </w:rPr>
    </w:lvl>
    <w:lvl w:ilvl="1" w:tplc="04100003" w:tentative="1">
      <w:start w:val="1"/>
      <w:numFmt w:val="bullet"/>
      <w:lvlText w:val="o"/>
      <w:lvlJc w:val="left"/>
      <w:pPr>
        <w:ind w:left="2359" w:hanging="360"/>
      </w:pPr>
      <w:rPr>
        <w:rFonts w:ascii="Courier New" w:hAnsi="Courier New" w:cs="Courier New" w:hint="default"/>
      </w:rPr>
    </w:lvl>
    <w:lvl w:ilvl="2" w:tplc="04100005" w:tentative="1">
      <w:start w:val="1"/>
      <w:numFmt w:val="bullet"/>
      <w:lvlText w:val=""/>
      <w:lvlJc w:val="left"/>
      <w:pPr>
        <w:ind w:left="3079" w:hanging="360"/>
      </w:pPr>
      <w:rPr>
        <w:rFonts w:ascii="Wingdings" w:hAnsi="Wingdings" w:hint="default"/>
      </w:rPr>
    </w:lvl>
    <w:lvl w:ilvl="3" w:tplc="04100001" w:tentative="1">
      <w:start w:val="1"/>
      <w:numFmt w:val="bullet"/>
      <w:lvlText w:val=""/>
      <w:lvlJc w:val="left"/>
      <w:pPr>
        <w:ind w:left="3799" w:hanging="360"/>
      </w:pPr>
      <w:rPr>
        <w:rFonts w:ascii="Symbol" w:hAnsi="Symbol" w:hint="default"/>
      </w:rPr>
    </w:lvl>
    <w:lvl w:ilvl="4" w:tplc="04100003" w:tentative="1">
      <w:start w:val="1"/>
      <w:numFmt w:val="bullet"/>
      <w:lvlText w:val="o"/>
      <w:lvlJc w:val="left"/>
      <w:pPr>
        <w:ind w:left="4519" w:hanging="360"/>
      </w:pPr>
      <w:rPr>
        <w:rFonts w:ascii="Courier New" w:hAnsi="Courier New" w:cs="Courier New" w:hint="default"/>
      </w:rPr>
    </w:lvl>
    <w:lvl w:ilvl="5" w:tplc="04100005" w:tentative="1">
      <w:start w:val="1"/>
      <w:numFmt w:val="bullet"/>
      <w:lvlText w:val=""/>
      <w:lvlJc w:val="left"/>
      <w:pPr>
        <w:ind w:left="5239" w:hanging="360"/>
      </w:pPr>
      <w:rPr>
        <w:rFonts w:ascii="Wingdings" w:hAnsi="Wingdings" w:hint="default"/>
      </w:rPr>
    </w:lvl>
    <w:lvl w:ilvl="6" w:tplc="04100001" w:tentative="1">
      <w:start w:val="1"/>
      <w:numFmt w:val="bullet"/>
      <w:lvlText w:val=""/>
      <w:lvlJc w:val="left"/>
      <w:pPr>
        <w:ind w:left="5959" w:hanging="360"/>
      </w:pPr>
      <w:rPr>
        <w:rFonts w:ascii="Symbol" w:hAnsi="Symbol" w:hint="default"/>
      </w:rPr>
    </w:lvl>
    <w:lvl w:ilvl="7" w:tplc="04100003" w:tentative="1">
      <w:start w:val="1"/>
      <w:numFmt w:val="bullet"/>
      <w:lvlText w:val="o"/>
      <w:lvlJc w:val="left"/>
      <w:pPr>
        <w:ind w:left="6679" w:hanging="360"/>
      </w:pPr>
      <w:rPr>
        <w:rFonts w:ascii="Courier New" w:hAnsi="Courier New" w:cs="Courier New" w:hint="default"/>
      </w:rPr>
    </w:lvl>
    <w:lvl w:ilvl="8" w:tplc="04100005" w:tentative="1">
      <w:start w:val="1"/>
      <w:numFmt w:val="bullet"/>
      <w:lvlText w:val=""/>
      <w:lvlJc w:val="left"/>
      <w:pPr>
        <w:ind w:left="7399" w:hanging="360"/>
      </w:pPr>
      <w:rPr>
        <w:rFonts w:ascii="Wingdings" w:hAnsi="Wingdings" w:hint="default"/>
      </w:rPr>
    </w:lvl>
  </w:abstractNum>
  <w:abstractNum w:abstractNumId="22">
    <w:nsid w:val="4B4E285F"/>
    <w:multiLevelType w:val="hybridMultilevel"/>
    <w:tmpl w:val="071E461C"/>
    <w:lvl w:ilvl="0" w:tplc="903AAA68">
      <w:start w:val="166"/>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nsid w:val="4C85515C"/>
    <w:multiLevelType w:val="hybridMultilevel"/>
    <w:tmpl w:val="140EE472"/>
    <w:lvl w:ilvl="0" w:tplc="8A4600E8">
      <w:numFmt w:val="bullet"/>
      <w:lvlText w:val="-"/>
      <w:lvlJc w:val="left"/>
      <w:pPr>
        <w:ind w:left="360" w:hanging="360"/>
      </w:pPr>
      <w:rPr>
        <w:rFonts w:ascii="Arial" w:eastAsia="Times New Roman" w:hAnsi="Aria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4">
    <w:nsid w:val="4F716DFC"/>
    <w:multiLevelType w:val="multilevel"/>
    <w:tmpl w:val="3F842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B4D6556"/>
    <w:multiLevelType w:val="hybridMultilevel"/>
    <w:tmpl w:val="289C4124"/>
    <w:lvl w:ilvl="0" w:tplc="04100017">
      <w:start w:val="12"/>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nsid w:val="5F5B60BD"/>
    <w:multiLevelType w:val="hybridMultilevel"/>
    <w:tmpl w:val="FC6451E6"/>
    <w:lvl w:ilvl="0" w:tplc="F138A334">
      <w:start w:val="1"/>
      <w:numFmt w:val="bullet"/>
      <w:lvlText w:val="-"/>
      <w:lvlJc w:val="left"/>
      <w:pPr>
        <w:tabs>
          <w:tab w:val="num" w:pos="360"/>
        </w:tabs>
        <w:ind w:left="360" w:hanging="360"/>
      </w:pPr>
      <w:rPr>
        <w:rFonts w:ascii="Times New Roman" w:eastAsia="Times New Roman" w:hAnsi="Times New Roman" w:hint="default"/>
      </w:rPr>
    </w:lvl>
    <w:lvl w:ilvl="1" w:tplc="8D10318E" w:tentative="1">
      <w:start w:val="1"/>
      <w:numFmt w:val="bullet"/>
      <w:lvlText w:val="o"/>
      <w:lvlJc w:val="left"/>
      <w:pPr>
        <w:tabs>
          <w:tab w:val="num" w:pos="1440"/>
        </w:tabs>
        <w:ind w:left="1440" w:hanging="360"/>
      </w:pPr>
      <w:rPr>
        <w:rFonts w:ascii="Courier New" w:hAnsi="Courier New" w:hint="default"/>
      </w:rPr>
    </w:lvl>
    <w:lvl w:ilvl="2" w:tplc="7DC436CA" w:tentative="1">
      <w:start w:val="1"/>
      <w:numFmt w:val="bullet"/>
      <w:lvlText w:val=""/>
      <w:lvlJc w:val="left"/>
      <w:pPr>
        <w:tabs>
          <w:tab w:val="num" w:pos="2160"/>
        </w:tabs>
        <w:ind w:left="2160" w:hanging="360"/>
      </w:pPr>
      <w:rPr>
        <w:rFonts w:ascii="Wingdings" w:hAnsi="Wingdings" w:hint="default"/>
      </w:rPr>
    </w:lvl>
    <w:lvl w:ilvl="3" w:tplc="68DE7CBC" w:tentative="1">
      <w:start w:val="1"/>
      <w:numFmt w:val="bullet"/>
      <w:lvlText w:val=""/>
      <w:lvlJc w:val="left"/>
      <w:pPr>
        <w:tabs>
          <w:tab w:val="num" w:pos="2880"/>
        </w:tabs>
        <w:ind w:left="2880" w:hanging="360"/>
      </w:pPr>
      <w:rPr>
        <w:rFonts w:ascii="Symbol" w:hAnsi="Symbol" w:hint="default"/>
      </w:rPr>
    </w:lvl>
    <w:lvl w:ilvl="4" w:tplc="DF2AECFC" w:tentative="1">
      <w:start w:val="1"/>
      <w:numFmt w:val="bullet"/>
      <w:lvlText w:val="o"/>
      <w:lvlJc w:val="left"/>
      <w:pPr>
        <w:tabs>
          <w:tab w:val="num" w:pos="3600"/>
        </w:tabs>
        <w:ind w:left="3600" w:hanging="360"/>
      </w:pPr>
      <w:rPr>
        <w:rFonts w:ascii="Courier New" w:hAnsi="Courier New" w:hint="default"/>
      </w:rPr>
    </w:lvl>
    <w:lvl w:ilvl="5" w:tplc="01D0F7D4" w:tentative="1">
      <w:start w:val="1"/>
      <w:numFmt w:val="bullet"/>
      <w:lvlText w:val=""/>
      <w:lvlJc w:val="left"/>
      <w:pPr>
        <w:tabs>
          <w:tab w:val="num" w:pos="4320"/>
        </w:tabs>
        <w:ind w:left="4320" w:hanging="360"/>
      </w:pPr>
      <w:rPr>
        <w:rFonts w:ascii="Wingdings" w:hAnsi="Wingdings" w:hint="default"/>
      </w:rPr>
    </w:lvl>
    <w:lvl w:ilvl="6" w:tplc="0A6AE94E" w:tentative="1">
      <w:start w:val="1"/>
      <w:numFmt w:val="bullet"/>
      <w:lvlText w:val=""/>
      <w:lvlJc w:val="left"/>
      <w:pPr>
        <w:tabs>
          <w:tab w:val="num" w:pos="5040"/>
        </w:tabs>
        <w:ind w:left="5040" w:hanging="360"/>
      </w:pPr>
      <w:rPr>
        <w:rFonts w:ascii="Symbol" w:hAnsi="Symbol" w:hint="default"/>
      </w:rPr>
    </w:lvl>
    <w:lvl w:ilvl="7" w:tplc="112654A6" w:tentative="1">
      <w:start w:val="1"/>
      <w:numFmt w:val="bullet"/>
      <w:lvlText w:val="o"/>
      <w:lvlJc w:val="left"/>
      <w:pPr>
        <w:tabs>
          <w:tab w:val="num" w:pos="5760"/>
        </w:tabs>
        <w:ind w:left="5760" w:hanging="360"/>
      </w:pPr>
      <w:rPr>
        <w:rFonts w:ascii="Courier New" w:hAnsi="Courier New" w:hint="default"/>
      </w:rPr>
    </w:lvl>
    <w:lvl w:ilvl="8" w:tplc="DF08EC5E" w:tentative="1">
      <w:start w:val="1"/>
      <w:numFmt w:val="bullet"/>
      <w:lvlText w:val=""/>
      <w:lvlJc w:val="left"/>
      <w:pPr>
        <w:tabs>
          <w:tab w:val="num" w:pos="6480"/>
        </w:tabs>
        <w:ind w:left="6480" w:hanging="360"/>
      </w:pPr>
      <w:rPr>
        <w:rFonts w:ascii="Wingdings" w:hAnsi="Wingdings" w:hint="default"/>
      </w:rPr>
    </w:lvl>
  </w:abstractNum>
  <w:abstractNum w:abstractNumId="27">
    <w:nsid w:val="616B1CA1"/>
    <w:multiLevelType w:val="multilevel"/>
    <w:tmpl w:val="173CCA70"/>
    <w:lvl w:ilvl="0">
      <w:start w:val="1"/>
      <w:numFmt w:val="bullet"/>
      <w:lvlText w:val=""/>
      <w:lvlJc w:val="left"/>
      <w:pPr>
        <w:ind w:left="360" w:hanging="360"/>
      </w:pPr>
      <w:rPr>
        <w:rFonts w:ascii="Symbol" w:hAnsi="Symbol" w:hint="default"/>
        <w:sz w:val="16"/>
      </w:rPr>
    </w:lvl>
    <w:lvl w:ilvl="1">
      <w:start w:val="1"/>
      <w:numFmt w:val="none"/>
      <w:lvlText w:val="o"/>
      <w:legacy w:legacy="1" w:legacySpace="120" w:legacyIndent="360"/>
      <w:lvlJc w:val="left"/>
      <w:pPr>
        <w:ind w:left="720" w:hanging="360"/>
      </w:pPr>
      <w:rPr>
        <w:rFonts w:ascii="Courier New" w:hAnsi="Courier New" w:cs="Times New Roman" w:hint="default"/>
      </w:rPr>
    </w:lvl>
    <w:lvl w:ilvl="2">
      <w:start w:val="1"/>
      <w:numFmt w:val="none"/>
      <w:lvlText w:val=""/>
      <w:legacy w:legacy="1" w:legacySpace="120" w:legacyIndent="360"/>
      <w:lvlJc w:val="left"/>
      <w:pPr>
        <w:ind w:left="1080" w:hanging="360"/>
      </w:pPr>
      <w:rPr>
        <w:rFonts w:ascii="Wingdings" w:hAnsi="Wingdings" w:cs="Times New Roman" w:hint="default"/>
      </w:rPr>
    </w:lvl>
    <w:lvl w:ilvl="3">
      <w:start w:val="1"/>
      <w:numFmt w:val="none"/>
      <w:lvlText w:val=""/>
      <w:legacy w:legacy="1" w:legacySpace="120" w:legacyIndent="360"/>
      <w:lvlJc w:val="left"/>
      <w:pPr>
        <w:ind w:left="1440" w:hanging="360"/>
      </w:pPr>
      <w:rPr>
        <w:rFonts w:ascii="Symbol" w:hAnsi="Symbol" w:cs="Times New Roman" w:hint="default"/>
      </w:rPr>
    </w:lvl>
    <w:lvl w:ilvl="4">
      <w:start w:val="1"/>
      <w:numFmt w:val="none"/>
      <w:lvlText w:val="o"/>
      <w:legacy w:legacy="1" w:legacySpace="120" w:legacyIndent="360"/>
      <w:lvlJc w:val="left"/>
      <w:pPr>
        <w:ind w:left="1800" w:hanging="360"/>
      </w:pPr>
      <w:rPr>
        <w:rFonts w:ascii="Courier New" w:hAnsi="Courier New" w:cs="Times New Roman" w:hint="default"/>
      </w:rPr>
    </w:lvl>
    <w:lvl w:ilvl="5">
      <w:start w:val="1"/>
      <w:numFmt w:val="none"/>
      <w:lvlText w:val=""/>
      <w:legacy w:legacy="1" w:legacySpace="120" w:legacyIndent="360"/>
      <w:lvlJc w:val="left"/>
      <w:pPr>
        <w:ind w:left="2160" w:hanging="360"/>
      </w:pPr>
      <w:rPr>
        <w:rFonts w:ascii="Wingdings" w:hAnsi="Wingdings" w:cs="Times New Roman" w:hint="default"/>
      </w:rPr>
    </w:lvl>
    <w:lvl w:ilvl="6">
      <w:start w:val="1"/>
      <w:numFmt w:val="none"/>
      <w:lvlText w:val=""/>
      <w:legacy w:legacy="1" w:legacySpace="120" w:legacyIndent="360"/>
      <w:lvlJc w:val="left"/>
      <w:pPr>
        <w:ind w:left="2520" w:hanging="360"/>
      </w:pPr>
      <w:rPr>
        <w:rFonts w:ascii="Symbol" w:hAnsi="Symbol" w:cs="Times New Roman" w:hint="default"/>
      </w:rPr>
    </w:lvl>
    <w:lvl w:ilvl="7">
      <w:start w:val="1"/>
      <w:numFmt w:val="none"/>
      <w:lvlText w:val="o"/>
      <w:legacy w:legacy="1" w:legacySpace="120" w:legacyIndent="360"/>
      <w:lvlJc w:val="left"/>
      <w:pPr>
        <w:ind w:left="2880" w:hanging="360"/>
      </w:pPr>
      <w:rPr>
        <w:rFonts w:ascii="Courier New" w:hAnsi="Courier New" w:cs="Times New Roman" w:hint="default"/>
      </w:rPr>
    </w:lvl>
    <w:lvl w:ilvl="8">
      <w:start w:val="1"/>
      <w:numFmt w:val="none"/>
      <w:lvlText w:val=""/>
      <w:legacy w:legacy="1" w:legacySpace="120" w:legacyIndent="360"/>
      <w:lvlJc w:val="left"/>
      <w:pPr>
        <w:ind w:left="3240" w:hanging="360"/>
      </w:pPr>
      <w:rPr>
        <w:rFonts w:ascii="Wingdings" w:hAnsi="Wingdings" w:cs="Times New Roman" w:hint="default"/>
      </w:rPr>
    </w:lvl>
  </w:abstractNum>
  <w:abstractNum w:abstractNumId="28">
    <w:nsid w:val="61C74FF6"/>
    <w:multiLevelType w:val="hybridMultilevel"/>
    <w:tmpl w:val="4DFAD87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nsid w:val="6BEE4A64"/>
    <w:multiLevelType w:val="hybridMultilevel"/>
    <w:tmpl w:val="17A6C0FC"/>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nsid w:val="6F515856"/>
    <w:multiLevelType w:val="hybridMultilevel"/>
    <w:tmpl w:val="53F655EC"/>
    <w:lvl w:ilvl="0" w:tplc="3C2E3542">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nsid w:val="70C86E45"/>
    <w:multiLevelType w:val="hybridMultilevel"/>
    <w:tmpl w:val="5DCE0CA4"/>
    <w:lvl w:ilvl="0" w:tplc="3476E574">
      <w:numFmt w:val="bullet"/>
      <w:lvlText w:val=""/>
      <w:lvlJc w:val="left"/>
      <w:pPr>
        <w:ind w:left="720" w:hanging="360"/>
      </w:pPr>
      <w:rPr>
        <w:rFonts w:ascii="Symbol" w:eastAsiaTheme="minorHAnsi" w:hAnsi="Symbol"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nsid w:val="71132A5E"/>
    <w:multiLevelType w:val="hybridMultilevel"/>
    <w:tmpl w:val="75B03EC0"/>
    <w:lvl w:ilvl="0" w:tplc="43A81B18">
      <w:numFmt w:val="bullet"/>
      <w:lvlText w:val="-"/>
      <w:lvlJc w:val="left"/>
      <w:pPr>
        <w:tabs>
          <w:tab w:val="num" w:pos="720"/>
        </w:tabs>
        <w:ind w:left="720" w:hanging="360"/>
      </w:pPr>
      <w:rPr>
        <w:rFonts w:ascii="Arial" w:eastAsia="Times New Roman" w:hAnsi="Arial" w:hint="default"/>
      </w:rPr>
    </w:lvl>
    <w:lvl w:ilvl="1" w:tplc="F0F6B994" w:tentative="1">
      <w:start w:val="1"/>
      <w:numFmt w:val="bullet"/>
      <w:lvlText w:val="o"/>
      <w:lvlJc w:val="left"/>
      <w:pPr>
        <w:tabs>
          <w:tab w:val="num" w:pos="1440"/>
        </w:tabs>
        <w:ind w:left="1440" w:hanging="360"/>
      </w:pPr>
      <w:rPr>
        <w:rFonts w:ascii="Courier New" w:hAnsi="Courier New" w:hint="default"/>
      </w:rPr>
    </w:lvl>
    <w:lvl w:ilvl="2" w:tplc="F222C8DE" w:tentative="1">
      <w:start w:val="1"/>
      <w:numFmt w:val="bullet"/>
      <w:lvlText w:val=""/>
      <w:lvlJc w:val="left"/>
      <w:pPr>
        <w:tabs>
          <w:tab w:val="num" w:pos="2160"/>
        </w:tabs>
        <w:ind w:left="2160" w:hanging="360"/>
      </w:pPr>
      <w:rPr>
        <w:rFonts w:ascii="Wingdings" w:hAnsi="Wingdings" w:hint="default"/>
      </w:rPr>
    </w:lvl>
    <w:lvl w:ilvl="3" w:tplc="7A547E1E" w:tentative="1">
      <w:start w:val="1"/>
      <w:numFmt w:val="bullet"/>
      <w:lvlText w:val=""/>
      <w:lvlJc w:val="left"/>
      <w:pPr>
        <w:tabs>
          <w:tab w:val="num" w:pos="2880"/>
        </w:tabs>
        <w:ind w:left="2880" w:hanging="360"/>
      </w:pPr>
      <w:rPr>
        <w:rFonts w:ascii="Symbol" w:hAnsi="Symbol" w:hint="default"/>
      </w:rPr>
    </w:lvl>
    <w:lvl w:ilvl="4" w:tplc="A5BA637C" w:tentative="1">
      <w:start w:val="1"/>
      <w:numFmt w:val="bullet"/>
      <w:lvlText w:val="o"/>
      <w:lvlJc w:val="left"/>
      <w:pPr>
        <w:tabs>
          <w:tab w:val="num" w:pos="3600"/>
        </w:tabs>
        <w:ind w:left="3600" w:hanging="360"/>
      </w:pPr>
      <w:rPr>
        <w:rFonts w:ascii="Courier New" w:hAnsi="Courier New" w:hint="default"/>
      </w:rPr>
    </w:lvl>
    <w:lvl w:ilvl="5" w:tplc="2662D30C" w:tentative="1">
      <w:start w:val="1"/>
      <w:numFmt w:val="bullet"/>
      <w:lvlText w:val=""/>
      <w:lvlJc w:val="left"/>
      <w:pPr>
        <w:tabs>
          <w:tab w:val="num" w:pos="4320"/>
        </w:tabs>
        <w:ind w:left="4320" w:hanging="360"/>
      </w:pPr>
      <w:rPr>
        <w:rFonts w:ascii="Wingdings" w:hAnsi="Wingdings" w:hint="default"/>
      </w:rPr>
    </w:lvl>
    <w:lvl w:ilvl="6" w:tplc="13EED308" w:tentative="1">
      <w:start w:val="1"/>
      <w:numFmt w:val="bullet"/>
      <w:lvlText w:val=""/>
      <w:lvlJc w:val="left"/>
      <w:pPr>
        <w:tabs>
          <w:tab w:val="num" w:pos="5040"/>
        </w:tabs>
        <w:ind w:left="5040" w:hanging="360"/>
      </w:pPr>
      <w:rPr>
        <w:rFonts w:ascii="Symbol" w:hAnsi="Symbol" w:hint="default"/>
      </w:rPr>
    </w:lvl>
    <w:lvl w:ilvl="7" w:tplc="6F2EC11A" w:tentative="1">
      <w:start w:val="1"/>
      <w:numFmt w:val="bullet"/>
      <w:lvlText w:val="o"/>
      <w:lvlJc w:val="left"/>
      <w:pPr>
        <w:tabs>
          <w:tab w:val="num" w:pos="5760"/>
        </w:tabs>
        <w:ind w:left="5760" w:hanging="360"/>
      </w:pPr>
      <w:rPr>
        <w:rFonts w:ascii="Courier New" w:hAnsi="Courier New" w:hint="default"/>
      </w:rPr>
    </w:lvl>
    <w:lvl w:ilvl="8" w:tplc="91DC1F80" w:tentative="1">
      <w:start w:val="1"/>
      <w:numFmt w:val="bullet"/>
      <w:lvlText w:val=""/>
      <w:lvlJc w:val="left"/>
      <w:pPr>
        <w:tabs>
          <w:tab w:val="num" w:pos="6480"/>
        </w:tabs>
        <w:ind w:left="6480" w:hanging="360"/>
      </w:pPr>
      <w:rPr>
        <w:rFonts w:ascii="Wingdings" w:hAnsi="Wingdings" w:hint="default"/>
      </w:rPr>
    </w:lvl>
  </w:abstractNum>
  <w:abstractNum w:abstractNumId="33">
    <w:nsid w:val="7153509B"/>
    <w:multiLevelType w:val="hybridMultilevel"/>
    <w:tmpl w:val="3D683638"/>
    <w:lvl w:ilvl="0" w:tplc="B9B03E4A">
      <w:start w:val="1"/>
      <w:numFmt w:val="bullet"/>
      <w:lvlText w:val="-"/>
      <w:lvlJc w:val="left"/>
      <w:pPr>
        <w:tabs>
          <w:tab w:val="num" w:pos="360"/>
        </w:tabs>
        <w:ind w:left="360" w:hanging="360"/>
      </w:pPr>
      <w:rPr>
        <w:rFonts w:ascii="Times New Roman" w:eastAsia="Times New Roman" w:hAnsi="Times New Roman" w:hint="default"/>
      </w:rPr>
    </w:lvl>
    <w:lvl w:ilvl="1" w:tplc="E806CE44">
      <w:start w:val="1"/>
      <w:numFmt w:val="decimal"/>
      <w:lvlText w:val="%2."/>
      <w:lvlJc w:val="left"/>
      <w:pPr>
        <w:tabs>
          <w:tab w:val="num" w:pos="1440"/>
        </w:tabs>
        <w:ind w:left="1440" w:hanging="360"/>
      </w:pPr>
      <w:rPr>
        <w:rFonts w:cs="Times New Roman"/>
      </w:rPr>
    </w:lvl>
    <w:lvl w:ilvl="2" w:tplc="A62696FE">
      <w:start w:val="1"/>
      <w:numFmt w:val="decimal"/>
      <w:lvlText w:val="%3."/>
      <w:lvlJc w:val="left"/>
      <w:pPr>
        <w:tabs>
          <w:tab w:val="num" w:pos="2160"/>
        </w:tabs>
        <w:ind w:left="2160" w:hanging="360"/>
      </w:pPr>
      <w:rPr>
        <w:rFonts w:cs="Times New Roman"/>
      </w:rPr>
    </w:lvl>
    <w:lvl w:ilvl="3" w:tplc="1960CB46">
      <w:start w:val="1"/>
      <w:numFmt w:val="decimal"/>
      <w:lvlText w:val="%4."/>
      <w:lvlJc w:val="left"/>
      <w:pPr>
        <w:tabs>
          <w:tab w:val="num" w:pos="2880"/>
        </w:tabs>
        <w:ind w:left="2880" w:hanging="360"/>
      </w:pPr>
      <w:rPr>
        <w:rFonts w:cs="Times New Roman"/>
      </w:rPr>
    </w:lvl>
    <w:lvl w:ilvl="4" w:tplc="B5A28A5A">
      <w:start w:val="1"/>
      <w:numFmt w:val="decimal"/>
      <w:lvlText w:val="%5."/>
      <w:lvlJc w:val="left"/>
      <w:pPr>
        <w:tabs>
          <w:tab w:val="num" w:pos="3600"/>
        </w:tabs>
        <w:ind w:left="3600" w:hanging="360"/>
      </w:pPr>
      <w:rPr>
        <w:rFonts w:cs="Times New Roman"/>
      </w:rPr>
    </w:lvl>
    <w:lvl w:ilvl="5" w:tplc="13BC87D4">
      <w:start w:val="1"/>
      <w:numFmt w:val="decimal"/>
      <w:lvlText w:val="%6."/>
      <w:lvlJc w:val="left"/>
      <w:pPr>
        <w:tabs>
          <w:tab w:val="num" w:pos="4320"/>
        </w:tabs>
        <w:ind w:left="4320" w:hanging="360"/>
      </w:pPr>
      <w:rPr>
        <w:rFonts w:cs="Times New Roman"/>
      </w:rPr>
    </w:lvl>
    <w:lvl w:ilvl="6" w:tplc="4692B3E2">
      <w:start w:val="1"/>
      <w:numFmt w:val="decimal"/>
      <w:lvlText w:val="%7."/>
      <w:lvlJc w:val="left"/>
      <w:pPr>
        <w:tabs>
          <w:tab w:val="num" w:pos="5040"/>
        </w:tabs>
        <w:ind w:left="5040" w:hanging="360"/>
      </w:pPr>
      <w:rPr>
        <w:rFonts w:cs="Times New Roman"/>
      </w:rPr>
    </w:lvl>
    <w:lvl w:ilvl="7" w:tplc="6F963A08">
      <w:start w:val="1"/>
      <w:numFmt w:val="decimal"/>
      <w:lvlText w:val="%8."/>
      <w:lvlJc w:val="left"/>
      <w:pPr>
        <w:tabs>
          <w:tab w:val="num" w:pos="5760"/>
        </w:tabs>
        <w:ind w:left="5760" w:hanging="360"/>
      </w:pPr>
      <w:rPr>
        <w:rFonts w:cs="Times New Roman"/>
      </w:rPr>
    </w:lvl>
    <w:lvl w:ilvl="8" w:tplc="ADDA0F5A">
      <w:start w:val="1"/>
      <w:numFmt w:val="decimal"/>
      <w:lvlText w:val="%9."/>
      <w:lvlJc w:val="left"/>
      <w:pPr>
        <w:tabs>
          <w:tab w:val="num" w:pos="6480"/>
        </w:tabs>
        <w:ind w:left="6480" w:hanging="360"/>
      </w:pPr>
      <w:rPr>
        <w:rFonts w:cs="Times New Roman"/>
      </w:rPr>
    </w:lvl>
  </w:abstractNum>
  <w:abstractNum w:abstractNumId="34">
    <w:nsid w:val="72AF7C0F"/>
    <w:multiLevelType w:val="hybridMultilevel"/>
    <w:tmpl w:val="43520E5E"/>
    <w:lvl w:ilvl="0" w:tplc="7A4C59BE">
      <w:start w:val="1"/>
      <w:numFmt w:val="bullet"/>
      <w:lvlText w:val="-"/>
      <w:lvlJc w:val="left"/>
      <w:pPr>
        <w:tabs>
          <w:tab w:val="num" w:pos="360"/>
        </w:tabs>
        <w:ind w:left="360" w:hanging="360"/>
      </w:pPr>
      <w:rPr>
        <w:rFonts w:ascii="Times New Roman" w:eastAsia="Times New Roman" w:hAnsi="Times New Roman" w:hint="default"/>
      </w:rPr>
    </w:lvl>
    <w:lvl w:ilvl="1" w:tplc="63A8B3F2">
      <w:start w:val="1"/>
      <w:numFmt w:val="decimal"/>
      <w:lvlText w:val="%2."/>
      <w:lvlJc w:val="left"/>
      <w:pPr>
        <w:tabs>
          <w:tab w:val="num" w:pos="1440"/>
        </w:tabs>
        <w:ind w:left="1440" w:hanging="360"/>
      </w:pPr>
      <w:rPr>
        <w:rFonts w:cs="Times New Roman"/>
      </w:rPr>
    </w:lvl>
    <w:lvl w:ilvl="2" w:tplc="C3E259C8">
      <w:start w:val="1"/>
      <w:numFmt w:val="decimal"/>
      <w:lvlText w:val="%3."/>
      <w:lvlJc w:val="left"/>
      <w:pPr>
        <w:tabs>
          <w:tab w:val="num" w:pos="2160"/>
        </w:tabs>
        <w:ind w:left="2160" w:hanging="360"/>
      </w:pPr>
      <w:rPr>
        <w:rFonts w:cs="Times New Roman"/>
      </w:rPr>
    </w:lvl>
    <w:lvl w:ilvl="3" w:tplc="C388E698">
      <w:start w:val="1"/>
      <w:numFmt w:val="decimal"/>
      <w:lvlText w:val="%4."/>
      <w:lvlJc w:val="left"/>
      <w:pPr>
        <w:tabs>
          <w:tab w:val="num" w:pos="2880"/>
        </w:tabs>
        <w:ind w:left="2880" w:hanging="360"/>
      </w:pPr>
      <w:rPr>
        <w:rFonts w:cs="Times New Roman"/>
      </w:rPr>
    </w:lvl>
    <w:lvl w:ilvl="4" w:tplc="1A220D42">
      <w:start w:val="1"/>
      <w:numFmt w:val="decimal"/>
      <w:lvlText w:val="%5."/>
      <w:lvlJc w:val="left"/>
      <w:pPr>
        <w:tabs>
          <w:tab w:val="num" w:pos="3600"/>
        </w:tabs>
        <w:ind w:left="3600" w:hanging="360"/>
      </w:pPr>
      <w:rPr>
        <w:rFonts w:cs="Times New Roman"/>
      </w:rPr>
    </w:lvl>
    <w:lvl w:ilvl="5" w:tplc="08169CC2">
      <w:start w:val="1"/>
      <w:numFmt w:val="decimal"/>
      <w:lvlText w:val="%6."/>
      <w:lvlJc w:val="left"/>
      <w:pPr>
        <w:tabs>
          <w:tab w:val="num" w:pos="4320"/>
        </w:tabs>
        <w:ind w:left="4320" w:hanging="360"/>
      </w:pPr>
      <w:rPr>
        <w:rFonts w:cs="Times New Roman"/>
      </w:rPr>
    </w:lvl>
    <w:lvl w:ilvl="6" w:tplc="2BCEDD6C">
      <w:start w:val="1"/>
      <w:numFmt w:val="decimal"/>
      <w:lvlText w:val="%7."/>
      <w:lvlJc w:val="left"/>
      <w:pPr>
        <w:tabs>
          <w:tab w:val="num" w:pos="5040"/>
        </w:tabs>
        <w:ind w:left="5040" w:hanging="360"/>
      </w:pPr>
      <w:rPr>
        <w:rFonts w:cs="Times New Roman"/>
      </w:rPr>
    </w:lvl>
    <w:lvl w:ilvl="7" w:tplc="20EC808C">
      <w:start w:val="1"/>
      <w:numFmt w:val="decimal"/>
      <w:lvlText w:val="%8."/>
      <w:lvlJc w:val="left"/>
      <w:pPr>
        <w:tabs>
          <w:tab w:val="num" w:pos="5760"/>
        </w:tabs>
        <w:ind w:left="5760" w:hanging="360"/>
      </w:pPr>
      <w:rPr>
        <w:rFonts w:cs="Times New Roman"/>
      </w:rPr>
    </w:lvl>
    <w:lvl w:ilvl="8" w:tplc="17B83760">
      <w:start w:val="1"/>
      <w:numFmt w:val="decimal"/>
      <w:lvlText w:val="%9."/>
      <w:lvlJc w:val="left"/>
      <w:pPr>
        <w:tabs>
          <w:tab w:val="num" w:pos="6480"/>
        </w:tabs>
        <w:ind w:left="6480" w:hanging="360"/>
      </w:pPr>
      <w:rPr>
        <w:rFonts w:cs="Times New Roman"/>
      </w:rPr>
    </w:lvl>
  </w:abstractNum>
  <w:abstractNum w:abstractNumId="35">
    <w:nsid w:val="762C571D"/>
    <w:multiLevelType w:val="hybridMultilevel"/>
    <w:tmpl w:val="FAC26C5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nsid w:val="766A0300"/>
    <w:multiLevelType w:val="hybridMultilevel"/>
    <w:tmpl w:val="80F473F4"/>
    <w:lvl w:ilvl="0" w:tplc="43A81B18">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nsid w:val="77112519"/>
    <w:multiLevelType w:val="multilevel"/>
    <w:tmpl w:val="96D29B6C"/>
    <w:lvl w:ilvl="0">
      <w:numFmt w:val="bullet"/>
      <w:lvlText w:val=""/>
      <w:lvlJc w:val="left"/>
      <w:pPr>
        <w:ind w:left="360" w:hanging="360"/>
      </w:pPr>
      <w:rPr>
        <w:rFonts w:ascii="Symbol" w:eastAsiaTheme="minorHAnsi" w:hAnsi="Symbol" w:cstheme="minorBidi" w:hint="default"/>
        <w:sz w:val="16"/>
      </w:rPr>
    </w:lvl>
    <w:lvl w:ilvl="1">
      <w:start w:val="1"/>
      <w:numFmt w:val="none"/>
      <w:lvlText w:val="o"/>
      <w:legacy w:legacy="1" w:legacySpace="120" w:legacyIndent="360"/>
      <w:lvlJc w:val="left"/>
      <w:pPr>
        <w:ind w:left="720" w:hanging="360"/>
      </w:pPr>
      <w:rPr>
        <w:rFonts w:ascii="Courier New" w:hAnsi="Courier New" w:cs="Times New Roman" w:hint="default"/>
      </w:rPr>
    </w:lvl>
    <w:lvl w:ilvl="2">
      <w:start w:val="1"/>
      <w:numFmt w:val="none"/>
      <w:lvlText w:val=""/>
      <w:legacy w:legacy="1" w:legacySpace="120" w:legacyIndent="360"/>
      <w:lvlJc w:val="left"/>
      <w:pPr>
        <w:ind w:left="1080" w:hanging="360"/>
      </w:pPr>
      <w:rPr>
        <w:rFonts w:ascii="Wingdings" w:hAnsi="Wingdings" w:cs="Times New Roman" w:hint="default"/>
      </w:rPr>
    </w:lvl>
    <w:lvl w:ilvl="3">
      <w:start w:val="1"/>
      <w:numFmt w:val="none"/>
      <w:lvlText w:val=""/>
      <w:legacy w:legacy="1" w:legacySpace="120" w:legacyIndent="360"/>
      <w:lvlJc w:val="left"/>
      <w:pPr>
        <w:ind w:left="1440" w:hanging="360"/>
      </w:pPr>
      <w:rPr>
        <w:rFonts w:ascii="Symbol" w:hAnsi="Symbol" w:cs="Times New Roman" w:hint="default"/>
      </w:rPr>
    </w:lvl>
    <w:lvl w:ilvl="4">
      <w:start w:val="1"/>
      <w:numFmt w:val="none"/>
      <w:lvlText w:val="o"/>
      <w:legacy w:legacy="1" w:legacySpace="120" w:legacyIndent="360"/>
      <w:lvlJc w:val="left"/>
      <w:pPr>
        <w:ind w:left="1800" w:hanging="360"/>
      </w:pPr>
      <w:rPr>
        <w:rFonts w:ascii="Courier New" w:hAnsi="Courier New" w:cs="Times New Roman" w:hint="default"/>
      </w:rPr>
    </w:lvl>
    <w:lvl w:ilvl="5">
      <w:start w:val="1"/>
      <w:numFmt w:val="none"/>
      <w:lvlText w:val=""/>
      <w:legacy w:legacy="1" w:legacySpace="120" w:legacyIndent="360"/>
      <w:lvlJc w:val="left"/>
      <w:pPr>
        <w:ind w:left="2160" w:hanging="360"/>
      </w:pPr>
      <w:rPr>
        <w:rFonts w:ascii="Wingdings" w:hAnsi="Wingdings" w:cs="Times New Roman" w:hint="default"/>
      </w:rPr>
    </w:lvl>
    <w:lvl w:ilvl="6">
      <w:start w:val="1"/>
      <w:numFmt w:val="none"/>
      <w:lvlText w:val=""/>
      <w:legacy w:legacy="1" w:legacySpace="120" w:legacyIndent="360"/>
      <w:lvlJc w:val="left"/>
      <w:pPr>
        <w:ind w:left="2520" w:hanging="360"/>
      </w:pPr>
      <w:rPr>
        <w:rFonts w:ascii="Symbol" w:hAnsi="Symbol" w:cs="Times New Roman" w:hint="default"/>
      </w:rPr>
    </w:lvl>
    <w:lvl w:ilvl="7">
      <w:start w:val="1"/>
      <w:numFmt w:val="none"/>
      <w:lvlText w:val="o"/>
      <w:legacy w:legacy="1" w:legacySpace="120" w:legacyIndent="360"/>
      <w:lvlJc w:val="left"/>
      <w:pPr>
        <w:ind w:left="2880" w:hanging="360"/>
      </w:pPr>
      <w:rPr>
        <w:rFonts w:ascii="Courier New" w:hAnsi="Courier New" w:cs="Times New Roman" w:hint="default"/>
      </w:rPr>
    </w:lvl>
    <w:lvl w:ilvl="8">
      <w:start w:val="1"/>
      <w:numFmt w:val="none"/>
      <w:lvlText w:val=""/>
      <w:legacy w:legacy="1" w:legacySpace="120" w:legacyIndent="360"/>
      <w:lvlJc w:val="left"/>
      <w:pPr>
        <w:ind w:left="3240" w:hanging="360"/>
      </w:pPr>
      <w:rPr>
        <w:rFonts w:ascii="Wingdings" w:hAnsi="Wingdings" w:cs="Times New Roman" w:hint="default"/>
      </w:rPr>
    </w:lvl>
  </w:abstractNum>
  <w:abstractNum w:abstractNumId="38">
    <w:nsid w:val="792C6A08"/>
    <w:multiLevelType w:val="hybridMultilevel"/>
    <w:tmpl w:val="C3DA1EA0"/>
    <w:lvl w:ilvl="0" w:tplc="852C67FC">
      <w:start w:val="1"/>
      <w:numFmt w:val="lowerLetter"/>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39">
    <w:nsid w:val="79CD039C"/>
    <w:multiLevelType w:val="hybridMultilevel"/>
    <w:tmpl w:val="30C6A4C2"/>
    <w:lvl w:ilvl="0" w:tplc="3476E574">
      <w:numFmt w:val="bullet"/>
      <w:lvlText w:val=""/>
      <w:lvlJc w:val="left"/>
      <w:pPr>
        <w:ind w:left="720" w:hanging="360"/>
      </w:pPr>
      <w:rPr>
        <w:rFonts w:ascii="Symbol" w:eastAsiaTheme="minorHAnsi" w:hAnsi="Symbol"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2"/>
  </w:num>
  <w:num w:numId="2">
    <w:abstractNumId w:val="3"/>
  </w:num>
  <w:num w:numId="3">
    <w:abstractNumId w:val="37"/>
  </w:num>
  <w:num w:numId="4">
    <w:abstractNumId w:val="1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32"/>
  </w:num>
  <w:num w:numId="9">
    <w:abstractNumId w:val="2"/>
  </w:num>
  <w:num w:numId="10">
    <w:abstractNumId w:val="23"/>
  </w:num>
  <w:num w:numId="11">
    <w:abstractNumId w:val="29"/>
  </w:num>
  <w:num w:numId="12">
    <w:abstractNumId w:val="11"/>
  </w:num>
  <w:num w:numId="13">
    <w:abstractNumId w:val="28"/>
  </w:num>
  <w:num w:numId="14">
    <w:abstractNumId w:val="9"/>
  </w:num>
  <w:num w:numId="15">
    <w:abstractNumId w:val="15"/>
  </w:num>
  <w:num w:numId="16">
    <w:abstractNumId w:val="36"/>
  </w:num>
  <w:num w:numId="17">
    <w:abstractNumId w:val="4"/>
  </w:num>
  <w:num w:numId="18">
    <w:abstractNumId w:val="30"/>
  </w:num>
  <w:num w:numId="19">
    <w:abstractNumId w:val="7"/>
  </w:num>
  <w:num w:numId="20">
    <w:abstractNumId w:val="20"/>
  </w:num>
  <w:num w:numId="21">
    <w:abstractNumId w:val="18"/>
  </w:num>
  <w:num w:numId="22">
    <w:abstractNumId w:val="3"/>
  </w:num>
  <w:num w:numId="23">
    <w:abstractNumId w:val="17"/>
  </w:num>
  <w:num w:numId="24">
    <w:abstractNumId w:val="22"/>
  </w:num>
  <w:num w:numId="25">
    <w:abstractNumId w:val="8"/>
  </w:num>
  <w:num w:numId="26">
    <w:abstractNumId w:val="24"/>
  </w:num>
  <w:num w:numId="27">
    <w:abstractNumId w:val="25"/>
  </w:num>
  <w:num w:numId="28">
    <w:abstractNumId w:val="21"/>
  </w:num>
  <w:num w:numId="29">
    <w:abstractNumId w:val="27"/>
  </w:num>
  <w:num w:numId="30">
    <w:abstractNumId w:val="35"/>
  </w:num>
  <w:num w:numId="31">
    <w:abstractNumId w:val="38"/>
  </w:num>
  <w:num w:numId="32">
    <w:abstractNumId w:val="14"/>
  </w:num>
  <w:num w:numId="33">
    <w:abstractNumId w:val="6"/>
  </w:num>
  <w:num w:numId="34">
    <w:abstractNumId w:val="10"/>
  </w:num>
  <w:num w:numId="35">
    <w:abstractNumId w:val="31"/>
  </w:num>
  <w:num w:numId="36">
    <w:abstractNumId w:val="16"/>
  </w:num>
  <w:num w:numId="37">
    <w:abstractNumId w:val="1"/>
  </w:num>
  <w:num w:numId="38">
    <w:abstractNumId w:val="39"/>
  </w:num>
  <w:num w:numId="39">
    <w:abstractNumId w:val="13"/>
  </w:num>
  <w:num w:numId="40">
    <w:abstractNumId w:val="0"/>
  </w:num>
  <w:num w:numId="41">
    <w:abstractNumId w:val="19"/>
  </w:num>
  <w:num w:numId="42">
    <w:abstractNumId w:val="5"/>
  </w:num>
  <w:numIdMacAtCleanup w:val="2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na De Toni">
    <w15:presenceInfo w15:providerId="AD" w15:userId="S-1-5-21-1862481972-2720158420-676981699-266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283"/>
  <w:drawingGridHorizontalSpacing w:val="120"/>
  <w:displayHorizontalDrawingGridEvery w:val="2"/>
  <w:characterSpacingControl w:val="doNotCompress"/>
  <w:hdrShapeDefaults>
    <o:shapedefaults v:ext="edit" spidmax="9218"/>
  </w:hdrShapeDefaults>
  <w:footnotePr>
    <w:footnote w:id="0"/>
    <w:footnote w:id="1"/>
  </w:footnotePr>
  <w:endnotePr>
    <w:endnote w:id="0"/>
    <w:endnote w:id="1"/>
  </w:endnotePr>
  <w:compat/>
  <w:rsids>
    <w:rsidRoot w:val="009F6E3E"/>
    <w:rsid w:val="00001A14"/>
    <w:rsid w:val="00002EE0"/>
    <w:rsid w:val="00003942"/>
    <w:rsid w:val="000121D3"/>
    <w:rsid w:val="0001679F"/>
    <w:rsid w:val="00032EA7"/>
    <w:rsid w:val="0004208B"/>
    <w:rsid w:val="00062BED"/>
    <w:rsid w:val="00074F04"/>
    <w:rsid w:val="000834B9"/>
    <w:rsid w:val="00087EC6"/>
    <w:rsid w:val="00096EC9"/>
    <w:rsid w:val="000974A4"/>
    <w:rsid w:val="000C77AD"/>
    <w:rsid w:val="000D5764"/>
    <w:rsid w:val="000D5C03"/>
    <w:rsid w:val="000E4A5C"/>
    <w:rsid w:val="000F33EF"/>
    <w:rsid w:val="001004AB"/>
    <w:rsid w:val="001022E4"/>
    <w:rsid w:val="00106D7D"/>
    <w:rsid w:val="00112610"/>
    <w:rsid w:val="00124215"/>
    <w:rsid w:val="0013061E"/>
    <w:rsid w:val="001310C8"/>
    <w:rsid w:val="00136623"/>
    <w:rsid w:val="001401A6"/>
    <w:rsid w:val="00147E4E"/>
    <w:rsid w:val="00151995"/>
    <w:rsid w:val="0016171E"/>
    <w:rsid w:val="00165D78"/>
    <w:rsid w:val="00176B7B"/>
    <w:rsid w:val="00180009"/>
    <w:rsid w:val="001866D3"/>
    <w:rsid w:val="00190B8C"/>
    <w:rsid w:val="00193C38"/>
    <w:rsid w:val="001C1946"/>
    <w:rsid w:val="00202FC9"/>
    <w:rsid w:val="00204B2A"/>
    <w:rsid w:val="00213664"/>
    <w:rsid w:val="002167AE"/>
    <w:rsid w:val="002419A8"/>
    <w:rsid w:val="00253ADC"/>
    <w:rsid w:val="00264EAF"/>
    <w:rsid w:val="00265351"/>
    <w:rsid w:val="00273E50"/>
    <w:rsid w:val="00274744"/>
    <w:rsid w:val="0027620D"/>
    <w:rsid w:val="00276B33"/>
    <w:rsid w:val="00284011"/>
    <w:rsid w:val="0028714D"/>
    <w:rsid w:val="00291B59"/>
    <w:rsid w:val="002A5132"/>
    <w:rsid w:val="002A54B8"/>
    <w:rsid w:val="002B163E"/>
    <w:rsid w:val="002C3C86"/>
    <w:rsid w:val="002C51BB"/>
    <w:rsid w:val="002D0413"/>
    <w:rsid w:val="002E2E3D"/>
    <w:rsid w:val="002E4D91"/>
    <w:rsid w:val="00310840"/>
    <w:rsid w:val="00326753"/>
    <w:rsid w:val="0032722E"/>
    <w:rsid w:val="00341967"/>
    <w:rsid w:val="00343EEE"/>
    <w:rsid w:val="0034528C"/>
    <w:rsid w:val="0036319E"/>
    <w:rsid w:val="0036485D"/>
    <w:rsid w:val="00364E24"/>
    <w:rsid w:val="00366A52"/>
    <w:rsid w:val="00397B32"/>
    <w:rsid w:val="003A6081"/>
    <w:rsid w:val="003B4C98"/>
    <w:rsid w:val="003B58BD"/>
    <w:rsid w:val="003D40B8"/>
    <w:rsid w:val="003D52F2"/>
    <w:rsid w:val="003D7428"/>
    <w:rsid w:val="003F07BD"/>
    <w:rsid w:val="00413D3B"/>
    <w:rsid w:val="00414C97"/>
    <w:rsid w:val="00475715"/>
    <w:rsid w:val="00480DAF"/>
    <w:rsid w:val="00483CA4"/>
    <w:rsid w:val="004A1706"/>
    <w:rsid w:val="004A1F64"/>
    <w:rsid w:val="004C0E2F"/>
    <w:rsid w:val="004C3953"/>
    <w:rsid w:val="004C602C"/>
    <w:rsid w:val="004C6CC1"/>
    <w:rsid w:val="004D3F0C"/>
    <w:rsid w:val="004E1016"/>
    <w:rsid w:val="004E754E"/>
    <w:rsid w:val="004F0982"/>
    <w:rsid w:val="00511D8A"/>
    <w:rsid w:val="005153F8"/>
    <w:rsid w:val="00550857"/>
    <w:rsid w:val="00551912"/>
    <w:rsid w:val="00554D3A"/>
    <w:rsid w:val="00585556"/>
    <w:rsid w:val="00597E01"/>
    <w:rsid w:val="005A6F18"/>
    <w:rsid w:val="005B5690"/>
    <w:rsid w:val="005B6DB5"/>
    <w:rsid w:val="005C55B7"/>
    <w:rsid w:val="005D04BF"/>
    <w:rsid w:val="005D5A1B"/>
    <w:rsid w:val="005D5C5F"/>
    <w:rsid w:val="005D6DE8"/>
    <w:rsid w:val="005D790B"/>
    <w:rsid w:val="005F1085"/>
    <w:rsid w:val="005F46D7"/>
    <w:rsid w:val="0060773F"/>
    <w:rsid w:val="006139FE"/>
    <w:rsid w:val="00615F65"/>
    <w:rsid w:val="006233A2"/>
    <w:rsid w:val="00627609"/>
    <w:rsid w:val="0065167F"/>
    <w:rsid w:val="00661940"/>
    <w:rsid w:val="00662097"/>
    <w:rsid w:val="00665E61"/>
    <w:rsid w:val="00671FB2"/>
    <w:rsid w:val="00671FB9"/>
    <w:rsid w:val="0068516A"/>
    <w:rsid w:val="00697998"/>
    <w:rsid w:val="006A1172"/>
    <w:rsid w:val="006A589E"/>
    <w:rsid w:val="006A7CBA"/>
    <w:rsid w:val="006B2326"/>
    <w:rsid w:val="006B2B37"/>
    <w:rsid w:val="006C582D"/>
    <w:rsid w:val="006D0E93"/>
    <w:rsid w:val="006E089B"/>
    <w:rsid w:val="006E10DF"/>
    <w:rsid w:val="006F3CC1"/>
    <w:rsid w:val="006F619A"/>
    <w:rsid w:val="006F7D63"/>
    <w:rsid w:val="00702F4E"/>
    <w:rsid w:val="0070665A"/>
    <w:rsid w:val="0072012D"/>
    <w:rsid w:val="00725573"/>
    <w:rsid w:val="00735681"/>
    <w:rsid w:val="00753FDD"/>
    <w:rsid w:val="0075572B"/>
    <w:rsid w:val="00780F46"/>
    <w:rsid w:val="00781E03"/>
    <w:rsid w:val="007839D7"/>
    <w:rsid w:val="00792A6A"/>
    <w:rsid w:val="007B4CD4"/>
    <w:rsid w:val="007B7543"/>
    <w:rsid w:val="007C14E8"/>
    <w:rsid w:val="007C28ED"/>
    <w:rsid w:val="007D3C0E"/>
    <w:rsid w:val="007D6637"/>
    <w:rsid w:val="007E421F"/>
    <w:rsid w:val="007F3313"/>
    <w:rsid w:val="007F4177"/>
    <w:rsid w:val="007F766F"/>
    <w:rsid w:val="00806EFE"/>
    <w:rsid w:val="008163FB"/>
    <w:rsid w:val="00824B0A"/>
    <w:rsid w:val="00832C47"/>
    <w:rsid w:val="008422E1"/>
    <w:rsid w:val="008554CF"/>
    <w:rsid w:val="00857541"/>
    <w:rsid w:val="00867712"/>
    <w:rsid w:val="008876E3"/>
    <w:rsid w:val="008A0351"/>
    <w:rsid w:val="008B1A79"/>
    <w:rsid w:val="008C6354"/>
    <w:rsid w:val="008E0439"/>
    <w:rsid w:val="008E324E"/>
    <w:rsid w:val="008E4E51"/>
    <w:rsid w:val="00901631"/>
    <w:rsid w:val="00904505"/>
    <w:rsid w:val="00910EB9"/>
    <w:rsid w:val="00921B6B"/>
    <w:rsid w:val="0093141E"/>
    <w:rsid w:val="00937755"/>
    <w:rsid w:val="00937836"/>
    <w:rsid w:val="0096055D"/>
    <w:rsid w:val="009659F4"/>
    <w:rsid w:val="009672FA"/>
    <w:rsid w:val="009719BE"/>
    <w:rsid w:val="00974ABB"/>
    <w:rsid w:val="00985C1A"/>
    <w:rsid w:val="0098773B"/>
    <w:rsid w:val="00993218"/>
    <w:rsid w:val="009A5810"/>
    <w:rsid w:val="009B7E14"/>
    <w:rsid w:val="009C2E60"/>
    <w:rsid w:val="009D14EE"/>
    <w:rsid w:val="009D25CA"/>
    <w:rsid w:val="009D4205"/>
    <w:rsid w:val="009D54DF"/>
    <w:rsid w:val="009E166F"/>
    <w:rsid w:val="009E5B20"/>
    <w:rsid w:val="009F1A03"/>
    <w:rsid w:val="009F6E3E"/>
    <w:rsid w:val="00A107BD"/>
    <w:rsid w:val="00A15B39"/>
    <w:rsid w:val="00A24E06"/>
    <w:rsid w:val="00A54B50"/>
    <w:rsid w:val="00A807E0"/>
    <w:rsid w:val="00A94314"/>
    <w:rsid w:val="00AA4EDC"/>
    <w:rsid w:val="00AB1244"/>
    <w:rsid w:val="00AB6158"/>
    <w:rsid w:val="00AB6451"/>
    <w:rsid w:val="00AE2698"/>
    <w:rsid w:val="00AE4298"/>
    <w:rsid w:val="00AF3C08"/>
    <w:rsid w:val="00B213B9"/>
    <w:rsid w:val="00B31869"/>
    <w:rsid w:val="00B353B0"/>
    <w:rsid w:val="00B46AC5"/>
    <w:rsid w:val="00B531CC"/>
    <w:rsid w:val="00B552BA"/>
    <w:rsid w:val="00B55F36"/>
    <w:rsid w:val="00B6657F"/>
    <w:rsid w:val="00B70044"/>
    <w:rsid w:val="00B75B67"/>
    <w:rsid w:val="00B76605"/>
    <w:rsid w:val="00B84E39"/>
    <w:rsid w:val="00B87215"/>
    <w:rsid w:val="00B91A9D"/>
    <w:rsid w:val="00BB2436"/>
    <w:rsid w:val="00BC3481"/>
    <w:rsid w:val="00BC7A78"/>
    <w:rsid w:val="00BD717D"/>
    <w:rsid w:val="00BD72A0"/>
    <w:rsid w:val="00BE11C1"/>
    <w:rsid w:val="00BE35E7"/>
    <w:rsid w:val="00BF51C6"/>
    <w:rsid w:val="00BF6E94"/>
    <w:rsid w:val="00C10C7F"/>
    <w:rsid w:val="00C52543"/>
    <w:rsid w:val="00C53D35"/>
    <w:rsid w:val="00C574F8"/>
    <w:rsid w:val="00C770DB"/>
    <w:rsid w:val="00C86729"/>
    <w:rsid w:val="00C92604"/>
    <w:rsid w:val="00CA3141"/>
    <w:rsid w:val="00CB26F7"/>
    <w:rsid w:val="00CD4510"/>
    <w:rsid w:val="00CE36A2"/>
    <w:rsid w:val="00CE3952"/>
    <w:rsid w:val="00CE720C"/>
    <w:rsid w:val="00CF0707"/>
    <w:rsid w:val="00CF15CD"/>
    <w:rsid w:val="00D0382F"/>
    <w:rsid w:val="00D1495A"/>
    <w:rsid w:val="00D203C5"/>
    <w:rsid w:val="00D53252"/>
    <w:rsid w:val="00D57634"/>
    <w:rsid w:val="00D62E29"/>
    <w:rsid w:val="00D63578"/>
    <w:rsid w:val="00D717C6"/>
    <w:rsid w:val="00D72940"/>
    <w:rsid w:val="00D80990"/>
    <w:rsid w:val="00D84C2D"/>
    <w:rsid w:val="00D914EE"/>
    <w:rsid w:val="00DB3EFA"/>
    <w:rsid w:val="00DC541F"/>
    <w:rsid w:val="00DD33FE"/>
    <w:rsid w:val="00DD5A74"/>
    <w:rsid w:val="00DE0931"/>
    <w:rsid w:val="00E14C8E"/>
    <w:rsid w:val="00E21786"/>
    <w:rsid w:val="00E25A38"/>
    <w:rsid w:val="00E3266C"/>
    <w:rsid w:val="00E37FD9"/>
    <w:rsid w:val="00E453A3"/>
    <w:rsid w:val="00E45DB7"/>
    <w:rsid w:val="00E518B7"/>
    <w:rsid w:val="00E83655"/>
    <w:rsid w:val="00E90960"/>
    <w:rsid w:val="00E958C1"/>
    <w:rsid w:val="00E95DF1"/>
    <w:rsid w:val="00EA4A99"/>
    <w:rsid w:val="00EA5F9E"/>
    <w:rsid w:val="00EB1504"/>
    <w:rsid w:val="00EE41C1"/>
    <w:rsid w:val="00F01C5C"/>
    <w:rsid w:val="00F061A4"/>
    <w:rsid w:val="00F238B4"/>
    <w:rsid w:val="00F2580C"/>
    <w:rsid w:val="00F25E87"/>
    <w:rsid w:val="00F3032F"/>
    <w:rsid w:val="00F4160F"/>
    <w:rsid w:val="00F442A3"/>
    <w:rsid w:val="00F54464"/>
    <w:rsid w:val="00F612B4"/>
    <w:rsid w:val="00F624C3"/>
    <w:rsid w:val="00F63AA2"/>
    <w:rsid w:val="00F71A88"/>
    <w:rsid w:val="00F72088"/>
    <w:rsid w:val="00F92FC5"/>
    <w:rsid w:val="00FA0D3F"/>
    <w:rsid w:val="00FA177C"/>
    <w:rsid w:val="00FA295B"/>
    <w:rsid w:val="00FA5F23"/>
    <w:rsid w:val="00FA74C8"/>
    <w:rsid w:val="00FC0EE7"/>
    <w:rsid w:val="00FC302C"/>
    <w:rsid w:val="00FD799F"/>
    <w:rsid w:val="00FE3317"/>
    <w:rsid w:val="00FF131B"/>
    <w:rsid w:val="00FF2B3D"/>
    <w:rsid w:val="00FF7087"/>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iPriority="0" w:unhideWhenUsed="0" w:qFormat="1"/>
    <w:lsdException w:name="heading 5" w:uiPriority="0" w:qFormat="1"/>
    <w:lsdException w:name="heading 6" w:semiHidden="0" w:uiPriority="0" w:unhideWhenUsed="0" w:qFormat="1"/>
    <w:lsdException w:name="heading 7" w:uiPriority="0" w:qFormat="1"/>
    <w:lsdException w:name="heading 8" w:semiHidden="0" w:uiPriority="0" w:unhideWhenUsed="0" w:qFormat="1"/>
    <w:lsdException w:name="heading 9" w:semiHidden="0" w:uiPriority="0" w:unhideWhenUsed="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11"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F1A03"/>
    <w:rPr>
      <w:sz w:val="24"/>
      <w:szCs w:val="24"/>
    </w:rPr>
  </w:style>
  <w:style w:type="paragraph" w:styleId="Titolo1">
    <w:name w:val="heading 1"/>
    <w:basedOn w:val="Normale"/>
    <w:next w:val="Normale"/>
    <w:link w:val="Titolo1Carattere"/>
    <w:uiPriority w:val="99"/>
    <w:qFormat/>
    <w:rsid w:val="009F1A03"/>
    <w:pPr>
      <w:widowControl w:val="0"/>
      <w:pBdr>
        <w:top w:val="single" w:sz="6" w:space="1" w:color="auto" w:shadow="1"/>
        <w:left w:val="single" w:sz="6" w:space="4" w:color="auto" w:shadow="1"/>
        <w:bottom w:val="single" w:sz="6" w:space="1" w:color="auto" w:shadow="1"/>
        <w:right w:val="single" w:sz="6" w:space="4" w:color="auto" w:shadow="1"/>
      </w:pBdr>
      <w:shd w:val="clear" w:color="auto" w:fill="FFFFFF"/>
      <w:overflowPunct w:val="0"/>
      <w:autoSpaceDE w:val="0"/>
      <w:autoSpaceDN w:val="0"/>
      <w:adjustRightInd w:val="0"/>
      <w:spacing w:after="360"/>
      <w:jc w:val="center"/>
      <w:outlineLvl w:val="0"/>
    </w:pPr>
    <w:rPr>
      <w:rFonts w:ascii="Arial" w:hAnsi="Arial" w:cs="Arial"/>
      <w:b/>
      <w:i/>
      <w:szCs w:val="20"/>
    </w:rPr>
  </w:style>
  <w:style w:type="paragraph" w:styleId="Titolo2">
    <w:name w:val="heading 2"/>
    <w:basedOn w:val="Corpodeltesto2"/>
    <w:next w:val="Normale"/>
    <w:link w:val="Titolo2Carattere"/>
    <w:uiPriority w:val="99"/>
    <w:qFormat/>
    <w:rsid w:val="009F1A03"/>
    <w:pPr>
      <w:jc w:val="both"/>
      <w:outlineLvl w:val="1"/>
    </w:pPr>
    <w:rPr>
      <w:b/>
      <w:sz w:val="24"/>
      <w:u w:val="single"/>
    </w:rPr>
  </w:style>
  <w:style w:type="paragraph" w:styleId="Titolo3">
    <w:name w:val="heading 3"/>
    <w:basedOn w:val="Titolo2"/>
    <w:next w:val="Normale"/>
    <w:link w:val="Titolo3Carattere"/>
    <w:uiPriority w:val="99"/>
    <w:qFormat/>
    <w:rsid w:val="009F1A03"/>
    <w:pPr>
      <w:outlineLvl w:val="2"/>
    </w:pPr>
    <w:rPr>
      <w:sz w:val="22"/>
    </w:rPr>
  </w:style>
  <w:style w:type="paragraph" w:styleId="Titolo4">
    <w:name w:val="heading 4"/>
    <w:basedOn w:val="Normale"/>
    <w:next w:val="Normale"/>
    <w:link w:val="Titolo4Carattere"/>
    <w:uiPriority w:val="99"/>
    <w:qFormat/>
    <w:rsid w:val="009F1A03"/>
    <w:pPr>
      <w:keepNext/>
      <w:spacing w:after="240"/>
      <w:jc w:val="center"/>
      <w:outlineLvl w:val="3"/>
    </w:pPr>
    <w:rPr>
      <w:rFonts w:ascii="Arial" w:hAnsi="Arial" w:cs="Arial"/>
      <w:b/>
      <w:i/>
      <w:sz w:val="36"/>
    </w:rPr>
  </w:style>
  <w:style w:type="paragraph" w:styleId="Titolo6">
    <w:name w:val="heading 6"/>
    <w:basedOn w:val="Normale"/>
    <w:next w:val="Normale"/>
    <w:link w:val="Titolo6Carattere"/>
    <w:uiPriority w:val="99"/>
    <w:qFormat/>
    <w:rsid w:val="009F1A03"/>
    <w:pPr>
      <w:keepNext/>
      <w:numPr>
        <w:ilvl w:val="12"/>
      </w:numPr>
      <w:jc w:val="both"/>
      <w:outlineLvl w:val="5"/>
    </w:pPr>
    <w:rPr>
      <w:rFonts w:ascii="Arial" w:hAnsi="Arial" w:cs="Arial"/>
      <w:b/>
      <w:u w:val="single"/>
    </w:rPr>
  </w:style>
  <w:style w:type="paragraph" w:styleId="Titolo8">
    <w:name w:val="heading 8"/>
    <w:basedOn w:val="Normale"/>
    <w:next w:val="Normale"/>
    <w:link w:val="Titolo8Carattere"/>
    <w:uiPriority w:val="99"/>
    <w:qFormat/>
    <w:rsid w:val="009F1A03"/>
    <w:pPr>
      <w:keepNext/>
      <w:widowControl w:val="0"/>
      <w:overflowPunct w:val="0"/>
      <w:autoSpaceDE w:val="0"/>
      <w:autoSpaceDN w:val="0"/>
      <w:adjustRightInd w:val="0"/>
      <w:spacing w:after="120"/>
      <w:jc w:val="both"/>
      <w:outlineLvl w:val="7"/>
    </w:pPr>
    <w:rPr>
      <w:rFonts w:ascii="Arial" w:hAnsi="Arial"/>
      <w:b/>
      <w:szCs w:val="20"/>
    </w:rPr>
  </w:style>
  <w:style w:type="paragraph" w:styleId="Titolo9">
    <w:name w:val="heading 9"/>
    <w:basedOn w:val="Normale"/>
    <w:next w:val="Normale"/>
    <w:link w:val="Titolo9Carattere"/>
    <w:uiPriority w:val="99"/>
    <w:qFormat/>
    <w:rsid w:val="009F1A03"/>
    <w:pPr>
      <w:keepNext/>
      <w:numPr>
        <w:ilvl w:val="12"/>
      </w:numPr>
      <w:outlineLvl w:val="8"/>
    </w:pPr>
    <w:rPr>
      <w:rFonts w:ascii="Arial" w:hAnsi="Arial" w:cs="Arial"/>
      <w:b/>
      <w:u w:val="singl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locked/>
    <w:rsid w:val="009F1A03"/>
    <w:rPr>
      <w:rFonts w:ascii="Cambria" w:hAnsi="Cambria" w:cs="Times New Roman"/>
      <w:b/>
      <w:bCs/>
      <w:kern w:val="32"/>
      <w:sz w:val="32"/>
      <w:szCs w:val="32"/>
    </w:rPr>
  </w:style>
  <w:style w:type="character" w:customStyle="1" w:styleId="Titolo2Carattere">
    <w:name w:val="Titolo 2 Carattere"/>
    <w:basedOn w:val="Carpredefinitoparagrafo"/>
    <w:link w:val="Titolo2"/>
    <w:uiPriority w:val="99"/>
    <w:semiHidden/>
    <w:locked/>
    <w:rsid w:val="009F1A03"/>
    <w:rPr>
      <w:rFonts w:ascii="Cambria" w:hAnsi="Cambria" w:cs="Times New Roman"/>
      <w:b/>
      <w:bCs/>
      <w:i/>
      <w:iCs/>
      <w:sz w:val="28"/>
      <w:szCs w:val="28"/>
    </w:rPr>
  </w:style>
  <w:style w:type="character" w:customStyle="1" w:styleId="Titolo3Carattere">
    <w:name w:val="Titolo 3 Carattere"/>
    <w:basedOn w:val="Carpredefinitoparagrafo"/>
    <w:link w:val="Titolo3"/>
    <w:uiPriority w:val="99"/>
    <w:semiHidden/>
    <w:locked/>
    <w:rsid w:val="009F1A03"/>
    <w:rPr>
      <w:rFonts w:ascii="Cambria" w:hAnsi="Cambria" w:cs="Times New Roman"/>
      <w:b/>
      <w:bCs/>
      <w:sz w:val="26"/>
      <w:szCs w:val="26"/>
    </w:rPr>
  </w:style>
  <w:style w:type="character" w:customStyle="1" w:styleId="Titolo4Carattere">
    <w:name w:val="Titolo 4 Carattere"/>
    <w:basedOn w:val="Carpredefinitoparagrafo"/>
    <w:link w:val="Titolo4"/>
    <w:uiPriority w:val="99"/>
    <w:semiHidden/>
    <w:locked/>
    <w:rsid w:val="009F1A03"/>
    <w:rPr>
      <w:rFonts w:ascii="Calibri" w:hAnsi="Calibri" w:cs="Times New Roman"/>
      <w:b/>
      <w:bCs/>
      <w:sz w:val="28"/>
      <w:szCs w:val="28"/>
    </w:rPr>
  </w:style>
  <w:style w:type="character" w:customStyle="1" w:styleId="Titolo6Carattere">
    <w:name w:val="Titolo 6 Carattere"/>
    <w:basedOn w:val="Carpredefinitoparagrafo"/>
    <w:link w:val="Titolo6"/>
    <w:uiPriority w:val="99"/>
    <w:semiHidden/>
    <w:locked/>
    <w:rsid w:val="009F1A03"/>
    <w:rPr>
      <w:rFonts w:ascii="Calibri" w:hAnsi="Calibri" w:cs="Times New Roman"/>
      <w:b/>
      <w:bCs/>
    </w:rPr>
  </w:style>
  <w:style w:type="character" w:customStyle="1" w:styleId="Titolo8Carattere">
    <w:name w:val="Titolo 8 Carattere"/>
    <w:basedOn w:val="Carpredefinitoparagrafo"/>
    <w:link w:val="Titolo8"/>
    <w:uiPriority w:val="99"/>
    <w:semiHidden/>
    <w:locked/>
    <w:rsid w:val="009F1A03"/>
    <w:rPr>
      <w:rFonts w:ascii="Calibri" w:hAnsi="Calibri" w:cs="Times New Roman"/>
      <w:i/>
      <w:iCs/>
      <w:sz w:val="24"/>
      <w:szCs w:val="24"/>
    </w:rPr>
  </w:style>
  <w:style w:type="character" w:customStyle="1" w:styleId="Titolo9Carattere">
    <w:name w:val="Titolo 9 Carattere"/>
    <w:basedOn w:val="Carpredefinitoparagrafo"/>
    <w:link w:val="Titolo9"/>
    <w:uiPriority w:val="99"/>
    <w:semiHidden/>
    <w:locked/>
    <w:rsid w:val="009F1A03"/>
    <w:rPr>
      <w:rFonts w:ascii="Cambria" w:hAnsi="Cambria" w:cs="Times New Roman"/>
    </w:rPr>
  </w:style>
  <w:style w:type="paragraph" w:styleId="Testonotaapidipagina">
    <w:name w:val="footnote text"/>
    <w:aliases w:val="Testo nota a piè di pagina Carattere,Testo nota a piè di pagina Carattere1 Carattere,Testo nota a piè di pagina Carattere Carattere Carattere,Testo nota a piè di pagina Carattere1 Carattere Carattere Carattere,Carattere"/>
    <w:basedOn w:val="Normale"/>
    <w:link w:val="TestonotaapidipaginaCarattere1"/>
    <w:uiPriority w:val="99"/>
    <w:rsid w:val="009F1A03"/>
    <w:pPr>
      <w:widowControl w:val="0"/>
      <w:tabs>
        <w:tab w:val="left" w:pos="567"/>
      </w:tabs>
      <w:overflowPunct w:val="0"/>
      <w:autoSpaceDE w:val="0"/>
      <w:autoSpaceDN w:val="0"/>
      <w:adjustRightInd w:val="0"/>
      <w:spacing w:after="120"/>
      <w:ind w:left="567" w:hanging="567"/>
      <w:jc w:val="both"/>
    </w:pPr>
    <w:rPr>
      <w:rFonts w:ascii="Arial" w:hAnsi="Arial"/>
      <w:sz w:val="20"/>
      <w:szCs w:val="20"/>
    </w:rPr>
  </w:style>
  <w:style w:type="character" w:customStyle="1" w:styleId="TestonotaapidipaginaCarattere1">
    <w:name w:val="Testo nota a piè di pagina Carattere1"/>
    <w:aliases w:val="Testo nota a piè di pagina Carattere Carattere,Testo nota a piè di pagina Carattere1 Carattere Carattere,Testo nota a piè di pagina Carattere Carattere Carattere Carattere,Carattere Carattere1"/>
    <w:basedOn w:val="Carpredefinitoparagrafo"/>
    <w:link w:val="Testonotaapidipagina"/>
    <w:uiPriority w:val="99"/>
    <w:locked/>
    <w:rsid w:val="009F1A03"/>
    <w:rPr>
      <w:rFonts w:ascii="Arial" w:hAnsi="Arial" w:cs="Times New Roman"/>
      <w:lang w:val="it-IT" w:eastAsia="it-IT"/>
    </w:rPr>
  </w:style>
  <w:style w:type="paragraph" w:styleId="Intestazione">
    <w:name w:val="header"/>
    <w:basedOn w:val="Normale"/>
    <w:link w:val="IntestazioneCarattere"/>
    <w:uiPriority w:val="99"/>
    <w:rsid w:val="009F1A03"/>
    <w:pPr>
      <w:widowControl w:val="0"/>
      <w:tabs>
        <w:tab w:val="center" w:pos="4819"/>
        <w:tab w:val="right" w:pos="9638"/>
      </w:tabs>
      <w:overflowPunct w:val="0"/>
      <w:autoSpaceDE w:val="0"/>
      <w:autoSpaceDN w:val="0"/>
      <w:adjustRightInd w:val="0"/>
      <w:spacing w:after="120"/>
      <w:jc w:val="both"/>
    </w:pPr>
    <w:rPr>
      <w:rFonts w:ascii="Arial" w:hAnsi="Arial"/>
      <w:szCs w:val="20"/>
    </w:rPr>
  </w:style>
  <w:style w:type="character" w:customStyle="1" w:styleId="IntestazioneCarattere">
    <w:name w:val="Intestazione Carattere"/>
    <w:basedOn w:val="Carpredefinitoparagrafo"/>
    <w:link w:val="Intestazione"/>
    <w:uiPriority w:val="99"/>
    <w:semiHidden/>
    <w:locked/>
    <w:rsid w:val="009F1A03"/>
    <w:rPr>
      <w:rFonts w:cs="Times New Roman"/>
      <w:sz w:val="24"/>
      <w:szCs w:val="24"/>
    </w:rPr>
  </w:style>
  <w:style w:type="paragraph" w:styleId="Pidipagina">
    <w:name w:val="footer"/>
    <w:basedOn w:val="Normale"/>
    <w:link w:val="PidipaginaCarattere"/>
    <w:uiPriority w:val="99"/>
    <w:rsid w:val="009F1A03"/>
    <w:pPr>
      <w:widowControl w:val="0"/>
      <w:pBdr>
        <w:top w:val="single" w:sz="6" w:space="1" w:color="auto"/>
      </w:pBdr>
      <w:overflowPunct w:val="0"/>
      <w:autoSpaceDE w:val="0"/>
      <w:autoSpaceDN w:val="0"/>
      <w:adjustRightInd w:val="0"/>
      <w:spacing w:after="120"/>
      <w:jc w:val="center"/>
    </w:pPr>
    <w:rPr>
      <w:rFonts w:ascii="Arial" w:hAnsi="Arial"/>
      <w:sz w:val="18"/>
      <w:szCs w:val="20"/>
    </w:rPr>
  </w:style>
  <w:style w:type="character" w:customStyle="1" w:styleId="PidipaginaCarattere">
    <w:name w:val="Piè di pagina Carattere"/>
    <w:basedOn w:val="Carpredefinitoparagrafo"/>
    <w:link w:val="Pidipagina"/>
    <w:uiPriority w:val="99"/>
    <w:semiHidden/>
    <w:locked/>
    <w:rsid w:val="009F1A03"/>
    <w:rPr>
      <w:rFonts w:cs="Times New Roman"/>
      <w:sz w:val="24"/>
      <w:szCs w:val="24"/>
    </w:rPr>
  </w:style>
  <w:style w:type="paragraph" w:styleId="Titolo">
    <w:name w:val="Title"/>
    <w:basedOn w:val="Normale"/>
    <w:link w:val="TitoloCarattere"/>
    <w:qFormat/>
    <w:rsid w:val="009F1A03"/>
    <w:pPr>
      <w:spacing w:after="360"/>
      <w:jc w:val="center"/>
    </w:pPr>
    <w:rPr>
      <w:rFonts w:ascii="Arial" w:hAnsi="Arial" w:cs="Arial"/>
      <w:b/>
      <w:i/>
      <w:sz w:val="36"/>
    </w:rPr>
  </w:style>
  <w:style w:type="character" w:customStyle="1" w:styleId="TitoloCarattere">
    <w:name w:val="Titolo Carattere"/>
    <w:basedOn w:val="Carpredefinitoparagrafo"/>
    <w:link w:val="Titolo"/>
    <w:locked/>
    <w:rsid w:val="009F1A03"/>
    <w:rPr>
      <w:rFonts w:ascii="Cambria" w:hAnsi="Cambria" w:cs="Times New Roman"/>
      <w:b/>
      <w:bCs/>
      <w:kern w:val="28"/>
      <w:sz w:val="32"/>
      <w:szCs w:val="32"/>
    </w:rPr>
  </w:style>
  <w:style w:type="paragraph" w:styleId="Corpodeltesto">
    <w:name w:val="Body Text"/>
    <w:basedOn w:val="Normale"/>
    <w:link w:val="CorpodeltestoCarattere"/>
    <w:uiPriority w:val="99"/>
    <w:rsid w:val="009F1A03"/>
    <w:pPr>
      <w:widowControl w:val="0"/>
      <w:overflowPunct w:val="0"/>
      <w:autoSpaceDE w:val="0"/>
      <w:autoSpaceDN w:val="0"/>
      <w:adjustRightInd w:val="0"/>
      <w:spacing w:after="120"/>
      <w:jc w:val="both"/>
    </w:pPr>
    <w:rPr>
      <w:rFonts w:ascii="Arial" w:hAnsi="Arial"/>
      <w:kern w:val="28"/>
      <w:szCs w:val="20"/>
    </w:rPr>
  </w:style>
  <w:style w:type="character" w:customStyle="1" w:styleId="CorpodeltestoCarattere">
    <w:name w:val="Corpo del testo Carattere"/>
    <w:basedOn w:val="Carpredefinitoparagrafo"/>
    <w:link w:val="Corpodeltesto"/>
    <w:uiPriority w:val="99"/>
    <w:semiHidden/>
    <w:locked/>
    <w:rsid w:val="009F1A03"/>
    <w:rPr>
      <w:rFonts w:cs="Times New Roman"/>
      <w:sz w:val="24"/>
      <w:szCs w:val="24"/>
    </w:rPr>
  </w:style>
  <w:style w:type="paragraph" w:styleId="Rientrocorpodeltesto">
    <w:name w:val="Body Text Indent"/>
    <w:basedOn w:val="Normale"/>
    <w:link w:val="RientrocorpodeltestoCarattere"/>
    <w:uiPriority w:val="99"/>
    <w:rsid w:val="009F1A03"/>
    <w:pPr>
      <w:snapToGrid w:val="0"/>
      <w:spacing w:before="110" w:line="360" w:lineRule="auto"/>
      <w:ind w:firstLine="426"/>
      <w:jc w:val="both"/>
    </w:pPr>
    <w:rPr>
      <w:szCs w:val="20"/>
    </w:rPr>
  </w:style>
  <w:style w:type="character" w:customStyle="1" w:styleId="RientrocorpodeltestoCarattere">
    <w:name w:val="Rientro corpo del testo Carattere"/>
    <w:basedOn w:val="Carpredefinitoparagrafo"/>
    <w:link w:val="Rientrocorpodeltesto"/>
    <w:uiPriority w:val="99"/>
    <w:semiHidden/>
    <w:locked/>
    <w:rsid w:val="009F1A03"/>
    <w:rPr>
      <w:rFonts w:cs="Times New Roman"/>
      <w:sz w:val="24"/>
      <w:szCs w:val="24"/>
    </w:rPr>
  </w:style>
  <w:style w:type="paragraph" w:styleId="Corpodeltesto2">
    <w:name w:val="Body Text 2"/>
    <w:basedOn w:val="Normale"/>
    <w:link w:val="Corpodeltesto2Carattere"/>
    <w:uiPriority w:val="99"/>
    <w:rsid w:val="009F1A03"/>
    <w:pPr>
      <w:tabs>
        <w:tab w:val="left" w:pos="426"/>
      </w:tabs>
    </w:pPr>
    <w:rPr>
      <w:rFonts w:ascii="Arial" w:hAnsi="Arial" w:cs="Arial"/>
      <w:sz w:val="22"/>
    </w:rPr>
  </w:style>
  <w:style w:type="character" w:customStyle="1" w:styleId="Corpodeltesto2Carattere">
    <w:name w:val="Corpo del testo 2 Carattere"/>
    <w:basedOn w:val="Carpredefinitoparagrafo"/>
    <w:link w:val="Corpodeltesto2"/>
    <w:uiPriority w:val="99"/>
    <w:semiHidden/>
    <w:locked/>
    <w:rsid w:val="009F1A03"/>
    <w:rPr>
      <w:rFonts w:cs="Times New Roman"/>
      <w:sz w:val="24"/>
      <w:szCs w:val="24"/>
    </w:rPr>
  </w:style>
  <w:style w:type="paragraph" w:styleId="Corpodeltesto3">
    <w:name w:val="Body Text 3"/>
    <w:basedOn w:val="Normale"/>
    <w:link w:val="Corpodeltesto3Carattere"/>
    <w:uiPriority w:val="99"/>
    <w:rsid w:val="009F1A03"/>
    <w:pPr>
      <w:widowControl w:val="0"/>
      <w:overflowPunct w:val="0"/>
      <w:autoSpaceDE w:val="0"/>
      <w:autoSpaceDN w:val="0"/>
      <w:adjustRightInd w:val="0"/>
      <w:spacing w:after="120"/>
      <w:jc w:val="both"/>
    </w:pPr>
    <w:rPr>
      <w:rFonts w:ascii="Arial" w:hAnsi="Arial"/>
      <w:sz w:val="18"/>
      <w:szCs w:val="18"/>
    </w:rPr>
  </w:style>
  <w:style w:type="character" w:customStyle="1" w:styleId="Corpodeltesto3Carattere">
    <w:name w:val="Corpo del testo 3 Carattere"/>
    <w:basedOn w:val="Carpredefinitoparagrafo"/>
    <w:link w:val="Corpodeltesto3"/>
    <w:uiPriority w:val="99"/>
    <w:semiHidden/>
    <w:locked/>
    <w:rsid w:val="009F1A03"/>
    <w:rPr>
      <w:rFonts w:cs="Times New Roman"/>
      <w:sz w:val="16"/>
      <w:szCs w:val="16"/>
    </w:rPr>
  </w:style>
  <w:style w:type="paragraph" w:styleId="Rientrocorpodeltesto2">
    <w:name w:val="Body Text Indent 2"/>
    <w:basedOn w:val="Normale"/>
    <w:link w:val="Rientrocorpodeltesto2Carattere"/>
    <w:uiPriority w:val="99"/>
    <w:rsid w:val="009F1A03"/>
    <w:pPr>
      <w:spacing w:line="360" w:lineRule="auto"/>
      <w:ind w:left="360"/>
    </w:pPr>
    <w:rPr>
      <w:rFonts w:ascii="Arial" w:hAnsi="Arial" w:cs="Arial"/>
      <w:sz w:val="22"/>
      <w:szCs w:val="18"/>
    </w:rPr>
  </w:style>
  <w:style w:type="character" w:customStyle="1" w:styleId="Rientrocorpodeltesto2Carattere">
    <w:name w:val="Rientro corpo del testo 2 Carattere"/>
    <w:basedOn w:val="Carpredefinitoparagrafo"/>
    <w:link w:val="Rientrocorpodeltesto2"/>
    <w:uiPriority w:val="99"/>
    <w:semiHidden/>
    <w:locked/>
    <w:rsid w:val="009F1A03"/>
    <w:rPr>
      <w:rFonts w:cs="Times New Roman"/>
      <w:sz w:val="24"/>
      <w:szCs w:val="24"/>
    </w:rPr>
  </w:style>
  <w:style w:type="paragraph" w:customStyle="1" w:styleId="CPVC">
    <w:name w:val="CPV_C"/>
    <w:uiPriority w:val="99"/>
    <w:rsid w:val="009F1A03"/>
    <w:pPr>
      <w:widowControl w:val="0"/>
      <w:tabs>
        <w:tab w:val="left" w:pos="0"/>
        <w:tab w:val="left" w:pos="1247"/>
        <w:tab w:val="left" w:pos="3969"/>
        <w:tab w:val="left" w:pos="4252"/>
        <w:tab w:val="left" w:pos="11339"/>
        <w:tab w:val="left" w:pos="28346"/>
      </w:tabs>
      <w:autoSpaceDE w:val="0"/>
      <w:autoSpaceDN w:val="0"/>
      <w:adjustRightInd w:val="0"/>
      <w:spacing w:before="260" w:after="85" w:line="25" w:lineRule="atLeast"/>
      <w:jc w:val="center"/>
    </w:pPr>
    <w:rPr>
      <w:rFonts w:ascii="ItcCenturyLight" w:hAnsi="ItcCenturyLight" w:cs="ItcCenturyLight"/>
      <w:sz w:val="20"/>
      <w:szCs w:val="20"/>
    </w:rPr>
  </w:style>
  <w:style w:type="paragraph" w:customStyle="1" w:styleId="CPVCcvo">
    <w:name w:val="CPV_Ccvo"/>
    <w:uiPriority w:val="99"/>
    <w:rsid w:val="009F1A03"/>
    <w:pPr>
      <w:widowControl w:val="0"/>
      <w:tabs>
        <w:tab w:val="left" w:pos="0"/>
        <w:tab w:val="left" w:pos="1247"/>
        <w:tab w:val="left" w:pos="3969"/>
        <w:tab w:val="left" w:pos="4252"/>
        <w:tab w:val="left" w:pos="11339"/>
        <w:tab w:val="left" w:pos="28346"/>
      </w:tabs>
      <w:autoSpaceDE w:val="0"/>
      <w:autoSpaceDN w:val="0"/>
      <w:adjustRightInd w:val="0"/>
      <w:spacing w:before="260" w:after="85" w:line="25" w:lineRule="atLeast"/>
      <w:jc w:val="center"/>
    </w:pPr>
    <w:rPr>
      <w:rFonts w:ascii="ItcCenturyLight" w:hAnsi="ItcCenturyLight" w:cs="ItcCenturyLight"/>
      <w:i/>
      <w:iCs/>
      <w:sz w:val="20"/>
      <w:szCs w:val="20"/>
    </w:rPr>
  </w:style>
  <w:style w:type="paragraph" w:customStyle="1" w:styleId="LIV2">
    <w:name w:val="LIV2"/>
    <w:uiPriority w:val="99"/>
    <w:rsid w:val="009F1A03"/>
    <w:pPr>
      <w:widowControl w:val="0"/>
      <w:tabs>
        <w:tab w:val="left" w:pos="0"/>
        <w:tab w:val="left" w:pos="1418"/>
        <w:tab w:val="left" w:pos="2835"/>
        <w:tab w:val="left" w:pos="4252"/>
      </w:tabs>
      <w:autoSpaceDE w:val="0"/>
      <w:autoSpaceDN w:val="0"/>
      <w:adjustRightInd w:val="0"/>
      <w:spacing w:before="444" w:after="171" w:line="12" w:lineRule="atLeast"/>
      <w:jc w:val="both"/>
    </w:pPr>
    <w:rPr>
      <w:rFonts w:ascii="UniversExBlkExt" w:hAnsi="UniversExBlkExt" w:cs="UniversExBlkExt"/>
      <w:b/>
      <w:bCs/>
      <w:sz w:val="16"/>
      <w:szCs w:val="16"/>
    </w:rPr>
  </w:style>
  <w:style w:type="paragraph" w:customStyle="1" w:styleId="cpv">
    <w:name w:val="cpv"/>
    <w:uiPriority w:val="99"/>
    <w:rsid w:val="009F1A03"/>
    <w:pPr>
      <w:widowControl w:val="0"/>
      <w:tabs>
        <w:tab w:val="left" w:pos="0"/>
        <w:tab w:val="left" w:pos="1418"/>
        <w:tab w:val="left" w:pos="2835"/>
        <w:tab w:val="left" w:pos="4252"/>
      </w:tabs>
      <w:autoSpaceDE w:val="0"/>
      <w:autoSpaceDN w:val="0"/>
      <w:adjustRightInd w:val="0"/>
      <w:spacing w:before="175" w:line="25" w:lineRule="atLeast"/>
      <w:jc w:val="both"/>
    </w:pPr>
    <w:rPr>
      <w:rFonts w:ascii="ItcCenturyLight" w:hAnsi="ItcCenturyLight" w:cs="ItcCenturyLight"/>
      <w:sz w:val="20"/>
      <w:szCs w:val="20"/>
    </w:rPr>
  </w:style>
  <w:style w:type="paragraph" w:customStyle="1" w:styleId="liv1unita">
    <w:name w:val="liv1_unita"/>
    <w:uiPriority w:val="99"/>
    <w:rsid w:val="009F1A03"/>
    <w:pPr>
      <w:widowControl w:val="0"/>
      <w:tabs>
        <w:tab w:val="left" w:pos="469"/>
        <w:tab w:val="left" w:pos="1887"/>
        <w:tab w:val="left" w:pos="3304"/>
        <w:tab w:val="left" w:pos="4721"/>
      </w:tabs>
      <w:autoSpaceDE w:val="0"/>
      <w:autoSpaceDN w:val="0"/>
      <w:adjustRightInd w:val="0"/>
      <w:spacing w:before="489" w:after="85" w:line="12" w:lineRule="atLeast"/>
      <w:ind w:left="469" w:hanging="469"/>
      <w:jc w:val="both"/>
    </w:pPr>
    <w:rPr>
      <w:rFonts w:ascii="UniversExBlkExt" w:hAnsi="UniversExBlkExt" w:cs="UniversExBlkExt"/>
      <w:b/>
      <w:bCs/>
      <w:sz w:val="16"/>
      <w:szCs w:val="16"/>
    </w:rPr>
  </w:style>
  <w:style w:type="paragraph" w:customStyle="1" w:styleId="sottocpv1">
    <w:name w:val="sottocpv1"/>
    <w:uiPriority w:val="99"/>
    <w:rsid w:val="009F1A03"/>
    <w:pPr>
      <w:widowControl w:val="0"/>
      <w:tabs>
        <w:tab w:val="left" w:pos="341"/>
        <w:tab w:val="left" w:pos="1759"/>
        <w:tab w:val="left" w:pos="3176"/>
        <w:tab w:val="left" w:pos="4593"/>
      </w:tabs>
      <w:autoSpaceDE w:val="0"/>
      <w:autoSpaceDN w:val="0"/>
      <w:adjustRightInd w:val="0"/>
      <w:spacing w:before="175" w:line="25" w:lineRule="atLeast"/>
      <w:ind w:left="341" w:hanging="341"/>
      <w:jc w:val="both"/>
    </w:pPr>
    <w:rPr>
      <w:rFonts w:ascii="ItcCenturyLight" w:hAnsi="ItcCenturyLight" w:cs="ItcCenturyLight"/>
      <w:sz w:val="20"/>
      <w:szCs w:val="20"/>
    </w:rPr>
  </w:style>
  <w:style w:type="paragraph" w:customStyle="1" w:styleId="Corpodeltesto21">
    <w:name w:val="Corpo del testo 21"/>
    <w:basedOn w:val="Normale"/>
    <w:uiPriority w:val="99"/>
    <w:rsid w:val="009F1A03"/>
    <w:pPr>
      <w:widowControl w:val="0"/>
      <w:overflowPunct w:val="0"/>
      <w:autoSpaceDE w:val="0"/>
      <w:autoSpaceDN w:val="0"/>
      <w:adjustRightInd w:val="0"/>
      <w:spacing w:after="120"/>
      <w:jc w:val="both"/>
    </w:pPr>
    <w:rPr>
      <w:rFonts w:ascii="Arial" w:hAnsi="Arial"/>
      <w:b/>
      <w:i/>
      <w:szCs w:val="20"/>
    </w:rPr>
  </w:style>
  <w:style w:type="paragraph" w:customStyle="1" w:styleId="tabella">
    <w:name w:val="tabella"/>
    <w:basedOn w:val="Titolo3"/>
    <w:rsid w:val="009F1A03"/>
    <w:pPr>
      <w:keepNext/>
    </w:pPr>
    <w:rPr>
      <w:b w:val="0"/>
      <w:i/>
      <w:sz w:val="18"/>
      <w:szCs w:val="18"/>
    </w:rPr>
  </w:style>
  <w:style w:type="paragraph" w:customStyle="1" w:styleId="tit2-circ">
    <w:name w:val="tit2-circ"/>
    <w:basedOn w:val="Normale"/>
    <w:uiPriority w:val="99"/>
    <w:rsid w:val="009F1A03"/>
    <w:pPr>
      <w:keepNext/>
      <w:spacing w:before="360" w:after="100"/>
      <w:ind w:right="108"/>
      <w:jc w:val="both"/>
    </w:pPr>
    <w:rPr>
      <w:rFonts w:ascii="Futura" w:hAnsi="Futura"/>
      <w:b/>
      <w:caps/>
      <w:sz w:val="20"/>
      <w:szCs w:val="20"/>
    </w:rPr>
  </w:style>
  <w:style w:type="character" w:styleId="Rimandonotaapidipagina">
    <w:name w:val="footnote reference"/>
    <w:basedOn w:val="Carpredefinitoparagrafo"/>
    <w:uiPriority w:val="99"/>
    <w:rsid w:val="009F1A03"/>
    <w:rPr>
      <w:rFonts w:cs="Times New Roman"/>
      <w:vertAlign w:val="superscript"/>
    </w:rPr>
  </w:style>
  <w:style w:type="paragraph" w:styleId="Mappadocumento">
    <w:name w:val="Document Map"/>
    <w:basedOn w:val="Normale"/>
    <w:link w:val="MappadocumentoCarattere"/>
    <w:uiPriority w:val="99"/>
    <w:semiHidden/>
    <w:rsid w:val="009F1A03"/>
    <w:pPr>
      <w:shd w:val="clear" w:color="auto" w:fill="000080"/>
    </w:pPr>
    <w:rPr>
      <w:rFonts w:ascii="Tahoma" w:hAnsi="Tahoma" w:cs="Tahoma"/>
      <w:sz w:val="20"/>
      <w:szCs w:val="20"/>
    </w:rPr>
  </w:style>
  <w:style w:type="character" w:customStyle="1" w:styleId="MappadocumentoCarattere">
    <w:name w:val="Mappa documento Carattere"/>
    <w:basedOn w:val="Carpredefinitoparagrafo"/>
    <w:link w:val="Mappadocumento"/>
    <w:uiPriority w:val="99"/>
    <w:semiHidden/>
    <w:locked/>
    <w:rsid w:val="009F1A03"/>
    <w:rPr>
      <w:rFonts w:cs="Times New Roman"/>
      <w:sz w:val="2"/>
    </w:rPr>
  </w:style>
  <w:style w:type="paragraph" w:styleId="Testofumetto">
    <w:name w:val="Balloon Text"/>
    <w:basedOn w:val="Normale"/>
    <w:link w:val="TestofumettoCarattere"/>
    <w:uiPriority w:val="99"/>
    <w:semiHidden/>
    <w:rsid w:val="009F1A03"/>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9F1A03"/>
    <w:rPr>
      <w:rFonts w:cs="Times New Roman"/>
      <w:sz w:val="2"/>
    </w:rPr>
  </w:style>
  <w:style w:type="character" w:customStyle="1" w:styleId="CarattereCarattere">
    <w:name w:val="Carattere Carattere"/>
    <w:uiPriority w:val="99"/>
    <w:rsid w:val="009F1A03"/>
    <w:rPr>
      <w:rFonts w:ascii="Arial" w:hAnsi="Arial"/>
      <w:kern w:val="28"/>
      <w:sz w:val="24"/>
    </w:rPr>
  </w:style>
  <w:style w:type="character" w:styleId="Numeropagina">
    <w:name w:val="page number"/>
    <w:basedOn w:val="Carpredefinitoparagrafo"/>
    <w:uiPriority w:val="99"/>
    <w:rsid w:val="009F1A03"/>
    <w:rPr>
      <w:rFonts w:cs="Times New Roman"/>
    </w:rPr>
  </w:style>
  <w:style w:type="character" w:styleId="Rimandocommento">
    <w:name w:val="annotation reference"/>
    <w:basedOn w:val="Carpredefinitoparagrafo"/>
    <w:uiPriority w:val="99"/>
    <w:semiHidden/>
    <w:rsid w:val="009F1A03"/>
    <w:rPr>
      <w:rFonts w:cs="Times New Roman"/>
      <w:sz w:val="16"/>
    </w:rPr>
  </w:style>
  <w:style w:type="paragraph" w:styleId="Testocommento">
    <w:name w:val="annotation text"/>
    <w:basedOn w:val="Normale"/>
    <w:link w:val="TestocommentoCarattere"/>
    <w:uiPriority w:val="99"/>
    <w:semiHidden/>
    <w:rsid w:val="009F1A03"/>
    <w:rPr>
      <w:sz w:val="20"/>
      <w:szCs w:val="20"/>
    </w:rPr>
  </w:style>
  <w:style w:type="character" w:customStyle="1" w:styleId="TestocommentoCarattere">
    <w:name w:val="Testo commento Carattere"/>
    <w:basedOn w:val="Carpredefinitoparagrafo"/>
    <w:link w:val="Testocommento"/>
    <w:uiPriority w:val="99"/>
    <w:semiHidden/>
    <w:locked/>
    <w:rsid w:val="009F1A03"/>
    <w:rPr>
      <w:rFonts w:cs="Times New Roman"/>
      <w:sz w:val="20"/>
      <w:szCs w:val="20"/>
    </w:rPr>
  </w:style>
  <w:style w:type="paragraph" w:styleId="Soggettocommento">
    <w:name w:val="annotation subject"/>
    <w:basedOn w:val="Testocommento"/>
    <w:next w:val="Testocommento"/>
    <w:link w:val="SoggettocommentoCarattere"/>
    <w:uiPriority w:val="99"/>
    <w:semiHidden/>
    <w:rsid w:val="009F1A03"/>
    <w:rPr>
      <w:b/>
      <w:bCs/>
    </w:rPr>
  </w:style>
  <w:style w:type="character" w:customStyle="1" w:styleId="SoggettocommentoCarattere">
    <w:name w:val="Soggetto commento Carattere"/>
    <w:basedOn w:val="TestocommentoCarattere"/>
    <w:link w:val="Soggettocommento"/>
    <w:uiPriority w:val="99"/>
    <w:semiHidden/>
    <w:locked/>
    <w:rsid w:val="009F1A03"/>
    <w:rPr>
      <w:rFonts w:cs="Times New Roman"/>
      <w:b/>
      <w:bCs/>
      <w:sz w:val="20"/>
      <w:szCs w:val="20"/>
    </w:rPr>
  </w:style>
  <w:style w:type="paragraph" w:customStyle="1" w:styleId="Paragrafoelenco1">
    <w:name w:val="Paragrafo elenco1"/>
    <w:basedOn w:val="Normale"/>
    <w:uiPriority w:val="99"/>
    <w:rsid w:val="009F1A03"/>
    <w:pPr>
      <w:spacing w:after="200" w:line="276" w:lineRule="auto"/>
      <w:ind w:left="720"/>
      <w:contextualSpacing/>
    </w:pPr>
    <w:rPr>
      <w:rFonts w:ascii="Calibri" w:hAnsi="Calibri"/>
      <w:sz w:val="22"/>
      <w:szCs w:val="22"/>
      <w:lang w:eastAsia="en-US"/>
    </w:rPr>
  </w:style>
  <w:style w:type="paragraph" w:styleId="NormaleWeb">
    <w:name w:val="Normal (Web)"/>
    <w:basedOn w:val="Normale"/>
    <w:uiPriority w:val="99"/>
    <w:rsid w:val="009F1A03"/>
    <w:pPr>
      <w:spacing w:before="100" w:beforeAutospacing="1" w:after="100" w:afterAutospacing="1"/>
    </w:pPr>
  </w:style>
  <w:style w:type="character" w:styleId="Enfasicorsivo">
    <w:name w:val="Emphasis"/>
    <w:basedOn w:val="Carpredefinitoparagrafo"/>
    <w:uiPriority w:val="99"/>
    <w:qFormat/>
    <w:rsid w:val="009F1A03"/>
    <w:rPr>
      <w:rFonts w:cs="Times New Roman"/>
      <w:i/>
    </w:rPr>
  </w:style>
  <w:style w:type="character" w:styleId="Collegamentoipertestuale">
    <w:name w:val="Hyperlink"/>
    <w:basedOn w:val="Carpredefinitoparagrafo"/>
    <w:uiPriority w:val="99"/>
    <w:rsid w:val="009F1A03"/>
    <w:rPr>
      <w:rFonts w:cs="Times New Roman"/>
      <w:color w:val="0000FF"/>
      <w:u w:val="single"/>
    </w:rPr>
  </w:style>
  <w:style w:type="character" w:styleId="Collegamentovisitato">
    <w:name w:val="FollowedHyperlink"/>
    <w:basedOn w:val="Carpredefinitoparagrafo"/>
    <w:uiPriority w:val="99"/>
    <w:rsid w:val="009F1A03"/>
    <w:rPr>
      <w:rFonts w:cs="Times New Roman"/>
      <w:color w:val="800080"/>
      <w:u w:val="single"/>
    </w:rPr>
  </w:style>
  <w:style w:type="table" w:styleId="Grigliatabella">
    <w:name w:val="Table Grid"/>
    <w:basedOn w:val="Tabellanormale"/>
    <w:rsid w:val="009F1A0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Contents">
    <w:name w:val="Table Contents"/>
    <w:basedOn w:val="Normale"/>
    <w:uiPriority w:val="99"/>
    <w:rsid w:val="009F1A03"/>
    <w:pPr>
      <w:widowControl w:val="0"/>
      <w:autoSpaceDE w:val="0"/>
      <w:autoSpaceDN w:val="0"/>
      <w:adjustRightInd w:val="0"/>
    </w:pPr>
    <w:rPr>
      <w:rFonts w:ascii="Thorndale AMT" w:hAnsi="Thorndale AMT" w:cs="Albany AMT"/>
    </w:rPr>
  </w:style>
  <w:style w:type="character" w:customStyle="1" w:styleId="linkneltesto">
    <w:name w:val="link_nel_testo"/>
    <w:rsid w:val="009F1A03"/>
    <w:rPr>
      <w:i/>
    </w:rPr>
  </w:style>
  <w:style w:type="paragraph" w:customStyle="1" w:styleId="provvr0">
    <w:name w:val="provv_r0"/>
    <w:basedOn w:val="Normale"/>
    <w:rsid w:val="009F1A03"/>
    <w:pPr>
      <w:spacing w:before="100" w:beforeAutospacing="1" w:after="100" w:afterAutospacing="1"/>
      <w:jc w:val="both"/>
    </w:pPr>
  </w:style>
  <w:style w:type="character" w:customStyle="1" w:styleId="provvnumcomma">
    <w:name w:val="provv_numcomma"/>
    <w:basedOn w:val="Carpredefinitoparagrafo"/>
    <w:rsid w:val="009F1A03"/>
    <w:rPr>
      <w:rFonts w:cs="Times New Roman"/>
    </w:rPr>
  </w:style>
  <w:style w:type="character" w:styleId="Enfasigrassetto">
    <w:name w:val="Strong"/>
    <w:basedOn w:val="Carpredefinitoparagrafo"/>
    <w:uiPriority w:val="99"/>
    <w:qFormat/>
    <w:rsid w:val="009F1A03"/>
    <w:rPr>
      <w:rFonts w:cs="Times New Roman"/>
      <w:b/>
    </w:rPr>
  </w:style>
  <w:style w:type="paragraph" w:customStyle="1" w:styleId="Default">
    <w:name w:val="Default"/>
    <w:rsid w:val="009F1A03"/>
    <w:pPr>
      <w:widowControl w:val="0"/>
      <w:suppressAutoHyphens/>
    </w:pPr>
    <w:rPr>
      <w:kern w:val="1"/>
      <w:lang w:eastAsia="ar-SA"/>
    </w:rPr>
  </w:style>
  <w:style w:type="paragraph" w:styleId="Sommario1">
    <w:name w:val="toc 1"/>
    <w:basedOn w:val="Normale"/>
    <w:next w:val="Normale"/>
    <w:autoRedefine/>
    <w:uiPriority w:val="39"/>
    <w:qFormat/>
    <w:rsid w:val="009F1A03"/>
  </w:style>
  <w:style w:type="paragraph" w:styleId="Sommario2">
    <w:name w:val="toc 2"/>
    <w:basedOn w:val="Normale"/>
    <w:next w:val="Normale"/>
    <w:autoRedefine/>
    <w:uiPriority w:val="39"/>
    <w:qFormat/>
    <w:rsid w:val="009F1A03"/>
    <w:pPr>
      <w:ind w:left="240"/>
    </w:pPr>
  </w:style>
  <w:style w:type="paragraph" w:styleId="Indice1">
    <w:name w:val="index 1"/>
    <w:basedOn w:val="Normale"/>
    <w:next w:val="Normale"/>
    <w:autoRedefine/>
    <w:uiPriority w:val="99"/>
    <w:rsid w:val="009F1A03"/>
    <w:pPr>
      <w:ind w:left="240" w:hanging="240"/>
    </w:pPr>
  </w:style>
  <w:style w:type="paragraph" w:styleId="Indice2">
    <w:name w:val="index 2"/>
    <w:basedOn w:val="Normale"/>
    <w:next w:val="Normale"/>
    <w:autoRedefine/>
    <w:uiPriority w:val="99"/>
    <w:rsid w:val="009F1A03"/>
    <w:pPr>
      <w:ind w:left="480" w:hanging="240"/>
    </w:pPr>
  </w:style>
  <w:style w:type="character" w:customStyle="1" w:styleId="apple-converted-space">
    <w:name w:val="apple-converted-space"/>
    <w:basedOn w:val="Carpredefinitoparagrafo"/>
    <w:rsid w:val="009F1A03"/>
    <w:rPr>
      <w:rFonts w:cs="Times New Roman"/>
    </w:rPr>
  </w:style>
  <w:style w:type="paragraph" w:styleId="PreformattatoHTML">
    <w:name w:val="HTML Preformatted"/>
    <w:basedOn w:val="Normale"/>
    <w:link w:val="PreformattatoHTMLCarattere"/>
    <w:uiPriority w:val="99"/>
    <w:rsid w:val="009F1A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basedOn w:val="Carpredefinitoparagrafo"/>
    <w:link w:val="PreformattatoHTML"/>
    <w:uiPriority w:val="99"/>
    <w:semiHidden/>
    <w:locked/>
    <w:rsid w:val="009F1A03"/>
    <w:rPr>
      <w:rFonts w:ascii="Courier New" w:hAnsi="Courier New" w:cs="Courier New"/>
      <w:sz w:val="20"/>
      <w:szCs w:val="20"/>
    </w:rPr>
  </w:style>
  <w:style w:type="paragraph" w:styleId="Didascalia">
    <w:name w:val="caption"/>
    <w:basedOn w:val="Normale"/>
    <w:next w:val="Normale"/>
    <w:uiPriority w:val="99"/>
    <w:qFormat/>
    <w:rsid w:val="009F1A03"/>
    <w:rPr>
      <w:b/>
      <w:bCs/>
      <w:sz w:val="20"/>
      <w:szCs w:val="20"/>
    </w:rPr>
  </w:style>
  <w:style w:type="character" w:customStyle="1" w:styleId="navilast">
    <w:name w:val="navi_last"/>
    <w:basedOn w:val="Carpredefinitoparagrafo"/>
    <w:uiPriority w:val="99"/>
    <w:rsid w:val="009F1A03"/>
    <w:rPr>
      <w:rFonts w:cs="Times New Roman"/>
    </w:rPr>
  </w:style>
  <w:style w:type="character" w:customStyle="1" w:styleId="lilinkmenulista">
    <w:name w:val="lilinkmenulista"/>
    <w:uiPriority w:val="99"/>
    <w:rsid w:val="009F1A03"/>
  </w:style>
  <w:style w:type="paragraph" w:styleId="Revisione">
    <w:name w:val="Revision"/>
    <w:hidden/>
    <w:uiPriority w:val="99"/>
    <w:semiHidden/>
    <w:rsid w:val="009F1A03"/>
    <w:rPr>
      <w:sz w:val="24"/>
      <w:szCs w:val="24"/>
    </w:rPr>
  </w:style>
  <w:style w:type="paragraph" w:customStyle="1" w:styleId="Paragrafoelenco4">
    <w:name w:val="Paragrafo elenco4"/>
    <w:basedOn w:val="Normale"/>
    <w:uiPriority w:val="99"/>
    <w:rsid w:val="009F1A03"/>
    <w:pPr>
      <w:ind w:left="720"/>
      <w:contextualSpacing/>
      <w:jc w:val="both"/>
    </w:pPr>
  </w:style>
  <w:style w:type="paragraph" w:styleId="Paragrafoelenco">
    <w:name w:val="List Paragraph"/>
    <w:basedOn w:val="Normale"/>
    <w:uiPriority w:val="34"/>
    <w:qFormat/>
    <w:rsid w:val="009F1A03"/>
    <w:pPr>
      <w:ind w:left="720"/>
      <w:contextualSpacing/>
    </w:pPr>
  </w:style>
  <w:style w:type="paragraph" w:customStyle="1" w:styleId="BodyText21">
    <w:name w:val="Body Text 21"/>
    <w:basedOn w:val="Normale"/>
    <w:uiPriority w:val="99"/>
    <w:rsid w:val="009F1A03"/>
    <w:pPr>
      <w:widowControl w:val="0"/>
      <w:overflowPunct w:val="0"/>
      <w:autoSpaceDE w:val="0"/>
      <w:autoSpaceDN w:val="0"/>
      <w:adjustRightInd w:val="0"/>
      <w:spacing w:after="120"/>
      <w:jc w:val="both"/>
    </w:pPr>
    <w:rPr>
      <w:rFonts w:ascii="Arial" w:hAnsi="Arial"/>
      <w:b/>
      <w:i/>
      <w:szCs w:val="20"/>
    </w:rPr>
  </w:style>
  <w:style w:type="character" w:customStyle="1" w:styleId="provvrubrica">
    <w:name w:val="provv_rubrica"/>
    <w:basedOn w:val="Carpredefinitoparagrafo"/>
    <w:uiPriority w:val="99"/>
    <w:rsid w:val="009F1A03"/>
    <w:rPr>
      <w:rFonts w:cs="Times New Roman"/>
    </w:rPr>
  </w:style>
  <w:style w:type="paragraph" w:styleId="Sottotitolo">
    <w:name w:val="Subtitle"/>
    <w:basedOn w:val="Normale"/>
    <w:next w:val="Normale"/>
    <w:link w:val="SottotitoloCarattere"/>
    <w:uiPriority w:val="11"/>
    <w:qFormat/>
    <w:rsid w:val="009F1A03"/>
    <w:pPr>
      <w:spacing w:after="60"/>
      <w:jc w:val="center"/>
      <w:outlineLvl w:val="1"/>
    </w:pPr>
    <w:rPr>
      <w:rFonts w:asciiTheme="majorHAnsi" w:eastAsiaTheme="majorEastAsia" w:hAnsiTheme="majorHAnsi" w:cstheme="majorBidi"/>
    </w:rPr>
  </w:style>
  <w:style w:type="character" w:customStyle="1" w:styleId="SottotitoloCarattere">
    <w:name w:val="Sottotitolo Carattere"/>
    <w:basedOn w:val="Carpredefinitoparagrafo"/>
    <w:link w:val="Sottotitolo"/>
    <w:uiPriority w:val="11"/>
    <w:rsid w:val="009F1A03"/>
    <w:rPr>
      <w:rFonts w:asciiTheme="majorHAnsi" w:eastAsiaTheme="majorEastAsia" w:hAnsiTheme="majorHAnsi" w:cstheme="majorBidi"/>
      <w:sz w:val="24"/>
      <w:szCs w:val="24"/>
    </w:rPr>
  </w:style>
  <w:style w:type="character" w:styleId="Titolodellibro">
    <w:name w:val="Book Title"/>
    <w:basedOn w:val="Carpredefinitoparagrafo"/>
    <w:uiPriority w:val="33"/>
    <w:qFormat/>
    <w:rsid w:val="009F1A03"/>
    <w:rPr>
      <w:b/>
      <w:bCs/>
      <w:smallCaps/>
      <w:spacing w:val="5"/>
    </w:rPr>
  </w:style>
  <w:style w:type="paragraph" w:styleId="Titolosommario">
    <w:name w:val="TOC Heading"/>
    <w:basedOn w:val="Titolo1"/>
    <w:next w:val="Normale"/>
    <w:uiPriority w:val="39"/>
    <w:semiHidden/>
    <w:unhideWhenUsed/>
    <w:qFormat/>
    <w:rsid w:val="009F1A03"/>
    <w:pPr>
      <w:keepNext/>
      <w:keepLines/>
      <w:widowControl/>
      <w:pBdr>
        <w:top w:val="none" w:sz="0" w:space="0" w:color="auto"/>
        <w:left w:val="none" w:sz="0" w:space="0" w:color="auto"/>
        <w:bottom w:val="none" w:sz="0" w:space="0" w:color="auto"/>
        <w:right w:val="none" w:sz="0" w:space="0" w:color="auto"/>
      </w:pBdr>
      <w:shd w:val="clear" w:color="auto" w:fill="auto"/>
      <w:overflowPunct/>
      <w:autoSpaceDE/>
      <w:autoSpaceDN/>
      <w:adjustRightInd/>
      <w:spacing w:before="480" w:after="0" w:line="276" w:lineRule="auto"/>
      <w:jc w:val="left"/>
      <w:outlineLvl w:val="9"/>
    </w:pPr>
    <w:rPr>
      <w:rFonts w:asciiTheme="majorHAnsi" w:eastAsiaTheme="majorEastAsia" w:hAnsiTheme="majorHAnsi" w:cstheme="majorBidi"/>
      <w:bCs/>
      <w:i w:val="0"/>
      <w:color w:val="365F91" w:themeColor="accent1" w:themeShade="BF"/>
      <w:sz w:val="28"/>
      <w:szCs w:val="28"/>
    </w:rPr>
  </w:style>
  <w:style w:type="paragraph" w:styleId="Sommario3">
    <w:name w:val="toc 3"/>
    <w:basedOn w:val="Normale"/>
    <w:next w:val="Normale"/>
    <w:autoRedefine/>
    <w:uiPriority w:val="39"/>
    <w:qFormat/>
    <w:rsid w:val="009F1A03"/>
    <w:pPr>
      <w:spacing w:after="100"/>
      <w:ind w:left="480"/>
    </w:pPr>
  </w:style>
  <w:style w:type="paragraph" w:customStyle="1" w:styleId="m-6350291795918196642gmail-msolistparagraph">
    <w:name w:val="m_-6350291795918196642gmail-msolistparagraph"/>
    <w:basedOn w:val="Normale"/>
    <w:rsid w:val="009F1A03"/>
    <w:pPr>
      <w:spacing w:before="100" w:beforeAutospacing="1" w:after="100" w:afterAutospacing="1"/>
    </w:pPr>
    <w:rPr>
      <w:rFonts w:eastAsiaTheme="minorHAnsi"/>
    </w:rPr>
  </w:style>
  <w:style w:type="character" w:customStyle="1" w:styleId="Menzionenonrisolta1">
    <w:name w:val="Menzione non risolta1"/>
    <w:basedOn w:val="Carpredefinitoparagrafo"/>
    <w:uiPriority w:val="99"/>
    <w:semiHidden/>
    <w:unhideWhenUsed/>
    <w:rsid w:val="009F1A03"/>
    <w:rPr>
      <w:color w:val="808080"/>
      <w:shd w:val="clear" w:color="auto" w:fill="E6E6E6"/>
    </w:rPr>
  </w:style>
  <w:style w:type="paragraph" w:styleId="Nessunaspaziatura">
    <w:name w:val="No Spacing"/>
    <w:uiPriority w:val="1"/>
    <w:qFormat/>
    <w:rsid w:val="009F1A03"/>
    <w:rPr>
      <w:sz w:val="24"/>
      <w:szCs w:val="24"/>
    </w:rPr>
  </w:style>
  <w:style w:type="paragraph" w:customStyle="1" w:styleId="xmsonormal">
    <w:name w:val="x_msonormal"/>
    <w:basedOn w:val="Normale"/>
    <w:rsid w:val="002C3C86"/>
    <w:pPr>
      <w:spacing w:before="100" w:beforeAutospacing="1" w:after="100" w:afterAutospacing="1"/>
    </w:pPr>
  </w:style>
  <w:style w:type="character" w:customStyle="1" w:styleId="Menzionenonrisolta2">
    <w:name w:val="Menzione non risolta2"/>
    <w:basedOn w:val="Carpredefinitoparagrafo"/>
    <w:uiPriority w:val="99"/>
    <w:semiHidden/>
    <w:unhideWhenUsed/>
    <w:rsid w:val="006E10DF"/>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856">
      <w:bodyDiv w:val="1"/>
      <w:marLeft w:val="0"/>
      <w:marRight w:val="0"/>
      <w:marTop w:val="0"/>
      <w:marBottom w:val="0"/>
      <w:divBdr>
        <w:top w:val="none" w:sz="0" w:space="0" w:color="auto"/>
        <w:left w:val="none" w:sz="0" w:space="0" w:color="auto"/>
        <w:bottom w:val="none" w:sz="0" w:space="0" w:color="auto"/>
        <w:right w:val="none" w:sz="0" w:space="0" w:color="auto"/>
      </w:divBdr>
    </w:div>
    <w:div w:id="18161366">
      <w:bodyDiv w:val="1"/>
      <w:marLeft w:val="0"/>
      <w:marRight w:val="0"/>
      <w:marTop w:val="0"/>
      <w:marBottom w:val="0"/>
      <w:divBdr>
        <w:top w:val="none" w:sz="0" w:space="0" w:color="auto"/>
        <w:left w:val="none" w:sz="0" w:space="0" w:color="auto"/>
        <w:bottom w:val="none" w:sz="0" w:space="0" w:color="auto"/>
        <w:right w:val="none" w:sz="0" w:space="0" w:color="auto"/>
      </w:divBdr>
      <w:divsChild>
        <w:div w:id="179852856">
          <w:marLeft w:val="0"/>
          <w:marRight w:val="0"/>
          <w:marTop w:val="0"/>
          <w:marBottom w:val="0"/>
          <w:divBdr>
            <w:top w:val="none" w:sz="0" w:space="0" w:color="auto"/>
            <w:left w:val="none" w:sz="0" w:space="0" w:color="auto"/>
            <w:bottom w:val="none" w:sz="0" w:space="0" w:color="auto"/>
            <w:right w:val="none" w:sz="0" w:space="0" w:color="auto"/>
          </w:divBdr>
        </w:div>
        <w:div w:id="295574730">
          <w:marLeft w:val="0"/>
          <w:marRight w:val="0"/>
          <w:marTop w:val="0"/>
          <w:marBottom w:val="0"/>
          <w:divBdr>
            <w:top w:val="none" w:sz="0" w:space="0" w:color="auto"/>
            <w:left w:val="none" w:sz="0" w:space="0" w:color="auto"/>
            <w:bottom w:val="none" w:sz="0" w:space="0" w:color="auto"/>
            <w:right w:val="none" w:sz="0" w:space="0" w:color="auto"/>
          </w:divBdr>
        </w:div>
        <w:div w:id="348066236">
          <w:marLeft w:val="0"/>
          <w:marRight w:val="0"/>
          <w:marTop w:val="0"/>
          <w:marBottom w:val="0"/>
          <w:divBdr>
            <w:top w:val="none" w:sz="0" w:space="0" w:color="auto"/>
            <w:left w:val="none" w:sz="0" w:space="0" w:color="auto"/>
            <w:bottom w:val="none" w:sz="0" w:space="0" w:color="auto"/>
            <w:right w:val="none" w:sz="0" w:space="0" w:color="auto"/>
          </w:divBdr>
        </w:div>
        <w:div w:id="1125390588">
          <w:marLeft w:val="0"/>
          <w:marRight w:val="0"/>
          <w:marTop w:val="0"/>
          <w:marBottom w:val="0"/>
          <w:divBdr>
            <w:top w:val="none" w:sz="0" w:space="0" w:color="auto"/>
            <w:left w:val="none" w:sz="0" w:space="0" w:color="auto"/>
            <w:bottom w:val="none" w:sz="0" w:space="0" w:color="auto"/>
            <w:right w:val="none" w:sz="0" w:space="0" w:color="auto"/>
          </w:divBdr>
        </w:div>
        <w:div w:id="1161968407">
          <w:marLeft w:val="0"/>
          <w:marRight w:val="0"/>
          <w:marTop w:val="0"/>
          <w:marBottom w:val="0"/>
          <w:divBdr>
            <w:top w:val="none" w:sz="0" w:space="0" w:color="auto"/>
            <w:left w:val="none" w:sz="0" w:space="0" w:color="auto"/>
            <w:bottom w:val="none" w:sz="0" w:space="0" w:color="auto"/>
            <w:right w:val="none" w:sz="0" w:space="0" w:color="auto"/>
          </w:divBdr>
        </w:div>
        <w:div w:id="1630163130">
          <w:marLeft w:val="0"/>
          <w:marRight w:val="0"/>
          <w:marTop w:val="0"/>
          <w:marBottom w:val="0"/>
          <w:divBdr>
            <w:top w:val="none" w:sz="0" w:space="0" w:color="auto"/>
            <w:left w:val="none" w:sz="0" w:space="0" w:color="auto"/>
            <w:bottom w:val="none" w:sz="0" w:space="0" w:color="auto"/>
            <w:right w:val="none" w:sz="0" w:space="0" w:color="auto"/>
          </w:divBdr>
        </w:div>
        <w:div w:id="1660843378">
          <w:marLeft w:val="0"/>
          <w:marRight w:val="0"/>
          <w:marTop w:val="0"/>
          <w:marBottom w:val="0"/>
          <w:divBdr>
            <w:top w:val="none" w:sz="0" w:space="0" w:color="auto"/>
            <w:left w:val="none" w:sz="0" w:space="0" w:color="auto"/>
            <w:bottom w:val="none" w:sz="0" w:space="0" w:color="auto"/>
            <w:right w:val="none" w:sz="0" w:space="0" w:color="auto"/>
          </w:divBdr>
        </w:div>
        <w:div w:id="1666594535">
          <w:marLeft w:val="0"/>
          <w:marRight w:val="0"/>
          <w:marTop w:val="0"/>
          <w:marBottom w:val="0"/>
          <w:divBdr>
            <w:top w:val="none" w:sz="0" w:space="0" w:color="auto"/>
            <w:left w:val="none" w:sz="0" w:space="0" w:color="auto"/>
            <w:bottom w:val="none" w:sz="0" w:space="0" w:color="auto"/>
            <w:right w:val="none" w:sz="0" w:space="0" w:color="auto"/>
          </w:divBdr>
        </w:div>
        <w:div w:id="2016882832">
          <w:marLeft w:val="0"/>
          <w:marRight w:val="0"/>
          <w:marTop w:val="0"/>
          <w:marBottom w:val="0"/>
          <w:divBdr>
            <w:top w:val="none" w:sz="0" w:space="0" w:color="auto"/>
            <w:left w:val="none" w:sz="0" w:space="0" w:color="auto"/>
            <w:bottom w:val="none" w:sz="0" w:space="0" w:color="auto"/>
            <w:right w:val="none" w:sz="0" w:space="0" w:color="auto"/>
          </w:divBdr>
        </w:div>
        <w:div w:id="2089186184">
          <w:marLeft w:val="0"/>
          <w:marRight w:val="0"/>
          <w:marTop w:val="0"/>
          <w:marBottom w:val="0"/>
          <w:divBdr>
            <w:top w:val="none" w:sz="0" w:space="0" w:color="auto"/>
            <w:left w:val="none" w:sz="0" w:space="0" w:color="auto"/>
            <w:bottom w:val="none" w:sz="0" w:space="0" w:color="auto"/>
            <w:right w:val="none" w:sz="0" w:space="0" w:color="auto"/>
          </w:divBdr>
        </w:div>
      </w:divsChild>
    </w:div>
    <w:div w:id="27536521">
      <w:bodyDiv w:val="1"/>
      <w:marLeft w:val="0"/>
      <w:marRight w:val="0"/>
      <w:marTop w:val="0"/>
      <w:marBottom w:val="0"/>
      <w:divBdr>
        <w:top w:val="none" w:sz="0" w:space="0" w:color="auto"/>
        <w:left w:val="none" w:sz="0" w:space="0" w:color="auto"/>
        <w:bottom w:val="none" w:sz="0" w:space="0" w:color="auto"/>
        <w:right w:val="none" w:sz="0" w:space="0" w:color="auto"/>
      </w:divBdr>
    </w:div>
    <w:div w:id="111365195">
      <w:bodyDiv w:val="1"/>
      <w:marLeft w:val="0"/>
      <w:marRight w:val="0"/>
      <w:marTop w:val="0"/>
      <w:marBottom w:val="0"/>
      <w:divBdr>
        <w:top w:val="none" w:sz="0" w:space="0" w:color="auto"/>
        <w:left w:val="none" w:sz="0" w:space="0" w:color="auto"/>
        <w:bottom w:val="none" w:sz="0" w:space="0" w:color="auto"/>
        <w:right w:val="none" w:sz="0" w:space="0" w:color="auto"/>
      </w:divBdr>
    </w:div>
    <w:div w:id="124937037">
      <w:bodyDiv w:val="1"/>
      <w:marLeft w:val="0"/>
      <w:marRight w:val="0"/>
      <w:marTop w:val="0"/>
      <w:marBottom w:val="0"/>
      <w:divBdr>
        <w:top w:val="none" w:sz="0" w:space="0" w:color="auto"/>
        <w:left w:val="none" w:sz="0" w:space="0" w:color="auto"/>
        <w:bottom w:val="none" w:sz="0" w:space="0" w:color="auto"/>
        <w:right w:val="none" w:sz="0" w:space="0" w:color="auto"/>
      </w:divBdr>
    </w:div>
    <w:div w:id="140082454">
      <w:bodyDiv w:val="1"/>
      <w:marLeft w:val="0"/>
      <w:marRight w:val="0"/>
      <w:marTop w:val="0"/>
      <w:marBottom w:val="0"/>
      <w:divBdr>
        <w:top w:val="none" w:sz="0" w:space="0" w:color="auto"/>
        <w:left w:val="none" w:sz="0" w:space="0" w:color="auto"/>
        <w:bottom w:val="none" w:sz="0" w:space="0" w:color="auto"/>
        <w:right w:val="none" w:sz="0" w:space="0" w:color="auto"/>
      </w:divBdr>
    </w:div>
    <w:div w:id="150486203">
      <w:bodyDiv w:val="1"/>
      <w:marLeft w:val="0"/>
      <w:marRight w:val="0"/>
      <w:marTop w:val="0"/>
      <w:marBottom w:val="0"/>
      <w:divBdr>
        <w:top w:val="none" w:sz="0" w:space="0" w:color="auto"/>
        <w:left w:val="none" w:sz="0" w:space="0" w:color="auto"/>
        <w:bottom w:val="none" w:sz="0" w:space="0" w:color="auto"/>
        <w:right w:val="none" w:sz="0" w:space="0" w:color="auto"/>
      </w:divBdr>
    </w:div>
    <w:div w:id="244346248">
      <w:bodyDiv w:val="1"/>
      <w:marLeft w:val="0"/>
      <w:marRight w:val="0"/>
      <w:marTop w:val="0"/>
      <w:marBottom w:val="0"/>
      <w:divBdr>
        <w:top w:val="none" w:sz="0" w:space="0" w:color="auto"/>
        <w:left w:val="none" w:sz="0" w:space="0" w:color="auto"/>
        <w:bottom w:val="none" w:sz="0" w:space="0" w:color="auto"/>
        <w:right w:val="none" w:sz="0" w:space="0" w:color="auto"/>
      </w:divBdr>
    </w:div>
    <w:div w:id="272520369">
      <w:bodyDiv w:val="1"/>
      <w:marLeft w:val="0"/>
      <w:marRight w:val="0"/>
      <w:marTop w:val="0"/>
      <w:marBottom w:val="0"/>
      <w:divBdr>
        <w:top w:val="none" w:sz="0" w:space="0" w:color="auto"/>
        <w:left w:val="none" w:sz="0" w:space="0" w:color="auto"/>
        <w:bottom w:val="none" w:sz="0" w:space="0" w:color="auto"/>
        <w:right w:val="none" w:sz="0" w:space="0" w:color="auto"/>
      </w:divBdr>
    </w:div>
    <w:div w:id="309022634">
      <w:bodyDiv w:val="1"/>
      <w:marLeft w:val="0"/>
      <w:marRight w:val="0"/>
      <w:marTop w:val="0"/>
      <w:marBottom w:val="0"/>
      <w:divBdr>
        <w:top w:val="none" w:sz="0" w:space="0" w:color="auto"/>
        <w:left w:val="none" w:sz="0" w:space="0" w:color="auto"/>
        <w:bottom w:val="none" w:sz="0" w:space="0" w:color="auto"/>
        <w:right w:val="none" w:sz="0" w:space="0" w:color="auto"/>
      </w:divBdr>
    </w:div>
    <w:div w:id="356466874">
      <w:bodyDiv w:val="1"/>
      <w:marLeft w:val="0"/>
      <w:marRight w:val="0"/>
      <w:marTop w:val="0"/>
      <w:marBottom w:val="0"/>
      <w:divBdr>
        <w:top w:val="none" w:sz="0" w:space="0" w:color="auto"/>
        <w:left w:val="none" w:sz="0" w:space="0" w:color="auto"/>
        <w:bottom w:val="none" w:sz="0" w:space="0" w:color="auto"/>
        <w:right w:val="none" w:sz="0" w:space="0" w:color="auto"/>
      </w:divBdr>
    </w:div>
    <w:div w:id="376124005">
      <w:bodyDiv w:val="1"/>
      <w:marLeft w:val="0"/>
      <w:marRight w:val="0"/>
      <w:marTop w:val="0"/>
      <w:marBottom w:val="0"/>
      <w:divBdr>
        <w:top w:val="none" w:sz="0" w:space="0" w:color="auto"/>
        <w:left w:val="none" w:sz="0" w:space="0" w:color="auto"/>
        <w:bottom w:val="none" w:sz="0" w:space="0" w:color="auto"/>
        <w:right w:val="none" w:sz="0" w:space="0" w:color="auto"/>
      </w:divBdr>
    </w:div>
    <w:div w:id="421687548">
      <w:bodyDiv w:val="1"/>
      <w:marLeft w:val="0"/>
      <w:marRight w:val="0"/>
      <w:marTop w:val="0"/>
      <w:marBottom w:val="0"/>
      <w:divBdr>
        <w:top w:val="none" w:sz="0" w:space="0" w:color="auto"/>
        <w:left w:val="none" w:sz="0" w:space="0" w:color="auto"/>
        <w:bottom w:val="none" w:sz="0" w:space="0" w:color="auto"/>
        <w:right w:val="none" w:sz="0" w:space="0" w:color="auto"/>
      </w:divBdr>
    </w:div>
    <w:div w:id="480509955">
      <w:bodyDiv w:val="1"/>
      <w:marLeft w:val="0"/>
      <w:marRight w:val="0"/>
      <w:marTop w:val="0"/>
      <w:marBottom w:val="0"/>
      <w:divBdr>
        <w:top w:val="none" w:sz="0" w:space="0" w:color="auto"/>
        <w:left w:val="none" w:sz="0" w:space="0" w:color="auto"/>
        <w:bottom w:val="none" w:sz="0" w:space="0" w:color="auto"/>
        <w:right w:val="none" w:sz="0" w:space="0" w:color="auto"/>
      </w:divBdr>
    </w:div>
    <w:div w:id="537207116">
      <w:bodyDiv w:val="1"/>
      <w:marLeft w:val="0"/>
      <w:marRight w:val="0"/>
      <w:marTop w:val="0"/>
      <w:marBottom w:val="0"/>
      <w:divBdr>
        <w:top w:val="none" w:sz="0" w:space="0" w:color="auto"/>
        <w:left w:val="none" w:sz="0" w:space="0" w:color="auto"/>
        <w:bottom w:val="none" w:sz="0" w:space="0" w:color="auto"/>
        <w:right w:val="none" w:sz="0" w:space="0" w:color="auto"/>
      </w:divBdr>
    </w:div>
    <w:div w:id="551430126">
      <w:bodyDiv w:val="1"/>
      <w:marLeft w:val="0"/>
      <w:marRight w:val="0"/>
      <w:marTop w:val="0"/>
      <w:marBottom w:val="0"/>
      <w:divBdr>
        <w:top w:val="none" w:sz="0" w:space="0" w:color="auto"/>
        <w:left w:val="none" w:sz="0" w:space="0" w:color="auto"/>
        <w:bottom w:val="none" w:sz="0" w:space="0" w:color="auto"/>
        <w:right w:val="none" w:sz="0" w:space="0" w:color="auto"/>
      </w:divBdr>
    </w:div>
    <w:div w:id="559364502">
      <w:bodyDiv w:val="1"/>
      <w:marLeft w:val="0"/>
      <w:marRight w:val="0"/>
      <w:marTop w:val="0"/>
      <w:marBottom w:val="0"/>
      <w:divBdr>
        <w:top w:val="none" w:sz="0" w:space="0" w:color="auto"/>
        <w:left w:val="none" w:sz="0" w:space="0" w:color="auto"/>
        <w:bottom w:val="none" w:sz="0" w:space="0" w:color="auto"/>
        <w:right w:val="none" w:sz="0" w:space="0" w:color="auto"/>
      </w:divBdr>
    </w:div>
    <w:div w:id="567108095">
      <w:bodyDiv w:val="1"/>
      <w:marLeft w:val="0"/>
      <w:marRight w:val="0"/>
      <w:marTop w:val="0"/>
      <w:marBottom w:val="0"/>
      <w:divBdr>
        <w:top w:val="none" w:sz="0" w:space="0" w:color="auto"/>
        <w:left w:val="none" w:sz="0" w:space="0" w:color="auto"/>
        <w:bottom w:val="none" w:sz="0" w:space="0" w:color="auto"/>
        <w:right w:val="none" w:sz="0" w:space="0" w:color="auto"/>
      </w:divBdr>
    </w:div>
    <w:div w:id="597373743">
      <w:bodyDiv w:val="1"/>
      <w:marLeft w:val="0"/>
      <w:marRight w:val="0"/>
      <w:marTop w:val="0"/>
      <w:marBottom w:val="0"/>
      <w:divBdr>
        <w:top w:val="none" w:sz="0" w:space="0" w:color="auto"/>
        <w:left w:val="none" w:sz="0" w:space="0" w:color="auto"/>
        <w:bottom w:val="none" w:sz="0" w:space="0" w:color="auto"/>
        <w:right w:val="none" w:sz="0" w:space="0" w:color="auto"/>
      </w:divBdr>
    </w:div>
    <w:div w:id="623773402">
      <w:bodyDiv w:val="1"/>
      <w:marLeft w:val="0"/>
      <w:marRight w:val="0"/>
      <w:marTop w:val="0"/>
      <w:marBottom w:val="0"/>
      <w:divBdr>
        <w:top w:val="none" w:sz="0" w:space="0" w:color="auto"/>
        <w:left w:val="none" w:sz="0" w:space="0" w:color="auto"/>
        <w:bottom w:val="none" w:sz="0" w:space="0" w:color="auto"/>
        <w:right w:val="none" w:sz="0" w:space="0" w:color="auto"/>
      </w:divBdr>
    </w:div>
    <w:div w:id="653412380">
      <w:marLeft w:val="0"/>
      <w:marRight w:val="0"/>
      <w:marTop w:val="0"/>
      <w:marBottom w:val="0"/>
      <w:divBdr>
        <w:top w:val="none" w:sz="0" w:space="0" w:color="auto"/>
        <w:left w:val="none" w:sz="0" w:space="0" w:color="auto"/>
        <w:bottom w:val="none" w:sz="0" w:space="0" w:color="auto"/>
        <w:right w:val="none" w:sz="0" w:space="0" w:color="auto"/>
      </w:divBdr>
    </w:div>
    <w:div w:id="653412382">
      <w:marLeft w:val="0"/>
      <w:marRight w:val="0"/>
      <w:marTop w:val="0"/>
      <w:marBottom w:val="0"/>
      <w:divBdr>
        <w:top w:val="none" w:sz="0" w:space="0" w:color="auto"/>
        <w:left w:val="none" w:sz="0" w:space="0" w:color="auto"/>
        <w:bottom w:val="none" w:sz="0" w:space="0" w:color="auto"/>
        <w:right w:val="none" w:sz="0" w:space="0" w:color="auto"/>
      </w:divBdr>
      <w:divsChild>
        <w:div w:id="653412379">
          <w:marLeft w:val="0"/>
          <w:marRight w:val="0"/>
          <w:marTop w:val="0"/>
          <w:marBottom w:val="0"/>
          <w:divBdr>
            <w:top w:val="none" w:sz="0" w:space="0" w:color="auto"/>
            <w:left w:val="none" w:sz="0" w:space="0" w:color="auto"/>
            <w:bottom w:val="none" w:sz="0" w:space="0" w:color="auto"/>
            <w:right w:val="none" w:sz="0" w:space="0" w:color="auto"/>
          </w:divBdr>
        </w:div>
        <w:div w:id="653412381">
          <w:marLeft w:val="0"/>
          <w:marRight w:val="0"/>
          <w:marTop w:val="0"/>
          <w:marBottom w:val="0"/>
          <w:divBdr>
            <w:top w:val="none" w:sz="0" w:space="0" w:color="auto"/>
            <w:left w:val="none" w:sz="0" w:space="0" w:color="auto"/>
            <w:bottom w:val="none" w:sz="0" w:space="0" w:color="auto"/>
            <w:right w:val="none" w:sz="0" w:space="0" w:color="auto"/>
          </w:divBdr>
        </w:div>
        <w:div w:id="653412383">
          <w:marLeft w:val="0"/>
          <w:marRight w:val="0"/>
          <w:marTop w:val="0"/>
          <w:marBottom w:val="0"/>
          <w:divBdr>
            <w:top w:val="none" w:sz="0" w:space="0" w:color="auto"/>
            <w:left w:val="none" w:sz="0" w:space="0" w:color="auto"/>
            <w:bottom w:val="none" w:sz="0" w:space="0" w:color="auto"/>
            <w:right w:val="none" w:sz="0" w:space="0" w:color="auto"/>
          </w:divBdr>
        </w:div>
        <w:div w:id="653412384">
          <w:marLeft w:val="0"/>
          <w:marRight w:val="0"/>
          <w:marTop w:val="0"/>
          <w:marBottom w:val="0"/>
          <w:divBdr>
            <w:top w:val="none" w:sz="0" w:space="0" w:color="auto"/>
            <w:left w:val="none" w:sz="0" w:space="0" w:color="auto"/>
            <w:bottom w:val="none" w:sz="0" w:space="0" w:color="auto"/>
            <w:right w:val="none" w:sz="0" w:space="0" w:color="auto"/>
          </w:divBdr>
        </w:div>
        <w:div w:id="653412385">
          <w:marLeft w:val="0"/>
          <w:marRight w:val="0"/>
          <w:marTop w:val="0"/>
          <w:marBottom w:val="0"/>
          <w:divBdr>
            <w:top w:val="none" w:sz="0" w:space="0" w:color="auto"/>
            <w:left w:val="none" w:sz="0" w:space="0" w:color="auto"/>
            <w:bottom w:val="none" w:sz="0" w:space="0" w:color="auto"/>
            <w:right w:val="none" w:sz="0" w:space="0" w:color="auto"/>
          </w:divBdr>
        </w:div>
      </w:divsChild>
    </w:div>
    <w:div w:id="653412386">
      <w:marLeft w:val="0"/>
      <w:marRight w:val="0"/>
      <w:marTop w:val="0"/>
      <w:marBottom w:val="0"/>
      <w:divBdr>
        <w:top w:val="none" w:sz="0" w:space="0" w:color="auto"/>
        <w:left w:val="none" w:sz="0" w:space="0" w:color="auto"/>
        <w:bottom w:val="none" w:sz="0" w:space="0" w:color="auto"/>
        <w:right w:val="none" w:sz="0" w:space="0" w:color="auto"/>
      </w:divBdr>
    </w:div>
    <w:div w:id="653412387">
      <w:marLeft w:val="0"/>
      <w:marRight w:val="0"/>
      <w:marTop w:val="0"/>
      <w:marBottom w:val="0"/>
      <w:divBdr>
        <w:top w:val="none" w:sz="0" w:space="0" w:color="auto"/>
        <w:left w:val="none" w:sz="0" w:space="0" w:color="auto"/>
        <w:bottom w:val="none" w:sz="0" w:space="0" w:color="auto"/>
        <w:right w:val="none" w:sz="0" w:space="0" w:color="auto"/>
      </w:divBdr>
    </w:div>
    <w:div w:id="653412388">
      <w:marLeft w:val="0"/>
      <w:marRight w:val="0"/>
      <w:marTop w:val="0"/>
      <w:marBottom w:val="0"/>
      <w:divBdr>
        <w:top w:val="none" w:sz="0" w:space="0" w:color="auto"/>
        <w:left w:val="none" w:sz="0" w:space="0" w:color="auto"/>
        <w:bottom w:val="none" w:sz="0" w:space="0" w:color="auto"/>
        <w:right w:val="none" w:sz="0" w:space="0" w:color="auto"/>
      </w:divBdr>
    </w:div>
    <w:div w:id="653412389">
      <w:marLeft w:val="0"/>
      <w:marRight w:val="0"/>
      <w:marTop w:val="0"/>
      <w:marBottom w:val="0"/>
      <w:divBdr>
        <w:top w:val="none" w:sz="0" w:space="0" w:color="auto"/>
        <w:left w:val="none" w:sz="0" w:space="0" w:color="auto"/>
        <w:bottom w:val="none" w:sz="0" w:space="0" w:color="auto"/>
        <w:right w:val="none" w:sz="0" w:space="0" w:color="auto"/>
      </w:divBdr>
    </w:div>
    <w:div w:id="653412390">
      <w:marLeft w:val="0"/>
      <w:marRight w:val="0"/>
      <w:marTop w:val="0"/>
      <w:marBottom w:val="0"/>
      <w:divBdr>
        <w:top w:val="none" w:sz="0" w:space="0" w:color="auto"/>
        <w:left w:val="none" w:sz="0" w:space="0" w:color="auto"/>
        <w:bottom w:val="none" w:sz="0" w:space="0" w:color="auto"/>
        <w:right w:val="none" w:sz="0" w:space="0" w:color="auto"/>
      </w:divBdr>
    </w:div>
    <w:div w:id="653412392">
      <w:marLeft w:val="0"/>
      <w:marRight w:val="0"/>
      <w:marTop w:val="0"/>
      <w:marBottom w:val="0"/>
      <w:divBdr>
        <w:top w:val="none" w:sz="0" w:space="0" w:color="auto"/>
        <w:left w:val="none" w:sz="0" w:space="0" w:color="auto"/>
        <w:bottom w:val="none" w:sz="0" w:space="0" w:color="auto"/>
        <w:right w:val="none" w:sz="0" w:space="0" w:color="auto"/>
      </w:divBdr>
    </w:div>
    <w:div w:id="653412393">
      <w:marLeft w:val="0"/>
      <w:marRight w:val="0"/>
      <w:marTop w:val="0"/>
      <w:marBottom w:val="0"/>
      <w:divBdr>
        <w:top w:val="none" w:sz="0" w:space="0" w:color="auto"/>
        <w:left w:val="none" w:sz="0" w:space="0" w:color="auto"/>
        <w:bottom w:val="none" w:sz="0" w:space="0" w:color="auto"/>
        <w:right w:val="none" w:sz="0" w:space="0" w:color="auto"/>
      </w:divBdr>
    </w:div>
    <w:div w:id="653412395">
      <w:marLeft w:val="0"/>
      <w:marRight w:val="0"/>
      <w:marTop w:val="0"/>
      <w:marBottom w:val="0"/>
      <w:divBdr>
        <w:top w:val="none" w:sz="0" w:space="0" w:color="auto"/>
        <w:left w:val="none" w:sz="0" w:space="0" w:color="auto"/>
        <w:bottom w:val="none" w:sz="0" w:space="0" w:color="auto"/>
        <w:right w:val="none" w:sz="0" w:space="0" w:color="auto"/>
      </w:divBdr>
    </w:div>
    <w:div w:id="653412396">
      <w:marLeft w:val="0"/>
      <w:marRight w:val="0"/>
      <w:marTop w:val="0"/>
      <w:marBottom w:val="0"/>
      <w:divBdr>
        <w:top w:val="none" w:sz="0" w:space="0" w:color="auto"/>
        <w:left w:val="none" w:sz="0" w:space="0" w:color="auto"/>
        <w:bottom w:val="none" w:sz="0" w:space="0" w:color="auto"/>
        <w:right w:val="none" w:sz="0" w:space="0" w:color="auto"/>
      </w:divBdr>
    </w:div>
    <w:div w:id="653412397">
      <w:marLeft w:val="0"/>
      <w:marRight w:val="0"/>
      <w:marTop w:val="0"/>
      <w:marBottom w:val="0"/>
      <w:divBdr>
        <w:top w:val="none" w:sz="0" w:space="0" w:color="auto"/>
        <w:left w:val="none" w:sz="0" w:space="0" w:color="auto"/>
        <w:bottom w:val="none" w:sz="0" w:space="0" w:color="auto"/>
        <w:right w:val="none" w:sz="0" w:space="0" w:color="auto"/>
      </w:divBdr>
    </w:div>
    <w:div w:id="653412398">
      <w:marLeft w:val="0"/>
      <w:marRight w:val="0"/>
      <w:marTop w:val="0"/>
      <w:marBottom w:val="0"/>
      <w:divBdr>
        <w:top w:val="none" w:sz="0" w:space="0" w:color="auto"/>
        <w:left w:val="none" w:sz="0" w:space="0" w:color="auto"/>
        <w:bottom w:val="none" w:sz="0" w:space="0" w:color="auto"/>
        <w:right w:val="none" w:sz="0" w:space="0" w:color="auto"/>
      </w:divBdr>
    </w:div>
    <w:div w:id="653412399">
      <w:marLeft w:val="0"/>
      <w:marRight w:val="0"/>
      <w:marTop w:val="0"/>
      <w:marBottom w:val="0"/>
      <w:divBdr>
        <w:top w:val="none" w:sz="0" w:space="0" w:color="auto"/>
        <w:left w:val="none" w:sz="0" w:space="0" w:color="auto"/>
        <w:bottom w:val="none" w:sz="0" w:space="0" w:color="auto"/>
        <w:right w:val="none" w:sz="0" w:space="0" w:color="auto"/>
      </w:divBdr>
    </w:div>
    <w:div w:id="653412400">
      <w:marLeft w:val="0"/>
      <w:marRight w:val="0"/>
      <w:marTop w:val="0"/>
      <w:marBottom w:val="0"/>
      <w:divBdr>
        <w:top w:val="none" w:sz="0" w:space="0" w:color="auto"/>
        <w:left w:val="none" w:sz="0" w:space="0" w:color="auto"/>
        <w:bottom w:val="none" w:sz="0" w:space="0" w:color="auto"/>
        <w:right w:val="none" w:sz="0" w:space="0" w:color="auto"/>
      </w:divBdr>
    </w:div>
    <w:div w:id="653412401">
      <w:marLeft w:val="0"/>
      <w:marRight w:val="0"/>
      <w:marTop w:val="0"/>
      <w:marBottom w:val="0"/>
      <w:divBdr>
        <w:top w:val="none" w:sz="0" w:space="0" w:color="auto"/>
        <w:left w:val="none" w:sz="0" w:space="0" w:color="auto"/>
        <w:bottom w:val="none" w:sz="0" w:space="0" w:color="auto"/>
        <w:right w:val="none" w:sz="0" w:space="0" w:color="auto"/>
      </w:divBdr>
    </w:div>
    <w:div w:id="653412402">
      <w:marLeft w:val="0"/>
      <w:marRight w:val="0"/>
      <w:marTop w:val="0"/>
      <w:marBottom w:val="0"/>
      <w:divBdr>
        <w:top w:val="none" w:sz="0" w:space="0" w:color="auto"/>
        <w:left w:val="none" w:sz="0" w:space="0" w:color="auto"/>
        <w:bottom w:val="none" w:sz="0" w:space="0" w:color="auto"/>
        <w:right w:val="none" w:sz="0" w:space="0" w:color="auto"/>
      </w:divBdr>
    </w:div>
    <w:div w:id="653412404">
      <w:marLeft w:val="0"/>
      <w:marRight w:val="0"/>
      <w:marTop w:val="0"/>
      <w:marBottom w:val="0"/>
      <w:divBdr>
        <w:top w:val="none" w:sz="0" w:space="0" w:color="auto"/>
        <w:left w:val="none" w:sz="0" w:space="0" w:color="auto"/>
        <w:bottom w:val="none" w:sz="0" w:space="0" w:color="auto"/>
        <w:right w:val="none" w:sz="0" w:space="0" w:color="auto"/>
      </w:divBdr>
    </w:div>
    <w:div w:id="653412405">
      <w:marLeft w:val="0"/>
      <w:marRight w:val="0"/>
      <w:marTop w:val="0"/>
      <w:marBottom w:val="0"/>
      <w:divBdr>
        <w:top w:val="none" w:sz="0" w:space="0" w:color="auto"/>
        <w:left w:val="none" w:sz="0" w:space="0" w:color="auto"/>
        <w:bottom w:val="none" w:sz="0" w:space="0" w:color="auto"/>
        <w:right w:val="none" w:sz="0" w:space="0" w:color="auto"/>
      </w:divBdr>
    </w:div>
    <w:div w:id="653412406">
      <w:marLeft w:val="0"/>
      <w:marRight w:val="0"/>
      <w:marTop w:val="0"/>
      <w:marBottom w:val="0"/>
      <w:divBdr>
        <w:top w:val="none" w:sz="0" w:space="0" w:color="auto"/>
        <w:left w:val="none" w:sz="0" w:space="0" w:color="auto"/>
        <w:bottom w:val="none" w:sz="0" w:space="0" w:color="auto"/>
        <w:right w:val="none" w:sz="0" w:space="0" w:color="auto"/>
      </w:divBdr>
    </w:div>
    <w:div w:id="653412407">
      <w:marLeft w:val="0"/>
      <w:marRight w:val="0"/>
      <w:marTop w:val="0"/>
      <w:marBottom w:val="0"/>
      <w:divBdr>
        <w:top w:val="none" w:sz="0" w:space="0" w:color="auto"/>
        <w:left w:val="none" w:sz="0" w:space="0" w:color="auto"/>
        <w:bottom w:val="none" w:sz="0" w:space="0" w:color="auto"/>
        <w:right w:val="none" w:sz="0" w:space="0" w:color="auto"/>
      </w:divBdr>
    </w:div>
    <w:div w:id="653412408">
      <w:marLeft w:val="0"/>
      <w:marRight w:val="0"/>
      <w:marTop w:val="0"/>
      <w:marBottom w:val="0"/>
      <w:divBdr>
        <w:top w:val="none" w:sz="0" w:space="0" w:color="auto"/>
        <w:left w:val="none" w:sz="0" w:space="0" w:color="auto"/>
        <w:bottom w:val="none" w:sz="0" w:space="0" w:color="auto"/>
        <w:right w:val="none" w:sz="0" w:space="0" w:color="auto"/>
      </w:divBdr>
    </w:div>
    <w:div w:id="653412409">
      <w:marLeft w:val="0"/>
      <w:marRight w:val="0"/>
      <w:marTop w:val="0"/>
      <w:marBottom w:val="0"/>
      <w:divBdr>
        <w:top w:val="none" w:sz="0" w:space="0" w:color="auto"/>
        <w:left w:val="none" w:sz="0" w:space="0" w:color="auto"/>
        <w:bottom w:val="none" w:sz="0" w:space="0" w:color="auto"/>
        <w:right w:val="none" w:sz="0" w:space="0" w:color="auto"/>
      </w:divBdr>
    </w:div>
    <w:div w:id="653412410">
      <w:marLeft w:val="0"/>
      <w:marRight w:val="0"/>
      <w:marTop w:val="0"/>
      <w:marBottom w:val="0"/>
      <w:divBdr>
        <w:top w:val="none" w:sz="0" w:space="0" w:color="auto"/>
        <w:left w:val="none" w:sz="0" w:space="0" w:color="auto"/>
        <w:bottom w:val="none" w:sz="0" w:space="0" w:color="auto"/>
        <w:right w:val="none" w:sz="0" w:space="0" w:color="auto"/>
      </w:divBdr>
    </w:div>
    <w:div w:id="653412411">
      <w:marLeft w:val="0"/>
      <w:marRight w:val="0"/>
      <w:marTop w:val="0"/>
      <w:marBottom w:val="0"/>
      <w:divBdr>
        <w:top w:val="none" w:sz="0" w:space="0" w:color="auto"/>
        <w:left w:val="none" w:sz="0" w:space="0" w:color="auto"/>
        <w:bottom w:val="none" w:sz="0" w:space="0" w:color="auto"/>
        <w:right w:val="none" w:sz="0" w:space="0" w:color="auto"/>
      </w:divBdr>
    </w:div>
    <w:div w:id="653412412">
      <w:marLeft w:val="0"/>
      <w:marRight w:val="0"/>
      <w:marTop w:val="0"/>
      <w:marBottom w:val="0"/>
      <w:divBdr>
        <w:top w:val="none" w:sz="0" w:space="0" w:color="auto"/>
        <w:left w:val="none" w:sz="0" w:space="0" w:color="auto"/>
        <w:bottom w:val="none" w:sz="0" w:space="0" w:color="auto"/>
        <w:right w:val="none" w:sz="0" w:space="0" w:color="auto"/>
      </w:divBdr>
    </w:div>
    <w:div w:id="653412413">
      <w:marLeft w:val="0"/>
      <w:marRight w:val="0"/>
      <w:marTop w:val="0"/>
      <w:marBottom w:val="0"/>
      <w:divBdr>
        <w:top w:val="none" w:sz="0" w:space="0" w:color="auto"/>
        <w:left w:val="none" w:sz="0" w:space="0" w:color="auto"/>
        <w:bottom w:val="none" w:sz="0" w:space="0" w:color="auto"/>
        <w:right w:val="none" w:sz="0" w:space="0" w:color="auto"/>
      </w:divBdr>
    </w:div>
    <w:div w:id="653412414">
      <w:marLeft w:val="0"/>
      <w:marRight w:val="0"/>
      <w:marTop w:val="0"/>
      <w:marBottom w:val="0"/>
      <w:divBdr>
        <w:top w:val="none" w:sz="0" w:space="0" w:color="auto"/>
        <w:left w:val="none" w:sz="0" w:space="0" w:color="auto"/>
        <w:bottom w:val="none" w:sz="0" w:space="0" w:color="auto"/>
        <w:right w:val="none" w:sz="0" w:space="0" w:color="auto"/>
      </w:divBdr>
    </w:div>
    <w:div w:id="653412415">
      <w:marLeft w:val="0"/>
      <w:marRight w:val="0"/>
      <w:marTop w:val="0"/>
      <w:marBottom w:val="0"/>
      <w:divBdr>
        <w:top w:val="none" w:sz="0" w:space="0" w:color="auto"/>
        <w:left w:val="none" w:sz="0" w:space="0" w:color="auto"/>
        <w:bottom w:val="none" w:sz="0" w:space="0" w:color="auto"/>
        <w:right w:val="none" w:sz="0" w:space="0" w:color="auto"/>
      </w:divBdr>
    </w:div>
    <w:div w:id="653412416">
      <w:marLeft w:val="0"/>
      <w:marRight w:val="0"/>
      <w:marTop w:val="0"/>
      <w:marBottom w:val="0"/>
      <w:divBdr>
        <w:top w:val="none" w:sz="0" w:space="0" w:color="auto"/>
        <w:left w:val="none" w:sz="0" w:space="0" w:color="auto"/>
        <w:bottom w:val="none" w:sz="0" w:space="0" w:color="auto"/>
        <w:right w:val="none" w:sz="0" w:space="0" w:color="auto"/>
      </w:divBdr>
    </w:div>
    <w:div w:id="653412417">
      <w:marLeft w:val="0"/>
      <w:marRight w:val="0"/>
      <w:marTop w:val="0"/>
      <w:marBottom w:val="0"/>
      <w:divBdr>
        <w:top w:val="none" w:sz="0" w:space="0" w:color="auto"/>
        <w:left w:val="none" w:sz="0" w:space="0" w:color="auto"/>
        <w:bottom w:val="none" w:sz="0" w:space="0" w:color="auto"/>
        <w:right w:val="none" w:sz="0" w:space="0" w:color="auto"/>
      </w:divBdr>
    </w:div>
    <w:div w:id="653412418">
      <w:marLeft w:val="0"/>
      <w:marRight w:val="0"/>
      <w:marTop w:val="0"/>
      <w:marBottom w:val="0"/>
      <w:divBdr>
        <w:top w:val="none" w:sz="0" w:space="0" w:color="auto"/>
        <w:left w:val="none" w:sz="0" w:space="0" w:color="auto"/>
        <w:bottom w:val="none" w:sz="0" w:space="0" w:color="auto"/>
        <w:right w:val="none" w:sz="0" w:space="0" w:color="auto"/>
      </w:divBdr>
    </w:div>
    <w:div w:id="653412419">
      <w:marLeft w:val="0"/>
      <w:marRight w:val="0"/>
      <w:marTop w:val="0"/>
      <w:marBottom w:val="0"/>
      <w:divBdr>
        <w:top w:val="none" w:sz="0" w:space="0" w:color="auto"/>
        <w:left w:val="none" w:sz="0" w:space="0" w:color="auto"/>
        <w:bottom w:val="none" w:sz="0" w:space="0" w:color="auto"/>
        <w:right w:val="none" w:sz="0" w:space="0" w:color="auto"/>
      </w:divBdr>
    </w:div>
    <w:div w:id="653412420">
      <w:marLeft w:val="0"/>
      <w:marRight w:val="0"/>
      <w:marTop w:val="0"/>
      <w:marBottom w:val="0"/>
      <w:divBdr>
        <w:top w:val="none" w:sz="0" w:space="0" w:color="auto"/>
        <w:left w:val="none" w:sz="0" w:space="0" w:color="auto"/>
        <w:bottom w:val="none" w:sz="0" w:space="0" w:color="auto"/>
        <w:right w:val="none" w:sz="0" w:space="0" w:color="auto"/>
      </w:divBdr>
    </w:div>
    <w:div w:id="653412421">
      <w:marLeft w:val="0"/>
      <w:marRight w:val="0"/>
      <w:marTop w:val="0"/>
      <w:marBottom w:val="0"/>
      <w:divBdr>
        <w:top w:val="none" w:sz="0" w:space="0" w:color="auto"/>
        <w:left w:val="none" w:sz="0" w:space="0" w:color="auto"/>
        <w:bottom w:val="none" w:sz="0" w:space="0" w:color="auto"/>
        <w:right w:val="none" w:sz="0" w:space="0" w:color="auto"/>
      </w:divBdr>
    </w:div>
    <w:div w:id="653412422">
      <w:marLeft w:val="0"/>
      <w:marRight w:val="0"/>
      <w:marTop w:val="0"/>
      <w:marBottom w:val="0"/>
      <w:divBdr>
        <w:top w:val="none" w:sz="0" w:space="0" w:color="auto"/>
        <w:left w:val="none" w:sz="0" w:space="0" w:color="auto"/>
        <w:bottom w:val="none" w:sz="0" w:space="0" w:color="auto"/>
        <w:right w:val="none" w:sz="0" w:space="0" w:color="auto"/>
      </w:divBdr>
    </w:div>
    <w:div w:id="653412423">
      <w:marLeft w:val="0"/>
      <w:marRight w:val="0"/>
      <w:marTop w:val="0"/>
      <w:marBottom w:val="0"/>
      <w:divBdr>
        <w:top w:val="none" w:sz="0" w:space="0" w:color="auto"/>
        <w:left w:val="none" w:sz="0" w:space="0" w:color="auto"/>
        <w:bottom w:val="none" w:sz="0" w:space="0" w:color="auto"/>
        <w:right w:val="none" w:sz="0" w:space="0" w:color="auto"/>
      </w:divBdr>
    </w:div>
    <w:div w:id="653412424">
      <w:marLeft w:val="0"/>
      <w:marRight w:val="0"/>
      <w:marTop w:val="0"/>
      <w:marBottom w:val="0"/>
      <w:divBdr>
        <w:top w:val="none" w:sz="0" w:space="0" w:color="auto"/>
        <w:left w:val="none" w:sz="0" w:space="0" w:color="auto"/>
        <w:bottom w:val="none" w:sz="0" w:space="0" w:color="auto"/>
        <w:right w:val="none" w:sz="0" w:space="0" w:color="auto"/>
      </w:divBdr>
    </w:div>
    <w:div w:id="653412425">
      <w:marLeft w:val="0"/>
      <w:marRight w:val="0"/>
      <w:marTop w:val="0"/>
      <w:marBottom w:val="0"/>
      <w:divBdr>
        <w:top w:val="none" w:sz="0" w:space="0" w:color="auto"/>
        <w:left w:val="none" w:sz="0" w:space="0" w:color="auto"/>
        <w:bottom w:val="none" w:sz="0" w:space="0" w:color="auto"/>
        <w:right w:val="none" w:sz="0" w:space="0" w:color="auto"/>
      </w:divBdr>
    </w:div>
    <w:div w:id="653412426">
      <w:marLeft w:val="0"/>
      <w:marRight w:val="0"/>
      <w:marTop w:val="0"/>
      <w:marBottom w:val="0"/>
      <w:divBdr>
        <w:top w:val="none" w:sz="0" w:space="0" w:color="auto"/>
        <w:left w:val="none" w:sz="0" w:space="0" w:color="auto"/>
        <w:bottom w:val="none" w:sz="0" w:space="0" w:color="auto"/>
        <w:right w:val="none" w:sz="0" w:space="0" w:color="auto"/>
      </w:divBdr>
    </w:div>
    <w:div w:id="653412427">
      <w:marLeft w:val="0"/>
      <w:marRight w:val="0"/>
      <w:marTop w:val="0"/>
      <w:marBottom w:val="0"/>
      <w:divBdr>
        <w:top w:val="none" w:sz="0" w:space="0" w:color="auto"/>
        <w:left w:val="none" w:sz="0" w:space="0" w:color="auto"/>
        <w:bottom w:val="none" w:sz="0" w:space="0" w:color="auto"/>
        <w:right w:val="none" w:sz="0" w:space="0" w:color="auto"/>
      </w:divBdr>
    </w:div>
    <w:div w:id="653412428">
      <w:marLeft w:val="0"/>
      <w:marRight w:val="0"/>
      <w:marTop w:val="0"/>
      <w:marBottom w:val="0"/>
      <w:divBdr>
        <w:top w:val="none" w:sz="0" w:space="0" w:color="auto"/>
        <w:left w:val="none" w:sz="0" w:space="0" w:color="auto"/>
        <w:bottom w:val="none" w:sz="0" w:space="0" w:color="auto"/>
        <w:right w:val="none" w:sz="0" w:space="0" w:color="auto"/>
      </w:divBdr>
    </w:div>
    <w:div w:id="653412429">
      <w:marLeft w:val="0"/>
      <w:marRight w:val="0"/>
      <w:marTop w:val="0"/>
      <w:marBottom w:val="0"/>
      <w:divBdr>
        <w:top w:val="none" w:sz="0" w:space="0" w:color="auto"/>
        <w:left w:val="none" w:sz="0" w:space="0" w:color="auto"/>
        <w:bottom w:val="none" w:sz="0" w:space="0" w:color="auto"/>
        <w:right w:val="none" w:sz="0" w:space="0" w:color="auto"/>
      </w:divBdr>
    </w:div>
    <w:div w:id="653412430">
      <w:marLeft w:val="0"/>
      <w:marRight w:val="0"/>
      <w:marTop w:val="0"/>
      <w:marBottom w:val="0"/>
      <w:divBdr>
        <w:top w:val="none" w:sz="0" w:space="0" w:color="auto"/>
        <w:left w:val="none" w:sz="0" w:space="0" w:color="auto"/>
        <w:bottom w:val="none" w:sz="0" w:space="0" w:color="auto"/>
        <w:right w:val="none" w:sz="0" w:space="0" w:color="auto"/>
      </w:divBdr>
    </w:div>
    <w:div w:id="653412431">
      <w:marLeft w:val="0"/>
      <w:marRight w:val="0"/>
      <w:marTop w:val="0"/>
      <w:marBottom w:val="0"/>
      <w:divBdr>
        <w:top w:val="none" w:sz="0" w:space="0" w:color="auto"/>
        <w:left w:val="none" w:sz="0" w:space="0" w:color="auto"/>
        <w:bottom w:val="none" w:sz="0" w:space="0" w:color="auto"/>
        <w:right w:val="none" w:sz="0" w:space="0" w:color="auto"/>
      </w:divBdr>
    </w:div>
    <w:div w:id="653412432">
      <w:marLeft w:val="0"/>
      <w:marRight w:val="0"/>
      <w:marTop w:val="0"/>
      <w:marBottom w:val="0"/>
      <w:divBdr>
        <w:top w:val="none" w:sz="0" w:space="0" w:color="auto"/>
        <w:left w:val="none" w:sz="0" w:space="0" w:color="auto"/>
        <w:bottom w:val="none" w:sz="0" w:space="0" w:color="auto"/>
        <w:right w:val="none" w:sz="0" w:space="0" w:color="auto"/>
      </w:divBdr>
    </w:div>
    <w:div w:id="653412433">
      <w:marLeft w:val="0"/>
      <w:marRight w:val="0"/>
      <w:marTop w:val="0"/>
      <w:marBottom w:val="0"/>
      <w:divBdr>
        <w:top w:val="none" w:sz="0" w:space="0" w:color="auto"/>
        <w:left w:val="none" w:sz="0" w:space="0" w:color="auto"/>
        <w:bottom w:val="none" w:sz="0" w:space="0" w:color="auto"/>
        <w:right w:val="none" w:sz="0" w:space="0" w:color="auto"/>
      </w:divBdr>
    </w:div>
    <w:div w:id="653412434">
      <w:marLeft w:val="0"/>
      <w:marRight w:val="0"/>
      <w:marTop w:val="0"/>
      <w:marBottom w:val="0"/>
      <w:divBdr>
        <w:top w:val="none" w:sz="0" w:space="0" w:color="auto"/>
        <w:left w:val="none" w:sz="0" w:space="0" w:color="auto"/>
        <w:bottom w:val="none" w:sz="0" w:space="0" w:color="auto"/>
        <w:right w:val="none" w:sz="0" w:space="0" w:color="auto"/>
      </w:divBdr>
    </w:div>
    <w:div w:id="653412435">
      <w:marLeft w:val="0"/>
      <w:marRight w:val="0"/>
      <w:marTop w:val="0"/>
      <w:marBottom w:val="0"/>
      <w:divBdr>
        <w:top w:val="none" w:sz="0" w:space="0" w:color="auto"/>
        <w:left w:val="none" w:sz="0" w:space="0" w:color="auto"/>
        <w:bottom w:val="none" w:sz="0" w:space="0" w:color="auto"/>
        <w:right w:val="none" w:sz="0" w:space="0" w:color="auto"/>
      </w:divBdr>
    </w:div>
    <w:div w:id="653412436">
      <w:marLeft w:val="0"/>
      <w:marRight w:val="0"/>
      <w:marTop w:val="0"/>
      <w:marBottom w:val="0"/>
      <w:divBdr>
        <w:top w:val="none" w:sz="0" w:space="0" w:color="auto"/>
        <w:left w:val="none" w:sz="0" w:space="0" w:color="auto"/>
        <w:bottom w:val="none" w:sz="0" w:space="0" w:color="auto"/>
        <w:right w:val="none" w:sz="0" w:space="0" w:color="auto"/>
      </w:divBdr>
    </w:div>
    <w:div w:id="653412437">
      <w:marLeft w:val="0"/>
      <w:marRight w:val="0"/>
      <w:marTop w:val="0"/>
      <w:marBottom w:val="0"/>
      <w:divBdr>
        <w:top w:val="none" w:sz="0" w:space="0" w:color="auto"/>
        <w:left w:val="none" w:sz="0" w:space="0" w:color="auto"/>
        <w:bottom w:val="none" w:sz="0" w:space="0" w:color="auto"/>
        <w:right w:val="none" w:sz="0" w:space="0" w:color="auto"/>
      </w:divBdr>
    </w:div>
    <w:div w:id="653412438">
      <w:marLeft w:val="0"/>
      <w:marRight w:val="0"/>
      <w:marTop w:val="0"/>
      <w:marBottom w:val="0"/>
      <w:divBdr>
        <w:top w:val="none" w:sz="0" w:space="0" w:color="auto"/>
        <w:left w:val="none" w:sz="0" w:space="0" w:color="auto"/>
        <w:bottom w:val="none" w:sz="0" w:space="0" w:color="auto"/>
        <w:right w:val="none" w:sz="0" w:space="0" w:color="auto"/>
      </w:divBdr>
    </w:div>
    <w:div w:id="653412439">
      <w:marLeft w:val="0"/>
      <w:marRight w:val="0"/>
      <w:marTop w:val="0"/>
      <w:marBottom w:val="0"/>
      <w:divBdr>
        <w:top w:val="none" w:sz="0" w:space="0" w:color="auto"/>
        <w:left w:val="none" w:sz="0" w:space="0" w:color="auto"/>
        <w:bottom w:val="none" w:sz="0" w:space="0" w:color="auto"/>
        <w:right w:val="none" w:sz="0" w:space="0" w:color="auto"/>
      </w:divBdr>
    </w:div>
    <w:div w:id="653412440">
      <w:marLeft w:val="0"/>
      <w:marRight w:val="0"/>
      <w:marTop w:val="0"/>
      <w:marBottom w:val="0"/>
      <w:divBdr>
        <w:top w:val="none" w:sz="0" w:space="0" w:color="auto"/>
        <w:left w:val="none" w:sz="0" w:space="0" w:color="auto"/>
        <w:bottom w:val="none" w:sz="0" w:space="0" w:color="auto"/>
        <w:right w:val="none" w:sz="0" w:space="0" w:color="auto"/>
      </w:divBdr>
    </w:div>
    <w:div w:id="653412441">
      <w:marLeft w:val="0"/>
      <w:marRight w:val="0"/>
      <w:marTop w:val="0"/>
      <w:marBottom w:val="0"/>
      <w:divBdr>
        <w:top w:val="none" w:sz="0" w:space="0" w:color="auto"/>
        <w:left w:val="none" w:sz="0" w:space="0" w:color="auto"/>
        <w:bottom w:val="none" w:sz="0" w:space="0" w:color="auto"/>
        <w:right w:val="none" w:sz="0" w:space="0" w:color="auto"/>
      </w:divBdr>
    </w:div>
    <w:div w:id="653412442">
      <w:marLeft w:val="0"/>
      <w:marRight w:val="0"/>
      <w:marTop w:val="0"/>
      <w:marBottom w:val="0"/>
      <w:divBdr>
        <w:top w:val="none" w:sz="0" w:space="0" w:color="auto"/>
        <w:left w:val="none" w:sz="0" w:space="0" w:color="auto"/>
        <w:bottom w:val="none" w:sz="0" w:space="0" w:color="auto"/>
        <w:right w:val="none" w:sz="0" w:space="0" w:color="auto"/>
      </w:divBdr>
    </w:div>
    <w:div w:id="653412443">
      <w:marLeft w:val="0"/>
      <w:marRight w:val="0"/>
      <w:marTop w:val="0"/>
      <w:marBottom w:val="0"/>
      <w:divBdr>
        <w:top w:val="none" w:sz="0" w:space="0" w:color="auto"/>
        <w:left w:val="none" w:sz="0" w:space="0" w:color="auto"/>
        <w:bottom w:val="none" w:sz="0" w:space="0" w:color="auto"/>
        <w:right w:val="none" w:sz="0" w:space="0" w:color="auto"/>
      </w:divBdr>
    </w:div>
    <w:div w:id="653412444">
      <w:marLeft w:val="0"/>
      <w:marRight w:val="0"/>
      <w:marTop w:val="0"/>
      <w:marBottom w:val="0"/>
      <w:divBdr>
        <w:top w:val="none" w:sz="0" w:space="0" w:color="auto"/>
        <w:left w:val="none" w:sz="0" w:space="0" w:color="auto"/>
        <w:bottom w:val="none" w:sz="0" w:space="0" w:color="auto"/>
        <w:right w:val="none" w:sz="0" w:space="0" w:color="auto"/>
      </w:divBdr>
    </w:div>
    <w:div w:id="653412445">
      <w:marLeft w:val="0"/>
      <w:marRight w:val="0"/>
      <w:marTop w:val="0"/>
      <w:marBottom w:val="0"/>
      <w:divBdr>
        <w:top w:val="none" w:sz="0" w:space="0" w:color="auto"/>
        <w:left w:val="none" w:sz="0" w:space="0" w:color="auto"/>
        <w:bottom w:val="none" w:sz="0" w:space="0" w:color="auto"/>
        <w:right w:val="none" w:sz="0" w:space="0" w:color="auto"/>
      </w:divBdr>
    </w:div>
    <w:div w:id="653412446">
      <w:marLeft w:val="0"/>
      <w:marRight w:val="0"/>
      <w:marTop w:val="0"/>
      <w:marBottom w:val="0"/>
      <w:divBdr>
        <w:top w:val="none" w:sz="0" w:space="0" w:color="auto"/>
        <w:left w:val="none" w:sz="0" w:space="0" w:color="auto"/>
        <w:bottom w:val="none" w:sz="0" w:space="0" w:color="auto"/>
        <w:right w:val="none" w:sz="0" w:space="0" w:color="auto"/>
      </w:divBdr>
    </w:div>
    <w:div w:id="653412447">
      <w:marLeft w:val="0"/>
      <w:marRight w:val="0"/>
      <w:marTop w:val="0"/>
      <w:marBottom w:val="0"/>
      <w:divBdr>
        <w:top w:val="none" w:sz="0" w:space="0" w:color="auto"/>
        <w:left w:val="none" w:sz="0" w:space="0" w:color="auto"/>
        <w:bottom w:val="none" w:sz="0" w:space="0" w:color="auto"/>
        <w:right w:val="none" w:sz="0" w:space="0" w:color="auto"/>
      </w:divBdr>
    </w:div>
    <w:div w:id="653412448">
      <w:marLeft w:val="0"/>
      <w:marRight w:val="0"/>
      <w:marTop w:val="0"/>
      <w:marBottom w:val="0"/>
      <w:divBdr>
        <w:top w:val="none" w:sz="0" w:space="0" w:color="auto"/>
        <w:left w:val="none" w:sz="0" w:space="0" w:color="auto"/>
        <w:bottom w:val="none" w:sz="0" w:space="0" w:color="auto"/>
        <w:right w:val="none" w:sz="0" w:space="0" w:color="auto"/>
      </w:divBdr>
    </w:div>
    <w:div w:id="653412449">
      <w:marLeft w:val="0"/>
      <w:marRight w:val="0"/>
      <w:marTop w:val="0"/>
      <w:marBottom w:val="0"/>
      <w:divBdr>
        <w:top w:val="none" w:sz="0" w:space="0" w:color="auto"/>
        <w:left w:val="none" w:sz="0" w:space="0" w:color="auto"/>
        <w:bottom w:val="none" w:sz="0" w:space="0" w:color="auto"/>
        <w:right w:val="none" w:sz="0" w:space="0" w:color="auto"/>
      </w:divBdr>
    </w:div>
    <w:div w:id="653412450">
      <w:marLeft w:val="0"/>
      <w:marRight w:val="0"/>
      <w:marTop w:val="0"/>
      <w:marBottom w:val="0"/>
      <w:divBdr>
        <w:top w:val="none" w:sz="0" w:space="0" w:color="auto"/>
        <w:left w:val="none" w:sz="0" w:space="0" w:color="auto"/>
        <w:bottom w:val="none" w:sz="0" w:space="0" w:color="auto"/>
        <w:right w:val="none" w:sz="0" w:space="0" w:color="auto"/>
      </w:divBdr>
    </w:div>
    <w:div w:id="653412451">
      <w:marLeft w:val="0"/>
      <w:marRight w:val="0"/>
      <w:marTop w:val="0"/>
      <w:marBottom w:val="0"/>
      <w:divBdr>
        <w:top w:val="none" w:sz="0" w:space="0" w:color="auto"/>
        <w:left w:val="none" w:sz="0" w:space="0" w:color="auto"/>
        <w:bottom w:val="none" w:sz="0" w:space="0" w:color="auto"/>
        <w:right w:val="none" w:sz="0" w:space="0" w:color="auto"/>
      </w:divBdr>
    </w:div>
    <w:div w:id="653412452">
      <w:marLeft w:val="0"/>
      <w:marRight w:val="0"/>
      <w:marTop w:val="0"/>
      <w:marBottom w:val="0"/>
      <w:divBdr>
        <w:top w:val="none" w:sz="0" w:space="0" w:color="auto"/>
        <w:left w:val="none" w:sz="0" w:space="0" w:color="auto"/>
        <w:bottom w:val="none" w:sz="0" w:space="0" w:color="auto"/>
        <w:right w:val="none" w:sz="0" w:space="0" w:color="auto"/>
      </w:divBdr>
      <w:divsChild>
        <w:div w:id="653412391">
          <w:marLeft w:val="0"/>
          <w:marRight w:val="0"/>
          <w:marTop w:val="0"/>
          <w:marBottom w:val="0"/>
          <w:divBdr>
            <w:top w:val="none" w:sz="0" w:space="0" w:color="auto"/>
            <w:left w:val="none" w:sz="0" w:space="0" w:color="auto"/>
            <w:bottom w:val="none" w:sz="0" w:space="0" w:color="auto"/>
            <w:right w:val="none" w:sz="0" w:space="0" w:color="auto"/>
          </w:divBdr>
        </w:div>
        <w:div w:id="653412394">
          <w:marLeft w:val="0"/>
          <w:marRight w:val="0"/>
          <w:marTop w:val="0"/>
          <w:marBottom w:val="0"/>
          <w:divBdr>
            <w:top w:val="none" w:sz="0" w:space="0" w:color="auto"/>
            <w:left w:val="none" w:sz="0" w:space="0" w:color="auto"/>
            <w:bottom w:val="none" w:sz="0" w:space="0" w:color="auto"/>
            <w:right w:val="none" w:sz="0" w:space="0" w:color="auto"/>
          </w:divBdr>
        </w:div>
        <w:div w:id="653412403">
          <w:marLeft w:val="0"/>
          <w:marRight w:val="0"/>
          <w:marTop w:val="0"/>
          <w:marBottom w:val="0"/>
          <w:divBdr>
            <w:top w:val="none" w:sz="0" w:space="0" w:color="auto"/>
            <w:left w:val="none" w:sz="0" w:space="0" w:color="auto"/>
            <w:bottom w:val="none" w:sz="0" w:space="0" w:color="auto"/>
            <w:right w:val="none" w:sz="0" w:space="0" w:color="auto"/>
          </w:divBdr>
        </w:div>
      </w:divsChild>
    </w:div>
    <w:div w:id="653412453">
      <w:marLeft w:val="0"/>
      <w:marRight w:val="0"/>
      <w:marTop w:val="0"/>
      <w:marBottom w:val="0"/>
      <w:divBdr>
        <w:top w:val="none" w:sz="0" w:space="0" w:color="auto"/>
        <w:left w:val="none" w:sz="0" w:space="0" w:color="auto"/>
        <w:bottom w:val="none" w:sz="0" w:space="0" w:color="auto"/>
        <w:right w:val="none" w:sz="0" w:space="0" w:color="auto"/>
      </w:divBdr>
    </w:div>
    <w:div w:id="653412454">
      <w:marLeft w:val="0"/>
      <w:marRight w:val="0"/>
      <w:marTop w:val="0"/>
      <w:marBottom w:val="0"/>
      <w:divBdr>
        <w:top w:val="none" w:sz="0" w:space="0" w:color="auto"/>
        <w:left w:val="none" w:sz="0" w:space="0" w:color="auto"/>
        <w:bottom w:val="none" w:sz="0" w:space="0" w:color="auto"/>
        <w:right w:val="none" w:sz="0" w:space="0" w:color="auto"/>
      </w:divBdr>
    </w:div>
    <w:div w:id="653412455">
      <w:marLeft w:val="0"/>
      <w:marRight w:val="0"/>
      <w:marTop w:val="0"/>
      <w:marBottom w:val="0"/>
      <w:divBdr>
        <w:top w:val="none" w:sz="0" w:space="0" w:color="auto"/>
        <w:left w:val="none" w:sz="0" w:space="0" w:color="auto"/>
        <w:bottom w:val="none" w:sz="0" w:space="0" w:color="auto"/>
        <w:right w:val="none" w:sz="0" w:space="0" w:color="auto"/>
      </w:divBdr>
    </w:div>
    <w:div w:id="653412456">
      <w:marLeft w:val="0"/>
      <w:marRight w:val="0"/>
      <w:marTop w:val="0"/>
      <w:marBottom w:val="0"/>
      <w:divBdr>
        <w:top w:val="none" w:sz="0" w:space="0" w:color="auto"/>
        <w:left w:val="none" w:sz="0" w:space="0" w:color="auto"/>
        <w:bottom w:val="none" w:sz="0" w:space="0" w:color="auto"/>
        <w:right w:val="none" w:sz="0" w:space="0" w:color="auto"/>
      </w:divBdr>
    </w:div>
    <w:div w:id="653412457">
      <w:marLeft w:val="0"/>
      <w:marRight w:val="0"/>
      <w:marTop w:val="0"/>
      <w:marBottom w:val="0"/>
      <w:divBdr>
        <w:top w:val="none" w:sz="0" w:space="0" w:color="auto"/>
        <w:left w:val="none" w:sz="0" w:space="0" w:color="auto"/>
        <w:bottom w:val="none" w:sz="0" w:space="0" w:color="auto"/>
        <w:right w:val="none" w:sz="0" w:space="0" w:color="auto"/>
      </w:divBdr>
    </w:div>
    <w:div w:id="653412458">
      <w:marLeft w:val="0"/>
      <w:marRight w:val="0"/>
      <w:marTop w:val="0"/>
      <w:marBottom w:val="0"/>
      <w:divBdr>
        <w:top w:val="none" w:sz="0" w:space="0" w:color="auto"/>
        <w:left w:val="none" w:sz="0" w:space="0" w:color="auto"/>
        <w:bottom w:val="none" w:sz="0" w:space="0" w:color="auto"/>
        <w:right w:val="none" w:sz="0" w:space="0" w:color="auto"/>
      </w:divBdr>
    </w:div>
    <w:div w:id="653412459">
      <w:marLeft w:val="0"/>
      <w:marRight w:val="0"/>
      <w:marTop w:val="0"/>
      <w:marBottom w:val="0"/>
      <w:divBdr>
        <w:top w:val="none" w:sz="0" w:space="0" w:color="auto"/>
        <w:left w:val="none" w:sz="0" w:space="0" w:color="auto"/>
        <w:bottom w:val="none" w:sz="0" w:space="0" w:color="auto"/>
        <w:right w:val="none" w:sz="0" w:space="0" w:color="auto"/>
      </w:divBdr>
    </w:div>
    <w:div w:id="653412460">
      <w:marLeft w:val="0"/>
      <w:marRight w:val="0"/>
      <w:marTop w:val="0"/>
      <w:marBottom w:val="0"/>
      <w:divBdr>
        <w:top w:val="none" w:sz="0" w:space="0" w:color="auto"/>
        <w:left w:val="none" w:sz="0" w:space="0" w:color="auto"/>
        <w:bottom w:val="none" w:sz="0" w:space="0" w:color="auto"/>
        <w:right w:val="none" w:sz="0" w:space="0" w:color="auto"/>
      </w:divBdr>
    </w:div>
    <w:div w:id="653412461">
      <w:marLeft w:val="0"/>
      <w:marRight w:val="0"/>
      <w:marTop w:val="0"/>
      <w:marBottom w:val="0"/>
      <w:divBdr>
        <w:top w:val="none" w:sz="0" w:space="0" w:color="auto"/>
        <w:left w:val="none" w:sz="0" w:space="0" w:color="auto"/>
        <w:bottom w:val="none" w:sz="0" w:space="0" w:color="auto"/>
        <w:right w:val="none" w:sz="0" w:space="0" w:color="auto"/>
      </w:divBdr>
    </w:div>
    <w:div w:id="653412462">
      <w:marLeft w:val="0"/>
      <w:marRight w:val="0"/>
      <w:marTop w:val="0"/>
      <w:marBottom w:val="0"/>
      <w:divBdr>
        <w:top w:val="none" w:sz="0" w:space="0" w:color="auto"/>
        <w:left w:val="none" w:sz="0" w:space="0" w:color="auto"/>
        <w:bottom w:val="none" w:sz="0" w:space="0" w:color="auto"/>
        <w:right w:val="none" w:sz="0" w:space="0" w:color="auto"/>
      </w:divBdr>
    </w:div>
    <w:div w:id="653412463">
      <w:marLeft w:val="0"/>
      <w:marRight w:val="0"/>
      <w:marTop w:val="0"/>
      <w:marBottom w:val="0"/>
      <w:divBdr>
        <w:top w:val="none" w:sz="0" w:space="0" w:color="auto"/>
        <w:left w:val="none" w:sz="0" w:space="0" w:color="auto"/>
        <w:bottom w:val="none" w:sz="0" w:space="0" w:color="auto"/>
        <w:right w:val="none" w:sz="0" w:space="0" w:color="auto"/>
      </w:divBdr>
    </w:div>
    <w:div w:id="653412464">
      <w:marLeft w:val="0"/>
      <w:marRight w:val="0"/>
      <w:marTop w:val="0"/>
      <w:marBottom w:val="0"/>
      <w:divBdr>
        <w:top w:val="none" w:sz="0" w:space="0" w:color="auto"/>
        <w:left w:val="none" w:sz="0" w:space="0" w:color="auto"/>
        <w:bottom w:val="none" w:sz="0" w:space="0" w:color="auto"/>
        <w:right w:val="none" w:sz="0" w:space="0" w:color="auto"/>
      </w:divBdr>
    </w:div>
    <w:div w:id="653412465">
      <w:marLeft w:val="0"/>
      <w:marRight w:val="0"/>
      <w:marTop w:val="0"/>
      <w:marBottom w:val="0"/>
      <w:divBdr>
        <w:top w:val="none" w:sz="0" w:space="0" w:color="auto"/>
        <w:left w:val="none" w:sz="0" w:space="0" w:color="auto"/>
        <w:bottom w:val="none" w:sz="0" w:space="0" w:color="auto"/>
        <w:right w:val="none" w:sz="0" w:space="0" w:color="auto"/>
      </w:divBdr>
    </w:div>
    <w:div w:id="653412466">
      <w:marLeft w:val="0"/>
      <w:marRight w:val="0"/>
      <w:marTop w:val="0"/>
      <w:marBottom w:val="0"/>
      <w:divBdr>
        <w:top w:val="none" w:sz="0" w:space="0" w:color="auto"/>
        <w:left w:val="none" w:sz="0" w:space="0" w:color="auto"/>
        <w:bottom w:val="none" w:sz="0" w:space="0" w:color="auto"/>
        <w:right w:val="none" w:sz="0" w:space="0" w:color="auto"/>
      </w:divBdr>
    </w:div>
    <w:div w:id="653412467">
      <w:marLeft w:val="0"/>
      <w:marRight w:val="0"/>
      <w:marTop w:val="0"/>
      <w:marBottom w:val="0"/>
      <w:divBdr>
        <w:top w:val="none" w:sz="0" w:space="0" w:color="auto"/>
        <w:left w:val="none" w:sz="0" w:space="0" w:color="auto"/>
        <w:bottom w:val="none" w:sz="0" w:space="0" w:color="auto"/>
        <w:right w:val="none" w:sz="0" w:space="0" w:color="auto"/>
      </w:divBdr>
    </w:div>
    <w:div w:id="653412468">
      <w:marLeft w:val="0"/>
      <w:marRight w:val="0"/>
      <w:marTop w:val="0"/>
      <w:marBottom w:val="0"/>
      <w:divBdr>
        <w:top w:val="none" w:sz="0" w:space="0" w:color="auto"/>
        <w:left w:val="none" w:sz="0" w:space="0" w:color="auto"/>
        <w:bottom w:val="none" w:sz="0" w:space="0" w:color="auto"/>
        <w:right w:val="none" w:sz="0" w:space="0" w:color="auto"/>
      </w:divBdr>
    </w:div>
    <w:div w:id="685714740">
      <w:bodyDiv w:val="1"/>
      <w:marLeft w:val="0"/>
      <w:marRight w:val="0"/>
      <w:marTop w:val="0"/>
      <w:marBottom w:val="0"/>
      <w:divBdr>
        <w:top w:val="none" w:sz="0" w:space="0" w:color="auto"/>
        <w:left w:val="none" w:sz="0" w:space="0" w:color="auto"/>
        <w:bottom w:val="none" w:sz="0" w:space="0" w:color="auto"/>
        <w:right w:val="none" w:sz="0" w:space="0" w:color="auto"/>
      </w:divBdr>
    </w:div>
    <w:div w:id="711225893">
      <w:bodyDiv w:val="1"/>
      <w:marLeft w:val="0"/>
      <w:marRight w:val="0"/>
      <w:marTop w:val="0"/>
      <w:marBottom w:val="0"/>
      <w:divBdr>
        <w:top w:val="none" w:sz="0" w:space="0" w:color="auto"/>
        <w:left w:val="none" w:sz="0" w:space="0" w:color="auto"/>
        <w:bottom w:val="none" w:sz="0" w:space="0" w:color="auto"/>
        <w:right w:val="none" w:sz="0" w:space="0" w:color="auto"/>
      </w:divBdr>
    </w:div>
    <w:div w:id="726536302">
      <w:bodyDiv w:val="1"/>
      <w:marLeft w:val="0"/>
      <w:marRight w:val="0"/>
      <w:marTop w:val="0"/>
      <w:marBottom w:val="0"/>
      <w:divBdr>
        <w:top w:val="none" w:sz="0" w:space="0" w:color="auto"/>
        <w:left w:val="none" w:sz="0" w:space="0" w:color="auto"/>
        <w:bottom w:val="none" w:sz="0" w:space="0" w:color="auto"/>
        <w:right w:val="none" w:sz="0" w:space="0" w:color="auto"/>
      </w:divBdr>
    </w:div>
    <w:div w:id="737364780">
      <w:bodyDiv w:val="1"/>
      <w:marLeft w:val="0"/>
      <w:marRight w:val="0"/>
      <w:marTop w:val="0"/>
      <w:marBottom w:val="0"/>
      <w:divBdr>
        <w:top w:val="none" w:sz="0" w:space="0" w:color="auto"/>
        <w:left w:val="none" w:sz="0" w:space="0" w:color="auto"/>
        <w:bottom w:val="none" w:sz="0" w:space="0" w:color="auto"/>
        <w:right w:val="none" w:sz="0" w:space="0" w:color="auto"/>
      </w:divBdr>
    </w:div>
    <w:div w:id="877862480">
      <w:bodyDiv w:val="1"/>
      <w:marLeft w:val="0"/>
      <w:marRight w:val="0"/>
      <w:marTop w:val="0"/>
      <w:marBottom w:val="0"/>
      <w:divBdr>
        <w:top w:val="none" w:sz="0" w:space="0" w:color="auto"/>
        <w:left w:val="none" w:sz="0" w:space="0" w:color="auto"/>
        <w:bottom w:val="none" w:sz="0" w:space="0" w:color="auto"/>
        <w:right w:val="none" w:sz="0" w:space="0" w:color="auto"/>
      </w:divBdr>
    </w:div>
    <w:div w:id="885218692">
      <w:bodyDiv w:val="1"/>
      <w:marLeft w:val="0"/>
      <w:marRight w:val="0"/>
      <w:marTop w:val="0"/>
      <w:marBottom w:val="0"/>
      <w:divBdr>
        <w:top w:val="none" w:sz="0" w:space="0" w:color="auto"/>
        <w:left w:val="none" w:sz="0" w:space="0" w:color="auto"/>
        <w:bottom w:val="none" w:sz="0" w:space="0" w:color="auto"/>
        <w:right w:val="none" w:sz="0" w:space="0" w:color="auto"/>
      </w:divBdr>
    </w:div>
    <w:div w:id="887691354">
      <w:bodyDiv w:val="1"/>
      <w:marLeft w:val="0"/>
      <w:marRight w:val="0"/>
      <w:marTop w:val="0"/>
      <w:marBottom w:val="0"/>
      <w:divBdr>
        <w:top w:val="none" w:sz="0" w:space="0" w:color="auto"/>
        <w:left w:val="none" w:sz="0" w:space="0" w:color="auto"/>
        <w:bottom w:val="none" w:sz="0" w:space="0" w:color="auto"/>
        <w:right w:val="none" w:sz="0" w:space="0" w:color="auto"/>
      </w:divBdr>
    </w:div>
    <w:div w:id="935676088">
      <w:bodyDiv w:val="1"/>
      <w:marLeft w:val="0"/>
      <w:marRight w:val="0"/>
      <w:marTop w:val="0"/>
      <w:marBottom w:val="0"/>
      <w:divBdr>
        <w:top w:val="none" w:sz="0" w:space="0" w:color="auto"/>
        <w:left w:val="none" w:sz="0" w:space="0" w:color="auto"/>
        <w:bottom w:val="none" w:sz="0" w:space="0" w:color="auto"/>
        <w:right w:val="none" w:sz="0" w:space="0" w:color="auto"/>
      </w:divBdr>
    </w:div>
    <w:div w:id="1036004366">
      <w:bodyDiv w:val="1"/>
      <w:marLeft w:val="0"/>
      <w:marRight w:val="0"/>
      <w:marTop w:val="0"/>
      <w:marBottom w:val="0"/>
      <w:divBdr>
        <w:top w:val="none" w:sz="0" w:space="0" w:color="auto"/>
        <w:left w:val="none" w:sz="0" w:space="0" w:color="auto"/>
        <w:bottom w:val="none" w:sz="0" w:space="0" w:color="auto"/>
        <w:right w:val="none" w:sz="0" w:space="0" w:color="auto"/>
      </w:divBdr>
    </w:div>
    <w:div w:id="1066415385">
      <w:bodyDiv w:val="1"/>
      <w:marLeft w:val="0"/>
      <w:marRight w:val="0"/>
      <w:marTop w:val="0"/>
      <w:marBottom w:val="0"/>
      <w:divBdr>
        <w:top w:val="none" w:sz="0" w:space="0" w:color="auto"/>
        <w:left w:val="none" w:sz="0" w:space="0" w:color="auto"/>
        <w:bottom w:val="none" w:sz="0" w:space="0" w:color="auto"/>
        <w:right w:val="none" w:sz="0" w:space="0" w:color="auto"/>
      </w:divBdr>
    </w:div>
    <w:div w:id="1098987052">
      <w:bodyDiv w:val="1"/>
      <w:marLeft w:val="0"/>
      <w:marRight w:val="0"/>
      <w:marTop w:val="0"/>
      <w:marBottom w:val="0"/>
      <w:divBdr>
        <w:top w:val="none" w:sz="0" w:space="0" w:color="auto"/>
        <w:left w:val="none" w:sz="0" w:space="0" w:color="auto"/>
        <w:bottom w:val="none" w:sz="0" w:space="0" w:color="auto"/>
        <w:right w:val="none" w:sz="0" w:space="0" w:color="auto"/>
      </w:divBdr>
    </w:div>
    <w:div w:id="1204635518">
      <w:bodyDiv w:val="1"/>
      <w:marLeft w:val="0"/>
      <w:marRight w:val="0"/>
      <w:marTop w:val="0"/>
      <w:marBottom w:val="0"/>
      <w:divBdr>
        <w:top w:val="none" w:sz="0" w:space="0" w:color="auto"/>
        <w:left w:val="none" w:sz="0" w:space="0" w:color="auto"/>
        <w:bottom w:val="none" w:sz="0" w:space="0" w:color="auto"/>
        <w:right w:val="none" w:sz="0" w:space="0" w:color="auto"/>
      </w:divBdr>
    </w:div>
    <w:div w:id="1273169462">
      <w:bodyDiv w:val="1"/>
      <w:marLeft w:val="0"/>
      <w:marRight w:val="0"/>
      <w:marTop w:val="0"/>
      <w:marBottom w:val="0"/>
      <w:divBdr>
        <w:top w:val="none" w:sz="0" w:space="0" w:color="auto"/>
        <w:left w:val="none" w:sz="0" w:space="0" w:color="auto"/>
        <w:bottom w:val="none" w:sz="0" w:space="0" w:color="auto"/>
        <w:right w:val="none" w:sz="0" w:space="0" w:color="auto"/>
      </w:divBdr>
    </w:div>
    <w:div w:id="1365325573">
      <w:bodyDiv w:val="1"/>
      <w:marLeft w:val="0"/>
      <w:marRight w:val="0"/>
      <w:marTop w:val="0"/>
      <w:marBottom w:val="0"/>
      <w:divBdr>
        <w:top w:val="none" w:sz="0" w:space="0" w:color="auto"/>
        <w:left w:val="none" w:sz="0" w:space="0" w:color="auto"/>
        <w:bottom w:val="none" w:sz="0" w:space="0" w:color="auto"/>
        <w:right w:val="none" w:sz="0" w:space="0" w:color="auto"/>
      </w:divBdr>
    </w:div>
    <w:div w:id="1496844711">
      <w:bodyDiv w:val="1"/>
      <w:marLeft w:val="0"/>
      <w:marRight w:val="0"/>
      <w:marTop w:val="0"/>
      <w:marBottom w:val="0"/>
      <w:divBdr>
        <w:top w:val="none" w:sz="0" w:space="0" w:color="auto"/>
        <w:left w:val="none" w:sz="0" w:space="0" w:color="auto"/>
        <w:bottom w:val="none" w:sz="0" w:space="0" w:color="auto"/>
        <w:right w:val="none" w:sz="0" w:space="0" w:color="auto"/>
      </w:divBdr>
    </w:div>
    <w:div w:id="1500584824">
      <w:bodyDiv w:val="1"/>
      <w:marLeft w:val="0"/>
      <w:marRight w:val="0"/>
      <w:marTop w:val="0"/>
      <w:marBottom w:val="0"/>
      <w:divBdr>
        <w:top w:val="none" w:sz="0" w:space="0" w:color="auto"/>
        <w:left w:val="none" w:sz="0" w:space="0" w:color="auto"/>
        <w:bottom w:val="none" w:sz="0" w:space="0" w:color="auto"/>
        <w:right w:val="none" w:sz="0" w:space="0" w:color="auto"/>
      </w:divBdr>
    </w:div>
    <w:div w:id="1545410965">
      <w:bodyDiv w:val="1"/>
      <w:marLeft w:val="0"/>
      <w:marRight w:val="0"/>
      <w:marTop w:val="0"/>
      <w:marBottom w:val="0"/>
      <w:divBdr>
        <w:top w:val="none" w:sz="0" w:space="0" w:color="auto"/>
        <w:left w:val="none" w:sz="0" w:space="0" w:color="auto"/>
        <w:bottom w:val="none" w:sz="0" w:space="0" w:color="auto"/>
        <w:right w:val="none" w:sz="0" w:space="0" w:color="auto"/>
      </w:divBdr>
    </w:div>
    <w:div w:id="1655523609">
      <w:bodyDiv w:val="1"/>
      <w:marLeft w:val="0"/>
      <w:marRight w:val="0"/>
      <w:marTop w:val="0"/>
      <w:marBottom w:val="0"/>
      <w:divBdr>
        <w:top w:val="none" w:sz="0" w:space="0" w:color="auto"/>
        <w:left w:val="none" w:sz="0" w:space="0" w:color="auto"/>
        <w:bottom w:val="none" w:sz="0" w:space="0" w:color="auto"/>
        <w:right w:val="none" w:sz="0" w:space="0" w:color="auto"/>
      </w:divBdr>
    </w:div>
    <w:div w:id="1720472048">
      <w:bodyDiv w:val="1"/>
      <w:marLeft w:val="0"/>
      <w:marRight w:val="0"/>
      <w:marTop w:val="0"/>
      <w:marBottom w:val="0"/>
      <w:divBdr>
        <w:top w:val="none" w:sz="0" w:space="0" w:color="auto"/>
        <w:left w:val="none" w:sz="0" w:space="0" w:color="auto"/>
        <w:bottom w:val="none" w:sz="0" w:space="0" w:color="auto"/>
        <w:right w:val="none" w:sz="0" w:space="0" w:color="auto"/>
      </w:divBdr>
    </w:div>
    <w:div w:id="1770463268">
      <w:bodyDiv w:val="1"/>
      <w:marLeft w:val="0"/>
      <w:marRight w:val="0"/>
      <w:marTop w:val="0"/>
      <w:marBottom w:val="0"/>
      <w:divBdr>
        <w:top w:val="none" w:sz="0" w:space="0" w:color="auto"/>
        <w:left w:val="none" w:sz="0" w:space="0" w:color="auto"/>
        <w:bottom w:val="none" w:sz="0" w:space="0" w:color="auto"/>
        <w:right w:val="none" w:sz="0" w:space="0" w:color="auto"/>
      </w:divBdr>
    </w:div>
    <w:div w:id="1862625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emf"/><Relationship Id="rId21" Type="http://schemas.openxmlformats.org/officeDocument/2006/relationships/package" Target="embeddings/Foglio_di_lavoro_di_Microsoft_Office_Excel3.xlsx"/><Relationship Id="rId42" Type="http://schemas.openxmlformats.org/officeDocument/2006/relationships/hyperlink" Target="http://www.bosettiegatti.eu/info/norme/statali/2014_0089.htm" TargetMode="External"/><Relationship Id="rId47" Type="http://schemas.openxmlformats.org/officeDocument/2006/relationships/package" Target="embeddings/Foglio_di_lavoro_di_Microsoft_Office_Excel14.xlsx"/><Relationship Id="rId63" Type="http://schemas.openxmlformats.org/officeDocument/2006/relationships/package" Target="embeddings/Foglio_di_lavoro_di_Microsoft_Office_Excel22.xlsx"/><Relationship Id="rId68" Type="http://schemas.openxmlformats.org/officeDocument/2006/relationships/hyperlink" Target="http://www.cortecostituzionale.it/actionSchedaPronuncia.do?anno=2012&amp;numero=139" TargetMode="External"/><Relationship Id="rId84" Type="http://schemas.openxmlformats.org/officeDocument/2006/relationships/package" Target="embeddings/Foglio_di_lavoro_di_Microsoft_Office_Excel31.xlsx"/><Relationship Id="rId89" Type="http://schemas.openxmlformats.org/officeDocument/2006/relationships/footer" Target="footer1.xml"/><Relationship Id="rId112"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3.emf"/><Relationship Id="rId29" Type="http://schemas.openxmlformats.org/officeDocument/2006/relationships/package" Target="embeddings/Foglio_di_lavoro_di_Microsoft_Office_Excel7.xlsx"/><Relationship Id="rId107" Type="http://schemas.openxmlformats.org/officeDocument/2006/relationships/image" Target="media/image43.emf"/><Relationship Id="rId11" Type="http://schemas.openxmlformats.org/officeDocument/2006/relationships/hyperlink" Target="https://def.finanze.it/DocTribFrontend/getAttoNormativoDetail.do?ACTION=getArticolo&amp;id=%7b1BB65A6D-37DD-42EF-80F0-7C850907FE63%7d&amp;codiceOrdinamento=200001100000000&amp;articolo=Articolo%2011" TargetMode="External"/><Relationship Id="rId24" Type="http://schemas.openxmlformats.org/officeDocument/2006/relationships/image" Target="media/image7.emf"/><Relationship Id="rId32" Type="http://schemas.openxmlformats.org/officeDocument/2006/relationships/image" Target="media/image11.emf"/><Relationship Id="rId37" Type="http://schemas.openxmlformats.org/officeDocument/2006/relationships/package" Target="embeddings/Foglio_di_lavoro_di_Microsoft_Office_Excel10.xlsx"/><Relationship Id="rId40" Type="http://schemas.openxmlformats.org/officeDocument/2006/relationships/image" Target="media/image15.emf"/><Relationship Id="rId45" Type="http://schemas.openxmlformats.org/officeDocument/2006/relationships/package" Target="embeddings/Foglio_di_lavoro_di_Microsoft_Office_Excel13.xlsx"/><Relationship Id="rId53" Type="http://schemas.openxmlformats.org/officeDocument/2006/relationships/package" Target="embeddings/Foglio_di_lavoro_di_Microsoft_Office_Excel17.xlsx"/><Relationship Id="rId58" Type="http://schemas.openxmlformats.org/officeDocument/2006/relationships/image" Target="media/image23.emf"/><Relationship Id="rId66" Type="http://schemas.openxmlformats.org/officeDocument/2006/relationships/image" Target="media/image27.emf"/><Relationship Id="rId74" Type="http://schemas.openxmlformats.org/officeDocument/2006/relationships/hyperlink" Target="http://www.normattiva.it/uri-res/N2Ls?urn:nir:stato:regio.decreto:1942-03-16;262" TargetMode="External"/><Relationship Id="rId79" Type="http://schemas.openxmlformats.org/officeDocument/2006/relationships/image" Target="media/image32.emf"/><Relationship Id="rId87" Type="http://schemas.openxmlformats.org/officeDocument/2006/relationships/header" Target="header1.xml"/><Relationship Id="rId102" Type="http://schemas.openxmlformats.org/officeDocument/2006/relationships/package" Target="embeddings/Foglio_di_lavoro_di_Microsoft_Office_Excel37.xlsx"/><Relationship Id="rId110"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package" Target="embeddings/Foglio_di_lavoro_di_Microsoft_Office_Excel21.xlsx"/><Relationship Id="rId82" Type="http://schemas.openxmlformats.org/officeDocument/2006/relationships/package" Target="embeddings/Foglio_di_lavoro_di_Microsoft_Office_Excel30.xlsx"/><Relationship Id="rId90" Type="http://schemas.openxmlformats.org/officeDocument/2006/relationships/footer" Target="footer2.xml"/><Relationship Id="rId95" Type="http://schemas.openxmlformats.org/officeDocument/2006/relationships/image" Target="media/image37.emf"/><Relationship Id="rId19" Type="http://schemas.openxmlformats.org/officeDocument/2006/relationships/package" Target="embeddings/Foglio_di_lavoro_di_Microsoft_Office_Excel2.xlsx"/><Relationship Id="rId14" Type="http://schemas.openxmlformats.org/officeDocument/2006/relationships/hyperlink" Target="http://www.normattiva.it/uri-res/N2Ls?urn:nir:stato:decreto.legislativo:2011-06-23;118!vig=" TargetMode="External"/><Relationship Id="rId22" Type="http://schemas.openxmlformats.org/officeDocument/2006/relationships/image" Target="media/image6.emf"/><Relationship Id="rId27" Type="http://schemas.openxmlformats.org/officeDocument/2006/relationships/package" Target="embeddings/Foglio_di_lavoro_di_Microsoft_Office_Excel6.xlsx"/><Relationship Id="rId30" Type="http://schemas.openxmlformats.org/officeDocument/2006/relationships/image" Target="media/image10.emf"/><Relationship Id="rId35" Type="http://schemas.openxmlformats.org/officeDocument/2006/relationships/package" Target="embeddings/Foglio_di_lavoro_di_Microsoft_Office_Excel9.xlsx"/><Relationship Id="rId43" Type="http://schemas.openxmlformats.org/officeDocument/2006/relationships/hyperlink" Target="http://www.bosettiegatti.eu/info/norme/statali/2015_0208_stabilita.htm" TargetMode="External"/><Relationship Id="rId48" Type="http://schemas.openxmlformats.org/officeDocument/2006/relationships/image" Target="media/image18.emf"/><Relationship Id="rId56" Type="http://schemas.openxmlformats.org/officeDocument/2006/relationships/image" Target="media/image22.emf"/><Relationship Id="rId64" Type="http://schemas.openxmlformats.org/officeDocument/2006/relationships/image" Target="media/image26.emf"/><Relationship Id="rId69" Type="http://schemas.openxmlformats.org/officeDocument/2006/relationships/hyperlink" Target="http://www.corteconti.it/export/sites/portalecdc/_documenti/controllo/sez_autonomie/2013/delibera_26_2013_qmig.pdf" TargetMode="External"/><Relationship Id="rId77" Type="http://schemas.openxmlformats.org/officeDocument/2006/relationships/image" Target="media/image31.emf"/><Relationship Id="rId100" Type="http://schemas.openxmlformats.org/officeDocument/2006/relationships/package" Target="embeddings/Foglio_di_lavoro_di_Microsoft_Office_Excel36.xlsx"/><Relationship Id="rId105" Type="http://schemas.openxmlformats.org/officeDocument/2006/relationships/image" Target="media/image42.emf"/><Relationship Id="rId8" Type="http://schemas.openxmlformats.org/officeDocument/2006/relationships/image" Target="media/image1.png"/><Relationship Id="rId51" Type="http://schemas.openxmlformats.org/officeDocument/2006/relationships/package" Target="embeddings/Foglio_di_lavoro_di_Microsoft_Office_Excel16.xlsx"/><Relationship Id="rId72" Type="http://schemas.openxmlformats.org/officeDocument/2006/relationships/image" Target="media/image29.emf"/><Relationship Id="rId80" Type="http://schemas.openxmlformats.org/officeDocument/2006/relationships/package" Target="embeddings/Foglio_di_lavoro_di_Microsoft_Office_Excel29.xlsx"/><Relationship Id="rId85" Type="http://schemas.openxmlformats.org/officeDocument/2006/relationships/image" Target="media/image35.emf"/><Relationship Id="rId93" Type="http://schemas.openxmlformats.org/officeDocument/2006/relationships/image" Target="media/image36.emf"/><Relationship Id="rId98" Type="http://schemas.openxmlformats.org/officeDocument/2006/relationships/package" Target="embeddings/Foglio_di_lavoro_di_Microsoft_Office_Excel35.xlsx"/><Relationship Id="rId3" Type="http://schemas.openxmlformats.org/officeDocument/2006/relationships/styles" Target="styles.xml"/><Relationship Id="rId12" Type="http://schemas.openxmlformats.org/officeDocument/2006/relationships/hyperlink" Target="http://www.normattiva.it/uri-res/N2Ls?urn:nir:stato:decreto.legislativo:2011-06-23;118!vig=" TargetMode="External"/><Relationship Id="rId17" Type="http://schemas.openxmlformats.org/officeDocument/2006/relationships/package" Target="embeddings/Foglio_di_lavoro_di_Microsoft_Office_Excel1.xlsx"/><Relationship Id="rId25" Type="http://schemas.openxmlformats.org/officeDocument/2006/relationships/package" Target="embeddings/Foglio_di_lavoro_di_Microsoft_Office_Excel5.xlsx"/><Relationship Id="rId33" Type="http://schemas.openxmlformats.org/officeDocument/2006/relationships/package" Target="embeddings/Foglio_di_lavoro_di_Microsoft_Office_Excel8.xlsx"/><Relationship Id="rId38" Type="http://schemas.openxmlformats.org/officeDocument/2006/relationships/image" Target="media/image14.emf"/><Relationship Id="rId46" Type="http://schemas.openxmlformats.org/officeDocument/2006/relationships/image" Target="media/image17.emf"/><Relationship Id="rId59" Type="http://schemas.openxmlformats.org/officeDocument/2006/relationships/package" Target="embeddings/Foglio_di_lavoro_di_Microsoft_Office_Excel20.xlsx"/><Relationship Id="rId67" Type="http://schemas.openxmlformats.org/officeDocument/2006/relationships/package" Target="embeddings/Foglio_di_lavoro_di_Microsoft_Office_Excel24.xlsx"/><Relationship Id="rId103" Type="http://schemas.openxmlformats.org/officeDocument/2006/relationships/image" Target="media/image41.emf"/><Relationship Id="rId108" Type="http://schemas.openxmlformats.org/officeDocument/2006/relationships/package" Target="embeddings/Foglio_di_lavoro_di_Microsoft_Office_Excel40.xlsx"/><Relationship Id="rId20" Type="http://schemas.openxmlformats.org/officeDocument/2006/relationships/image" Target="media/image5.emf"/><Relationship Id="rId41" Type="http://schemas.openxmlformats.org/officeDocument/2006/relationships/package" Target="embeddings/Foglio_di_lavoro_di_Microsoft_Office_Excel12.xlsx"/><Relationship Id="rId54" Type="http://schemas.openxmlformats.org/officeDocument/2006/relationships/image" Target="media/image21.emf"/><Relationship Id="rId62" Type="http://schemas.openxmlformats.org/officeDocument/2006/relationships/image" Target="media/image25.emf"/><Relationship Id="rId70" Type="http://schemas.openxmlformats.org/officeDocument/2006/relationships/image" Target="media/image28.emf"/><Relationship Id="rId75" Type="http://schemas.openxmlformats.org/officeDocument/2006/relationships/image" Target="media/image30.emf"/><Relationship Id="rId83" Type="http://schemas.openxmlformats.org/officeDocument/2006/relationships/image" Target="media/image34.emf"/><Relationship Id="rId88" Type="http://schemas.openxmlformats.org/officeDocument/2006/relationships/header" Target="header2.xml"/><Relationship Id="rId91" Type="http://schemas.openxmlformats.org/officeDocument/2006/relationships/header" Target="header3.xml"/><Relationship Id="rId96" Type="http://schemas.openxmlformats.org/officeDocument/2006/relationships/package" Target="embeddings/Foglio_di_lavoro_di_Microsoft_Office_Excel34.xlsx"/><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finanzalocale.interno.it/docum/studi/varie/testounico267-2000.pdf" TargetMode="External"/><Relationship Id="rId23" Type="http://schemas.openxmlformats.org/officeDocument/2006/relationships/package" Target="embeddings/Foglio_di_lavoro_di_Microsoft_Office_Excel4.xlsx"/><Relationship Id="rId28" Type="http://schemas.openxmlformats.org/officeDocument/2006/relationships/image" Target="media/image9.emf"/><Relationship Id="rId36" Type="http://schemas.openxmlformats.org/officeDocument/2006/relationships/image" Target="media/image13.emf"/><Relationship Id="rId49" Type="http://schemas.openxmlformats.org/officeDocument/2006/relationships/package" Target="embeddings/Foglio_di_lavoro_di_Microsoft_Office_Excel15.xlsx"/><Relationship Id="rId57" Type="http://schemas.openxmlformats.org/officeDocument/2006/relationships/package" Target="embeddings/Foglio_di_lavoro_di_Microsoft_Office_Excel19.xlsx"/><Relationship Id="rId106" Type="http://schemas.openxmlformats.org/officeDocument/2006/relationships/package" Target="embeddings/Foglio_di_lavoro_di_Microsoft_Office_Excel39.xlsx"/><Relationship Id="rId10" Type="http://schemas.openxmlformats.org/officeDocument/2006/relationships/hyperlink" Target="http://finanzalocale.interno.it/docum/studi/varie/testounico267-2000.pdf" TargetMode="External"/><Relationship Id="rId31" Type="http://schemas.openxmlformats.org/officeDocument/2006/relationships/oleObject" Target="embeddings/Foglio_di_lavoro_di_Microsoft_Office_Excel_97-20031.xls"/><Relationship Id="rId44" Type="http://schemas.openxmlformats.org/officeDocument/2006/relationships/image" Target="media/image16.emf"/><Relationship Id="rId52" Type="http://schemas.openxmlformats.org/officeDocument/2006/relationships/image" Target="media/image20.emf"/><Relationship Id="rId60" Type="http://schemas.openxmlformats.org/officeDocument/2006/relationships/image" Target="media/image24.emf"/><Relationship Id="rId65" Type="http://schemas.openxmlformats.org/officeDocument/2006/relationships/package" Target="embeddings/Foglio_di_lavoro_di_Microsoft_Office_Excel23.xlsx"/><Relationship Id="rId73" Type="http://schemas.openxmlformats.org/officeDocument/2006/relationships/package" Target="embeddings/Foglio_di_lavoro_di_Microsoft_Office_Excel26.xlsx"/><Relationship Id="rId78" Type="http://schemas.openxmlformats.org/officeDocument/2006/relationships/package" Target="embeddings/Foglio_di_lavoro_di_Microsoft_Office_Excel28.xlsx"/><Relationship Id="rId81" Type="http://schemas.openxmlformats.org/officeDocument/2006/relationships/image" Target="media/image33.emf"/><Relationship Id="rId86" Type="http://schemas.openxmlformats.org/officeDocument/2006/relationships/package" Target="embeddings/Foglio_di_lavoro_di_Microsoft_Office_Excel32.xlsx"/><Relationship Id="rId94" Type="http://schemas.openxmlformats.org/officeDocument/2006/relationships/package" Target="embeddings/Foglio_di_lavoro_di_Microsoft_Office_Excel33.xlsx"/><Relationship Id="rId99" Type="http://schemas.openxmlformats.org/officeDocument/2006/relationships/image" Target="media/image39.emf"/><Relationship Id="rId101" Type="http://schemas.openxmlformats.org/officeDocument/2006/relationships/image" Target="media/image40.emf"/><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hyperlink" Target="http://def.finanze.it/DocTribFrontend/decodeurn?urn=urn:doctrib::DLG:2011-06-23;118" TargetMode="External"/><Relationship Id="rId18" Type="http://schemas.openxmlformats.org/officeDocument/2006/relationships/image" Target="media/image4.emf"/><Relationship Id="rId39" Type="http://schemas.openxmlformats.org/officeDocument/2006/relationships/package" Target="embeddings/Foglio_di_lavoro_di_Microsoft_Office_Excel11.xlsx"/><Relationship Id="rId109" Type="http://schemas.openxmlformats.org/officeDocument/2006/relationships/fontTable" Target="fontTable.xml"/><Relationship Id="rId34" Type="http://schemas.openxmlformats.org/officeDocument/2006/relationships/image" Target="media/image12.emf"/><Relationship Id="rId50" Type="http://schemas.openxmlformats.org/officeDocument/2006/relationships/image" Target="media/image19.emf"/><Relationship Id="rId55" Type="http://schemas.openxmlformats.org/officeDocument/2006/relationships/package" Target="embeddings/Foglio_di_lavoro_di_Microsoft_Office_Excel18.xlsx"/><Relationship Id="rId76" Type="http://schemas.openxmlformats.org/officeDocument/2006/relationships/package" Target="embeddings/Foglio_di_lavoro_di_Microsoft_Office_Excel27.xlsx"/><Relationship Id="rId97" Type="http://schemas.openxmlformats.org/officeDocument/2006/relationships/image" Target="media/image38.emf"/><Relationship Id="rId104" Type="http://schemas.openxmlformats.org/officeDocument/2006/relationships/package" Target="embeddings/Foglio_di_lavoro_di_Microsoft_Office_Excel38.xlsx"/><Relationship Id="rId7" Type="http://schemas.openxmlformats.org/officeDocument/2006/relationships/endnotes" Target="endnotes.xml"/><Relationship Id="rId71" Type="http://schemas.openxmlformats.org/officeDocument/2006/relationships/package" Target="embeddings/Foglio_di_lavoro_di_Microsoft_Office_Excel25.xlsx"/><Relationship Id="rId9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C393B-6F75-48A1-AF48-306088567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49</Pages>
  <Words>13779</Words>
  <Characters>78542</Characters>
  <Application>Microsoft Office Word</Application>
  <DocSecurity>0</DocSecurity>
  <Lines>654</Lines>
  <Paragraphs>184</Paragraphs>
  <ScaleCrop>false</ScaleCrop>
  <HeadingPairs>
    <vt:vector size="2" baseType="variant">
      <vt:variant>
        <vt:lpstr>Titolo</vt:lpstr>
      </vt:variant>
      <vt:variant>
        <vt:i4>1</vt:i4>
      </vt:variant>
    </vt:vector>
  </HeadingPairs>
  <TitlesOfParts>
    <vt:vector size="1" baseType="lpstr">
      <vt:lpstr>Previsione 2019</vt:lpstr>
    </vt:vector>
  </TitlesOfParts>
  <Company>BORGHI</Company>
  <LinksUpToDate>false</LinksUpToDate>
  <CharactersWithSpaces>92137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Previsione 2019</dc:title>
  <dc:subject>Parere organo di revisione</dc:subject>
  <dc:creator>Anna De Toni</dc:creator>
  <cp:keywords>Ancrel 2019</cp:keywords>
  <dc:description/>
  <cp:lastModifiedBy>UTENTE</cp:lastModifiedBy>
  <cp:revision>39</cp:revision>
  <cp:lastPrinted>2019-01-15T14:33:00Z</cp:lastPrinted>
  <dcterms:created xsi:type="dcterms:W3CDTF">2019-01-15T12:45:00Z</dcterms:created>
  <dcterms:modified xsi:type="dcterms:W3CDTF">2019-02-03T20:09:00Z</dcterms:modified>
</cp:coreProperties>
</file>